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Light" w:hAnsi="Calibri Light"/>
          <w:b/>
          <w:color w:val="1D2126"/>
          <w:sz w:val="44"/>
        </w:rPr>
        <w:t>Solveur stationnaire calandre-et-tubes</w:t>
      </w:r>
    </w:p>
    <w:p>
      <w:pPr>
        <w:spacing w:after="200"/>
      </w:pPr>
      <w:r>
        <w:rPr>
          <w:rFonts w:ascii="Calibri Light" w:hAnsi="Calibri Light"/>
          <w:color w:val="5C6672"/>
          <w:sz w:val="26"/>
        </w:rPr>
        <w:t>Cadre théorique, équations de conservation et corrélations empiriques</w:t>
      </w:r>
    </w:p>
    <w:p>
      <w:pPr>
        <w:spacing w:after="280"/>
      </w:pPr>
      <w:r>
        <w:rPr>
          <w:i/>
          <w:color w:val="146C7E"/>
          <w:sz w:val="22"/>
        </w:rPr>
        <w:t>Document de référence pour les résultats Hélium / LN₂ / Eau</w:t>
      </w:r>
    </w:p>
    <w:tbl>
      <w:tblPr>
        <w:tblStyle w:val="TableGrid"/>
        <w:tblW w:type="auto" w:w="0"/>
        <w:jc w:val="center"/>
        <w:tblLook w:firstColumn="1" w:firstRow="1" w:lastColumn="0" w:lastRow="0" w:noHBand="0" w:noVBand="1" w:val="04A0"/>
      </w:tblPr>
      <w:tblGrid>
        <w:gridCol w:w="4649"/>
        <w:gridCol w:w="4649"/>
      </w:tblGrid>
      <w:tr>
        <w:tc>
          <w:tcPr>
            <w:tcW w:type="dxa" w:w="2381"/>
            <w:shd w:val="clear" w:color="auto" w:fill="EDEFF2"/>
          </w:tcPr>
          <w:p>
            <w:pPr>
              <w:spacing w:after="40"/>
            </w:pPr>
            <w:r/>
            <w:r>
              <w:rPr>
                <w:rFonts w:ascii="Calibri Light" w:hAnsi="Calibri Light"/>
                <w:b/>
                <w:sz w:val="17"/>
              </w:rPr>
              <w:t>Élément</w:t>
            </w:r>
          </w:p>
        </w:tc>
        <w:tc>
          <w:tcPr>
            <w:tcW w:type="dxa" w:w="6803"/>
            <w:shd w:val="clear" w:color="auto" w:fill="EDEFF2"/>
          </w:tcPr>
          <w:p>
            <w:pPr>
              <w:spacing w:after="40"/>
            </w:pPr>
            <w:r/>
            <w:r>
              <w:rPr>
                <w:rFonts w:ascii="Calibri Light" w:hAnsi="Calibri Light"/>
                <w:b/>
                <w:sz w:val="17"/>
              </w:rPr>
              <w:t>Valeur</w:t>
            </w:r>
          </w:p>
        </w:tc>
      </w:tr>
      <w:tr>
        <w:tc>
          <w:tcPr>
            <w:tcW w:type="dxa" w:w="2381"/>
          </w:tcPr>
          <w:p>
            <w:pPr>
              <w:spacing w:after="40"/>
            </w:pPr>
            <w:r/>
            <w:r>
              <w:rPr>
                <w:i w:val="0"/>
                <w:sz w:val="18"/>
              </w:rPr>
              <w:t>Modèle</w:t>
            </w:r>
          </w:p>
        </w:tc>
        <w:tc>
          <w:tcPr>
            <w:tcW w:type="dxa" w:w="6803"/>
          </w:tcPr>
          <w:p>
            <w:pPr>
              <w:spacing w:after="40"/>
            </w:pPr>
            <w:r/>
            <w:r>
              <w:rPr>
                <w:i w:val="0"/>
                <w:sz w:val="18"/>
              </w:rPr>
              <w:t>Échangeur de chaleur de combusteur calandre-et-tubes, quasi-1D, stationnaire</w:t>
            </w:r>
          </w:p>
        </w:tc>
      </w:tr>
      <w:tr>
        <w:tc>
          <w:tcPr>
            <w:tcW w:type="dxa" w:w="2381"/>
          </w:tcPr>
          <w:p>
            <w:pPr>
              <w:spacing w:after="40"/>
            </w:pPr>
            <w:r/>
            <w:r>
              <w:rPr>
                <w:i w:val="0"/>
                <w:sz w:val="18"/>
              </w:rPr>
              <w:t>Configuration</w:t>
            </w:r>
          </w:p>
        </w:tc>
        <w:tc>
          <w:tcPr>
            <w:tcW w:type="dxa" w:w="6803"/>
          </w:tcPr>
          <w:p>
            <w:pPr>
              <w:spacing w:after="40"/>
            </w:pPr>
            <w:r/>
            <w:r>
              <w:rPr>
                <w:i w:val="0"/>
                <w:sz w:val="18"/>
              </w:rPr>
              <w:t>Gaz de combustion à l'intérieur des tubes droits ; réfrigérant en écoulement transversal côté calandre</w:t>
            </w:r>
          </w:p>
        </w:tc>
      </w:tr>
      <w:tr>
        <w:tc>
          <w:tcPr>
            <w:tcW w:type="dxa" w:w="2381"/>
          </w:tcPr>
          <w:p>
            <w:pPr>
              <w:spacing w:after="40"/>
            </w:pPr>
            <w:r/>
            <w:r>
              <w:rPr>
                <w:i w:val="0"/>
                <w:sz w:val="18"/>
              </w:rPr>
              <w:t>Implémentation principale</w:t>
            </w:r>
          </w:p>
        </w:tc>
        <w:tc>
          <w:tcPr>
            <w:tcW w:type="dxa" w:w="6803"/>
          </w:tcPr>
          <w:p>
            <w:pPr>
              <w:spacing w:after="40"/>
            </w:pPr>
            <w:r/>
            <w:r>
              <w:rPr>
                <w:i w:val="0"/>
                <w:sz w:val="18"/>
              </w:rPr>
              <w:t>1Dmodel/main_solve_shellntube.py</w:t>
            </w:r>
          </w:p>
        </w:tc>
      </w:tr>
      <w:tr>
        <w:tc>
          <w:tcPr>
            <w:tcW w:type="dxa" w:w="2381"/>
          </w:tcPr>
          <w:p>
            <w:pPr>
              <w:spacing w:after="40"/>
            </w:pPr>
            <w:r/>
            <w:r>
              <w:rPr>
                <w:i w:val="0"/>
                <w:sz w:val="18"/>
              </w:rPr>
              <w:t>Modèle de paroi</w:t>
            </w:r>
          </w:p>
        </w:tc>
        <w:tc>
          <w:tcPr>
            <w:tcW w:type="dxa" w:w="6803"/>
          </w:tcPr>
          <w:p>
            <w:pPr>
              <w:spacing w:after="40"/>
            </w:pPr>
            <w:r/>
            <w:r>
              <w:rPr>
                <w:i w:val="0"/>
                <w:sz w:val="18"/>
              </w:rPr>
              <w:t>physics/heat_conduction.py — OneDimensionalSteadyConduction_ShellnHelicalTube</w:t>
            </w:r>
          </w:p>
        </w:tc>
      </w:tr>
      <w:tr>
        <w:tc>
          <w:tcPr>
            <w:tcW w:type="dxa" w:w="2381"/>
          </w:tcPr>
          <w:p>
            <w:pPr>
              <w:spacing w:after="40"/>
            </w:pPr>
            <w:r/>
            <w:r>
              <w:rPr>
                <w:i w:val="0"/>
                <w:sz w:val="18"/>
              </w:rPr>
              <w:t>Fermeture côté calandre</w:t>
            </w:r>
          </w:p>
        </w:tc>
        <w:tc>
          <w:tcPr>
            <w:tcW w:type="dxa" w:w="6803"/>
          </w:tcPr>
          <w:p>
            <w:pPr>
              <w:spacing w:after="40"/>
            </w:pPr>
            <w:r/>
            <w:r>
              <w:rPr>
                <w:i w:val="0"/>
                <w:sz w:val="18"/>
              </w:rPr>
              <w:t>physics/bell_delaware.py (monophasique) ; physics/liquid_flow/ (diphasique, supercritique)</w:t>
            </w:r>
          </w:p>
        </w:tc>
      </w:tr>
      <w:tr>
        <w:tc>
          <w:tcPr>
            <w:tcW w:type="dxa" w:w="2381"/>
          </w:tcPr>
          <w:p>
            <w:pPr>
              <w:spacing w:after="40"/>
            </w:pPr>
            <w:r/>
            <w:r>
              <w:rPr>
                <w:i w:val="0"/>
                <w:sz w:val="18"/>
              </w:rPr>
              <w:t>Point d'entrée</w:t>
            </w:r>
          </w:p>
        </w:tc>
        <w:tc>
          <w:tcPr>
            <w:tcW w:type="dxa" w:w="6803"/>
          </w:tcPr>
          <w:p>
            <w:pPr>
              <w:spacing w:after="40"/>
            </w:pPr>
            <w:r/>
            <w:r>
              <w:rPr>
                <w:i w:val="0"/>
                <w:sz w:val="18"/>
              </w:rPr>
              <w:t>1Dmodel/main_steady.py — combustorProp.HX_config = "shellntube"</w:t>
            </w:r>
          </w:p>
        </w:tc>
      </w:tr>
      <w:tr>
        <w:tc>
          <w:tcPr>
            <w:tcW w:type="dxa" w:w="2381"/>
          </w:tcPr>
          <w:p>
            <w:pPr>
              <w:spacing w:after="40"/>
            </w:pPr>
            <w:r/>
            <w:r>
              <w:rPr>
                <w:i w:val="0"/>
                <w:sz w:val="18"/>
              </w:rPr>
              <w:t>Unités</w:t>
            </w:r>
          </w:p>
        </w:tc>
        <w:tc>
          <w:tcPr>
            <w:tcW w:type="dxa" w:w="6803"/>
          </w:tcPr>
          <w:p>
            <w:pPr>
              <w:spacing w:after="40"/>
            </w:pPr>
            <w:r/>
            <w:r>
              <w:rPr>
                <w:i w:val="0"/>
                <w:sz w:val="18"/>
              </w:rPr>
              <w:t>SI partout, à l'exception des tables de propriétés matériaux qui sont en °C</w:t>
            </w:r>
          </w:p>
        </w:tc>
      </w:tr>
    </w:tbl>
    <w:p>
      <w:pPr>
        <w:spacing w:after="220"/>
        <w:jc w:val="left"/>
      </w:pPr>
      <w:r>
        <w:rPr>
          <w:b/>
          <w:sz w:val="18"/>
        </w:rPr>
        <w:t xml:space="preserve">Table 1.  </w:t>
      </w:r>
      <w:r>
        <w:rPr>
          <w:i w:val="0"/>
          <w:color w:val="5C6672"/>
          <w:sz w:val="18"/>
        </w:rPr>
        <w:t xml:space="preserve">Périmètre du document et source de référence. Régénérer ce document avec </w:t>
      </w:r>
      <w:r>
        <w:rPr>
          <w:rFonts w:ascii="Consolas" w:hAnsi="Consolas"/>
          <w:i w:val="0"/>
          <w:color w:val="5C6672"/>
          <w:sz w:val="18"/>
        </w:rPr>
        <w:t>docs/generate_shelltube_theory_docx_fr.py</w:t>
      </w:r>
      <w:r>
        <w:rPr>
          <w:i w:val="0"/>
          <w:color w:val="5C6672"/>
          <w:sz w:val="18"/>
        </w:rPr>
        <w:t xml:space="preserve"> après toute modification des équations ou des fermetures.</w:t>
      </w:r>
    </w:p>
    <w:p>
      <w:pPr>
        <w:pStyle w:val="Heading1"/>
      </w:pPr>
      <w:r>
        <w:t>1.  Périmètre et configuration physique</w:t>
      </w:r>
    </w:p>
    <w:p>
      <w:r>
        <w:rPr>
          <w:i w:val="0"/>
        </w:rPr>
        <w:t>Les produits de combustion issus d'un combusteur ergol liquide/oxygène circulent axialement à l'intérieur d'un faisceau de tubes droits. Le réfrigérant s'écoule côté calandre, contraint à un trajet transversal en zigzag par des chicanes segmentées. La chaleur traverse radialement la paroi du tube, du gaz vers le réfrigérant.</w:t>
      </w:r>
    </w:p>
    <w:p>
      <w:r>
        <w:rPr>
          <w:i w:val="0"/>
        </w:rPr>
        <w:t>Ce document spécifie le modèle tel qu'implémenté, y compris les corrélations empiriques et les hypothèses attachées à chacune. Il constitue la base technique commune aux résultats Hélium, LN₂/N₂ supercritique et Eau, qui ne diffèrent que par la branche de fermeture côté réfrigérant sollicitée : la structure côté gaz, la paroi et l'itération sont identiques pour les trois. Les conséquences propres à chaque fluide sont rassemblées en section 10.</w:t>
      </w:r>
    </w:p>
    <w:p>
      <w:pPr>
        <w:pStyle w:val="Heading2"/>
      </w:pPr>
      <w:r>
        <w:t>1.1  Nomenclature</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EDEFF2"/>
          </w:tcPr>
          <w:p>
            <w:pPr>
              <w:spacing w:after="40"/>
            </w:pPr>
            <w:r/>
            <w:r>
              <w:rPr>
                <w:rFonts w:ascii="Calibri Light" w:hAnsi="Calibri Light"/>
                <w:b/>
                <w:sz w:val="17"/>
              </w:rPr>
              <w:t>Symbole</w:t>
            </w:r>
          </w:p>
        </w:tc>
        <w:tc>
          <w:tcPr>
            <w:tcW w:type="dxa" w:w="5329"/>
            <w:shd w:val="clear" w:color="auto" w:fill="EDEFF2"/>
          </w:tcPr>
          <w:p>
            <w:pPr>
              <w:spacing w:after="40"/>
            </w:pPr>
            <w:r/>
            <w:r>
              <w:rPr>
                <w:rFonts w:ascii="Calibri Light" w:hAnsi="Calibri Light"/>
                <w:b/>
                <w:sz w:val="17"/>
              </w:rPr>
              <w:t>Grandeur</w:t>
            </w:r>
          </w:p>
        </w:tc>
        <w:tc>
          <w:tcPr>
            <w:tcW w:type="dxa" w:w="1361"/>
            <w:shd w:val="clear" w:color="auto" w:fill="EDEFF2"/>
          </w:tcPr>
          <w:p>
            <w:pPr>
              <w:spacing w:after="40"/>
            </w:pPr>
            <w:r/>
            <w:r>
              <w:rPr>
                <w:rFonts w:ascii="Calibri Light" w:hAnsi="Calibri Light"/>
                <w:b/>
                <w:sz w:val="17"/>
              </w:rPr>
              <w:t>Unités</w:t>
            </w:r>
          </w:p>
        </w:tc>
      </w:tr>
      <w:tr>
        <w:tc>
          <w:tcPr>
            <w:tcW w:type="dxa" w:w="2494"/>
          </w:tcPr>
          <w:p>
            <w:pPr>
              <w:spacing w:after="40"/>
            </w:pPr>
            <w:r/>
            <w:r>
              <w:rPr>
                <w:rFonts w:ascii="Consolas" w:hAnsi="Consolas"/>
                <w:sz w:val="17"/>
              </w:rPr>
              <w:t>A_i, A_hot, A_cold</w:t>
            </w:r>
          </w:p>
        </w:tc>
        <w:tc>
          <w:tcPr>
            <w:tcW w:type="dxa" w:w="5329"/>
          </w:tcPr>
          <w:p>
            <w:pPr>
              <w:spacing w:after="40"/>
            </w:pPr>
            <w:r/>
            <w:r>
              <w:rPr>
                <w:i w:val="0"/>
                <w:sz w:val="18"/>
              </w:rPr>
              <w:t>Section de passage interne ; aires nodales des faces chaude et froide</w:t>
            </w:r>
          </w:p>
        </w:tc>
        <w:tc>
          <w:tcPr>
            <w:tcW w:type="dxa" w:w="1361"/>
          </w:tcPr>
          <w:p>
            <w:pPr>
              <w:spacing w:after="40"/>
            </w:pPr>
            <w:r/>
            <w:r>
              <w:rPr>
                <w:i w:val="0"/>
                <w:sz w:val="18"/>
              </w:rPr>
              <w:t>m²</w:t>
            </w:r>
          </w:p>
        </w:tc>
      </w:tr>
      <w:tr>
        <w:tc>
          <w:tcPr>
            <w:tcW w:type="dxa" w:w="2494"/>
          </w:tcPr>
          <w:p>
            <w:pPr>
              <w:spacing w:after="40"/>
            </w:pPr>
            <w:r/>
            <w:r>
              <w:rPr>
                <w:rFonts w:ascii="Consolas" w:hAnsi="Consolas"/>
                <w:sz w:val="17"/>
              </w:rPr>
              <w:t>B</w:t>
            </w:r>
          </w:p>
        </w:tc>
        <w:tc>
          <w:tcPr>
            <w:tcW w:type="dxa" w:w="5329"/>
          </w:tcPr>
          <w:p>
            <w:pPr>
              <w:spacing w:after="40"/>
            </w:pPr>
            <w:r/>
            <w:r>
              <w:rPr>
                <w:i w:val="0"/>
                <w:sz w:val="18"/>
              </w:rPr>
              <w:t>Espacement des chicanes</w:t>
            </w:r>
          </w:p>
        </w:tc>
        <w:tc>
          <w:tcPr>
            <w:tcW w:type="dxa" w:w="1361"/>
          </w:tcPr>
          <w:p>
            <w:pPr>
              <w:spacing w:after="40"/>
            </w:pPr>
            <w:r/>
            <w:r>
              <w:rPr>
                <w:i w:val="0"/>
                <w:sz w:val="18"/>
              </w:rPr>
              <w:t>m</w:t>
            </w:r>
          </w:p>
        </w:tc>
      </w:tr>
      <w:tr>
        <w:tc>
          <w:tcPr>
            <w:tcW w:type="dxa" w:w="2494"/>
          </w:tcPr>
          <w:p>
            <w:pPr>
              <w:spacing w:after="40"/>
            </w:pPr>
            <w:r/>
            <w:r>
              <w:rPr>
                <w:rFonts w:ascii="Consolas" w:hAnsi="Consolas"/>
                <w:sz w:val="17"/>
              </w:rPr>
              <w:t>Bo</w:t>
            </w:r>
          </w:p>
        </w:tc>
        <w:tc>
          <w:tcPr>
            <w:tcW w:type="dxa" w:w="5329"/>
          </w:tcPr>
          <w:p>
            <w:pPr>
              <w:spacing w:after="40"/>
            </w:pPr>
            <w:r/>
            <w:r>
              <w:rPr>
                <w:i w:val="0"/>
                <w:sz w:val="18"/>
              </w:rPr>
              <w:t>Nombre d'ébullition, q″/(G h_fg)</w:t>
            </w:r>
          </w:p>
        </w:tc>
        <w:tc>
          <w:tcPr>
            <w:tcW w:type="dxa" w:w="1361"/>
          </w:tcPr>
          <w:p>
            <w:pPr>
              <w:spacing w:after="40"/>
            </w:pPr>
            <w:r/>
            <w:r>
              <w:rPr>
                <w:i w:val="0"/>
                <w:sz w:val="18"/>
              </w:rPr>
              <w:t>–</w:t>
            </w:r>
          </w:p>
        </w:tc>
      </w:tr>
      <w:tr>
        <w:tc>
          <w:tcPr>
            <w:tcW w:type="dxa" w:w="2494"/>
          </w:tcPr>
          <w:p>
            <w:pPr>
              <w:spacing w:after="40"/>
            </w:pPr>
            <w:r/>
            <w:r>
              <w:rPr>
                <w:rFonts w:ascii="Consolas" w:hAnsi="Consolas"/>
                <w:sz w:val="17"/>
              </w:rPr>
              <w:t>cp</w:t>
            </w:r>
          </w:p>
        </w:tc>
        <w:tc>
          <w:tcPr>
            <w:tcW w:type="dxa" w:w="5329"/>
          </w:tcPr>
          <w:p>
            <w:pPr>
              <w:spacing w:after="40"/>
            </w:pPr>
            <w:r/>
            <w:r>
              <w:rPr>
                <w:i w:val="0"/>
                <w:sz w:val="18"/>
              </w:rPr>
              <w:t>Chaleur massique à pression constante</w:t>
            </w:r>
          </w:p>
        </w:tc>
        <w:tc>
          <w:tcPr>
            <w:tcW w:type="dxa" w:w="1361"/>
          </w:tcPr>
          <w:p>
            <w:pPr>
              <w:spacing w:after="40"/>
            </w:pPr>
            <w:r/>
            <w:r>
              <w:rPr>
                <w:i w:val="0"/>
                <w:sz w:val="18"/>
              </w:rPr>
              <w:t>J/(kg·K)</w:t>
            </w:r>
          </w:p>
        </w:tc>
      </w:tr>
      <w:tr>
        <w:tc>
          <w:tcPr>
            <w:tcW w:type="dxa" w:w="2494"/>
          </w:tcPr>
          <w:p>
            <w:pPr>
              <w:spacing w:after="40"/>
            </w:pPr>
            <w:r/>
            <w:r>
              <w:rPr>
                <w:rFonts w:ascii="Consolas" w:hAnsi="Consolas"/>
                <w:sz w:val="17"/>
              </w:rPr>
              <w:t>D_i, D_o</w:t>
            </w:r>
          </w:p>
        </w:tc>
        <w:tc>
          <w:tcPr>
            <w:tcW w:type="dxa" w:w="5329"/>
          </w:tcPr>
          <w:p>
            <w:pPr>
              <w:spacing w:after="40"/>
            </w:pPr>
            <w:r/>
            <w:r>
              <w:rPr>
                <w:i w:val="0"/>
                <w:sz w:val="18"/>
              </w:rPr>
              <w:t>Diamètres intérieur et extérieur du tube</w:t>
            </w:r>
          </w:p>
        </w:tc>
        <w:tc>
          <w:tcPr>
            <w:tcW w:type="dxa" w:w="1361"/>
          </w:tcPr>
          <w:p>
            <w:pPr>
              <w:spacing w:after="40"/>
            </w:pPr>
            <w:r/>
            <w:r>
              <w:rPr>
                <w:i w:val="0"/>
                <w:sz w:val="18"/>
              </w:rPr>
              <w:t>m</w:t>
            </w:r>
          </w:p>
        </w:tc>
      </w:tr>
      <w:tr>
        <w:tc>
          <w:tcPr>
            <w:tcW w:type="dxa" w:w="2494"/>
          </w:tcPr>
          <w:p>
            <w:pPr>
              <w:spacing w:after="40"/>
            </w:pPr>
            <w:r/>
            <w:r>
              <w:rPr>
                <w:rFonts w:ascii="Consolas" w:hAnsi="Consolas"/>
                <w:sz w:val="17"/>
              </w:rPr>
              <w:t>D_s, D_otl</w:t>
            </w:r>
          </w:p>
        </w:tc>
        <w:tc>
          <w:tcPr>
            <w:tcW w:type="dxa" w:w="5329"/>
          </w:tcPr>
          <w:p>
            <w:pPr>
              <w:spacing w:after="40"/>
            </w:pPr>
            <w:r/>
            <w:r>
              <w:rPr>
                <w:i w:val="0"/>
                <w:sz w:val="18"/>
              </w:rPr>
              <w:t>Diamètre intérieur de calandre ; diamètre d'enveloppe du faisceau</w:t>
            </w:r>
          </w:p>
        </w:tc>
        <w:tc>
          <w:tcPr>
            <w:tcW w:type="dxa" w:w="1361"/>
          </w:tcPr>
          <w:p>
            <w:pPr>
              <w:spacing w:after="40"/>
            </w:pPr>
            <w:r/>
            <w:r>
              <w:rPr>
                <w:i w:val="0"/>
                <w:sz w:val="18"/>
              </w:rPr>
              <w:t>m</w:t>
            </w:r>
          </w:p>
        </w:tc>
      </w:tr>
      <w:tr>
        <w:tc>
          <w:tcPr>
            <w:tcW w:type="dxa" w:w="2494"/>
          </w:tcPr>
          <w:p>
            <w:pPr>
              <w:spacing w:after="40"/>
            </w:pPr>
            <w:r/>
            <w:r>
              <w:rPr>
                <w:rFonts w:ascii="Consolas" w:hAnsi="Consolas"/>
                <w:sz w:val="17"/>
              </w:rPr>
              <w:t>dQ_i</w:t>
            </w:r>
          </w:p>
        </w:tc>
        <w:tc>
          <w:tcPr>
            <w:tcW w:type="dxa" w:w="5329"/>
          </w:tcPr>
          <w:p>
            <w:pPr>
              <w:spacing w:after="40"/>
            </w:pPr>
            <w:r/>
            <w:r>
              <w:rPr>
                <w:i w:val="0"/>
                <w:sz w:val="18"/>
              </w:rPr>
              <w:t>Puissance thermique au nœud i, par tube</w:t>
            </w:r>
          </w:p>
        </w:tc>
        <w:tc>
          <w:tcPr>
            <w:tcW w:type="dxa" w:w="1361"/>
          </w:tcPr>
          <w:p>
            <w:pPr>
              <w:spacing w:after="40"/>
            </w:pPr>
            <w:r/>
            <w:r>
              <w:rPr>
                <w:i w:val="0"/>
                <w:sz w:val="18"/>
              </w:rPr>
              <w:t>W</w:t>
            </w:r>
          </w:p>
        </w:tc>
      </w:tr>
      <w:tr>
        <w:tc>
          <w:tcPr>
            <w:tcW w:type="dxa" w:w="2494"/>
          </w:tcPr>
          <w:p>
            <w:pPr>
              <w:spacing w:after="40"/>
            </w:pPr>
            <w:r/>
            <w:r>
              <w:rPr>
                <w:rFonts w:ascii="Consolas" w:hAnsi="Consolas"/>
                <w:sz w:val="17"/>
              </w:rPr>
              <w:t>f</w:t>
            </w:r>
          </w:p>
        </w:tc>
        <w:tc>
          <w:tcPr>
            <w:tcW w:type="dxa" w:w="5329"/>
          </w:tcPr>
          <w:p>
            <w:pPr>
              <w:spacing w:after="40"/>
            </w:pPr>
            <w:r/>
            <w:r>
              <w:rPr>
                <w:i w:val="0"/>
                <w:sz w:val="18"/>
              </w:rPr>
              <w:t>Coefficient de frottement de Darcy</w:t>
            </w:r>
          </w:p>
        </w:tc>
        <w:tc>
          <w:tcPr>
            <w:tcW w:type="dxa" w:w="1361"/>
          </w:tcPr>
          <w:p>
            <w:pPr>
              <w:spacing w:after="40"/>
            </w:pPr>
            <w:r/>
            <w:r>
              <w:rPr>
                <w:i w:val="0"/>
                <w:sz w:val="18"/>
              </w:rPr>
              <w:t>–</w:t>
            </w:r>
          </w:p>
        </w:tc>
      </w:tr>
      <w:tr>
        <w:tc>
          <w:tcPr>
            <w:tcW w:type="dxa" w:w="2494"/>
          </w:tcPr>
          <w:p>
            <w:pPr>
              <w:spacing w:after="40"/>
            </w:pPr>
            <w:r/>
            <w:r>
              <w:rPr>
                <w:rFonts w:ascii="Consolas" w:hAnsi="Consolas"/>
                <w:sz w:val="17"/>
              </w:rPr>
              <w:t>G_s, G_w</w:t>
            </w:r>
          </w:p>
        </w:tc>
        <w:tc>
          <w:tcPr>
            <w:tcW w:type="dxa" w:w="5329"/>
          </w:tcPr>
          <w:p>
            <w:pPr>
              <w:spacing w:after="40"/>
            </w:pPr>
            <w:r/>
            <w:r>
              <w:rPr>
                <w:i w:val="0"/>
                <w:sz w:val="18"/>
              </w:rPr>
              <w:t>Flux massiques transversal et en fenêtre, côté calandre</w:t>
            </w:r>
          </w:p>
        </w:tc>
        <w:tc>
          <w:tcPr>
            <w:tcW w:type="dxa" w:w="1361"/>
          </w:tcPr>
          <w:p>
            <w:pPr>
              <w:spacing w:after="40"/>
            </w:pPr>
            <w:r/>
            <w:r>
              <w:rPr>
                <w:i w:val="0"/>
                <w:sz w:val="18"/>
              </w:rPr>
              <w:t>kg/(m²·s)</w:t>
            </w:r>
          </w:p>
        </w:tc>
      </w:tr>
      <w:tr>
        <w:tc>
          <w:tcPr>
            <w:tcW w:type="dxa" w:w="2494"/>
          </w:tcPr>
          <w:p>
            <w:pPr>
              <w:spacing w:after="40"/>
            </w:pPr>
            <w:r/>
            <w:r>
              <w:rPr>
                <w:rFonts w:ascii="Consolas" w:hAnsi="Consolas"/>
                <w:sz w:val="17"/>
              </w:rPr>
              <w:t>h</w:t>
            </w:r>
          </w:p>
        </w:tc>
        <w:tc>
          <w:tcPr>
            <w:tcW w:type="dxa" w:w="5329"/>
          </w:tcPr>
          <w:p>
            <w:pPr>
              <w:spacing w:after="40"/>
            </w:pPr>
            <w:r/>
            <w:r>
              <w:rPr>
                <w:i w:val="0"/>
                <w:sz w:val="18"/>
              </w:rPr>
              <w:t>Enthalpie massique</w:t>
            </w:r>
          </w:p>
        </w:tc>
        <w:tc>
          <w:tcPr>
            <w:tcW w:type="dxa" w:w="1361"/>
          </w:tcPr>
          <w:p>
            <w:pPr>
              <w:spacing w:after="40"/>
            </w:pPr>
            <w:r/>
            <w:r>
              <w:rPr>
                <w:i w:val="0"/>
                <w:sz w:val="18"/>
              </w:rPr>
              <w:t>J/kg</w:t>
            </w:r>
          </w:p>
        </w:tc>
      </w:tr>
      <w:tr>
        <w:tc>
          <w:tcPr>
            <w:tcW w:type="dxa" w:w="2494"/>
          </w:tcPr>
          <w:p>
            <w:pPr>
              <w:spacing w:after="40"/>
            </w:pPr>
            <w:r/>
            <w:r>
              <w:rPr>
                <w:rFonts w:ascii="Consolas" w:hAnsi="Consolas"/>
                <w:sz w:val="17"/>
              </w:rPr>
              <w:t>h_g, h_c</w:t>
            </w:r>
          </w:p>
        </w:tc>
        <w:tc>
          <w:tcPr>
            <w:tcW w:type="dxa" w:w="5329"/>
          </w:tcPr>
          <w:p>
            <w:pPr>
              <w:spacing w:after="40"/>
            </w:pPr>
            <w:r/>
            <w:r>
              <w:rPr>
                <w:i w:val="0"/>
                <w:sz w:val="18"/>
              </w:rPr>
              <w:t>Coefficients d'échange côté gaz et côté réfrigérant</w:t>
            </w:r>
          </w:p>
        </w:tc>
        <w:tc>
          <w:tcPr>
            <w:tcW w:type="dxa" w:w="1361"/>
          </w:tcPr>
          <w:p>
            <w:pPr>
              <w:spacing w:after="40"/>
            </w:pPr>
            <w:r/>
            <w:r>
              <w:rPr>
                <w:i w:val="0"/>
                <w:sz w:val="18"/>
              </w:rPr>
              <w:t>W/(m²·K)</w:t>
            </w:r>
          </w:p>
        </w:tc>
      </w:tr>
      <w:tr>
        <w:tc>
          <w:tcPr>
            <w:tcW w:type="dxa" w:w="2494"/>
          </w:tcPr>
          <w:p>
            <w:pPr>
              <w:spacing w:after="40"/>
            </w:pPr>
            <w:r/>
            <w:r>
              <w:rPr>
                <w:rFonts w:ascii="Consolas" w:hAnsi="Consolas"/>
                <w:sz w:val="17"/>
              </w:rPr>
              <w:t>h_fg</w:t>
            </w:r>
          </w:p>
        </w:tc>
        <w:tc>
          <w:tcPr>
            <w:tcW w:type="dxa" w:w="5329"/>
          </w:tcPr>
          <w:p>
            <w:pPr>
              <w:spacing w:after="40"/>
            </w:pPr>
            <w:r/>
            <w:r>
              <w:rPr>
                <w:i w:val="0"/>
                <w:sz w:val="18"/>
              </w:rPr>
              <w:t>Chaleur latente de vaporisation</w:t>
            </w:r>
          </w:p>
        </w:tc>
        <w:tc>
          <w:tcPr>
            <w:tcW w:type="dxa" w:w="1361"/>
          </w:tcPr>
          <w:p>
            <w:pPr>
              <w:spacing w:after="40"/>
            </w:pPr>
            <w:r/>
            <w:r>
              <w:rPr>
                <w:i w:val="0"/>
                <w:sz w:val="18"/>
              </w:rPr>
              <w:t>J/kg</w:t>
            </w:r>
          </w:p>
        </w:tc>
      </w:tr>
      <w:tr>
        <w:tc>
          <w:tcPr>
            <w:tcW w:type="dxa" w:w="2494"/>
          </w:tcPr>
          <w:p>
            <w:pPr>
              <w:spacing w:after="40"/>
            </w:pPr>
            <w:r/>
            <w:r>
              <w:rPr>
                <w:rFonts w:ascii="Consolas" w:hAnsi="Consolas"/>
                <w:sz w:val="17"/>
              </w:rPr>
              <w:t>j</w:t>
            </w:r>
          </w:p>
        </w:tc>
        <w:tc>
          <w:tcPr>
            <w:tcW w:type="dxa" w:w="5329"/>
          </w:tcPr>
          <w:p>
            <w:pPr>
              <w:spacing w:after="40"/>
            </w:pPr>
            <w:r/>
            <w:r>
              <w:rPr>
                <w:i w:val="0"/>
                <w:sz w:val="18"/>
              </w:rPr>
              <w:t>Facteur j de Colburn</w:t>
            </w:r>
          </w:p>
        </w:tc>
        <w:tc>
          <w:tcPr>
            <w:tcW w:type="dxa" w:w="1361"/>
          </w:tcPr>
          <w:p>
            <w:pPr>
              <w:spacing w:after="40"/>
            </w:pPr>
            <w:r/>
            <w:r>
              <w:rPr>
                <w:i w:val="0"/>
                <w:sz w:val="18"/>
              </w:rPr>
              <w:t>–</w:t>
            </w:r>
          </w:p>
        </w:tc>
      </w:tr>
      <w:tr>
        <w:tc>
          <w:tcPr>
            <w:tcW w:type="dxa" w:w="2494"/>
          </w:tcPr>
          <w:p>
            <w:pPr>
              <w:spacing w:after="40"/>
            </w:pPr>
            <w:r/>
            <w:r>
              <w:rPr>
                <w:rFonts w:ascii="Consolas" w:hAnsi="Consolas"/>
                <w:sz w:val="17"/>
              </w:rPr>
              <w:t>k_w</w:t>
            </w:r>
          </w:p>
        </w:tc>
        <w:tc>
          <w:tcPr>
            <w:tcW w:type="dxa" w:w="5329"/>
          </w:tcPr>
          <w:p>
            <w:pPr>
              <w:spacing w:after="40"/>
            </w:pPr>
            <w:r/>
            <w:r>
              <w:rPr>
                <w:i w:val="0"/>
                <w:sz w:val="18"/>
              </w:rPr>
              <w:t>Conductivité thermique de la paroi</w:t>
            </w:r>
          </w:p>
        </w:tc>
        <w:tc>
          <w:tcPr>
            <w:tcW w:type="dxa" w:w="1361"/>
          </w:tcPr>
          <w:p>
            <w:pPr>
              <w:spacing w:after="40"/>
            </w:pPr>
            <w:r/>
            <w:r>
              <w:rPr>
                <w:i w:val="0"/>
                <w:sz w:val="18"/>
              </w:rPr>
              <w:t>W/(m·K)</w:t>
            </w:r>
          </w:p>
        </w:tc>
      </w:tr>
      <w:tr>
        <w:tc>
          <w:tcPr>
            <w:tcW w:type="dxa" w:w="2494"/>
          </w:tcPr>
          <w:p>
            <w:pPr>
              <w:spacing w:after="40"/>
            </w:pPr>
            <w:r/>
            <w:r>
              <w:rPr>
                <w:rFonts w:ascii="Consolas" w:hAnsi="Consolas"/>
                <w:sz w:val="17"/>
              </w:rPr>
              <w:t>L_tube</w:t>
            </w:r>
          </w:p>
        </w:tc>
        <w:tc>
          <w:tcPr>
            <w:tcW w:type="dxa" w:w="5329"/>
          </w:tcPr>
          <w:p>
            <w:pPr>
              <w:spacing w:after="40"/>
            </w:pPr>
            <w:r/>
            <w:r>
              <w:rPr>
                <w:i w:val="0"/>
                <w:sz w:val="18"/>
              </w:rPr>
              <w:t>Longueur de tube</w:t>
            </w:r>
          </w:p>
        </w:tc>
        <w:tc>
          <w:tcPr>
            <w:tcW w:type="dxa" w:w="1361"/>
          </w:tcPr>
          <w:p>
            <w:pPr>
              <w:spacing w:after="40"/>
            </w:pPr>
            <w:r/>
            <w:r>
              <w:rPr>
                <w:i w:val="0"/>
                <w:sz w:val="18"/>
              </w:rPr>
              <w:t>m</w:t>
            </w:r>
          </w:p>
        </w:tc>
      </w:tr>
      <w:tr>
        <w:tc>
          <w:tcPr>
            <w:tcW w:type="dxa" w:w="2494"/>
          </w:tcPr>
          <w:p>
            <w:pPr>
              <w:spacing w:after="40"/>
            </w:pPr>
            <w:r/>
            <w:r>
              <w:rPr>
                <w:rFonts w:ascii="Consolas" w:hAnsi="Consolas"/>
                <w:sz w:val="17"/>
              </w:rPr>
              <w:t>ṁ_g, ṁ_c, ṁ_tube</w:t>
            </w:r>
          </w:p>
        </w:tc>
        <w:tc>
          <w:tcPr>
            <w:tcW w:type="dxa" w:w="5329"/>
          </w:tcPr>
          <w:p>
            <w:pPr>
              <w:spacing w:after="40"/>
            </w:pPr>
            <w:r/>
            <w:r>
              <w:rPr>
                <w:i w:val="0"/>
                <w:sz w:val="18"/>
              </w:rPr>
              <w:t>Débits massiques gaz chaud, réfrigérant et par tube</w:t>
            </w:r>
          </w:p>
        </w:tc>
        <w:tc>
          <w:tcPr>
            <w:tcW w:type="dxa" w:w="1361"/>
          </w:tcPr>
          <w:p>
            <w:pPr>
              <w:spacing w:after="40"/>
            </w:pPr>
            <w:r/>
            <w:r>
              <w:rPr>
                <w:i w:val="0"/>
                <w:sz w:val="18"/>
              </w:rPr>
              <w:t>kg/s</w:t>
            </w:r>
          </w:p>
        </w:tc>
      </w:tr>
      <w:tr>
        <w:tc>
          <w:tcPr>
            <w:tcW w:type="dxa" w:w="2494"/>
          </w:tcPr>
          <w:p>
            <w:pPr>
              <w:spacing w:after="40"/>
            </w:pPr>
            <w:r/>
            <w:r>
              <w:rPr>
                <w:rFonts w:ascii="Consolas" w:hAnsi="Consolas"/>
                <w:sz w:val="17"/>
              </w:rPr>
              <w:t>N, N_tubes, N_b</w:t>
            </w:r>
          </w:p>
        </w:tc>
        <w:tc>
          <w:tcPr>
            <w:tcW w:type="dxa" w:w="5329"/>
          </w:tcPr>
          <w:p>
            <w:pPr>
              <w:spacing w:after="40"/>
            </w:pPr>
            <w:r/>
            <w:r>
              <w:rPr>
                <w:i w:val="0"/>
                <w:sz w:val="18"/>
              </w:rPr>
              <w:t>Nœuds axiaux ; tubes du faisceau ; chicanes</w:t>
            </w:r>
          </w:p>
        </w:tc>
        <w:tc>
          <w:tcPr>
            <w:tcW w:type="dxa" w:w="1361"/>
          </w:tcPr>
          <w:p>
            <w:pPr>
              <w:spacing w:after="40"/>
            </w:pPr>
            <w:r/>
            <w:r>
              <w:rPr>
                <w:i w:val="0"/>
                <w:sz w:val="18"/>
              </w:rPr>
              <w:t>–</w:t>
            </w:r>
          </w:p>
        </w:tc>
      </w:tr>
      <w:tr>
        <w:tc>
          <w:tcPr>
            <w:tcW w:type="dxa" w:w="2494"/>
          </w:tcPr>
          <w:p>
            <w:pPr>
              <w:spacing w:after="40"/>
            </w:pPr>
            <w:r/>
            <w:r>
              <w:rPr>
                <w:rFonts w:ascii="Consolas" w:hAnsi="Consolas"/>
                <w:sz w:val="17"/>
              </w:rPr>
              <w:t>N_tcc, N_tcw</w:t>
            </w:r>
          </w:p>
        </w:tc>
        <w:tc>
          <w:tcPr>
            <w:tcW w:type="dxa" w:w="5329"/>
          </w:tcPr>
          <w:p>
            <w:pPr>
              <w:spacing w:after="40"/>
            </w:pPr>
            <w:r/>
            <w:r>
              <w:rPr>
                <w:i w:val="0"/>
                <w:sz w:val="18"/>
              </w:rPr>
              <w:t>Rangées traversées par section transversale ; par fenêtre</w:t>
            </w:r>
          </w:p>
        </w:tc>
        <w:tc>
          <w:tcPr>
            <w:tcW w:type="dxa" w:w="1361"/>
          </w:tcPr>
          <w:p>
            <w:pPr>
              <w:spacing w:after="40"/>
            </w:pPr>
            <w:r/>
            <w:r>
              <w:rPr>
                <w:i w:val="0"/>
                <w:sz w:val="18"/>
              </w:rPr>
              <w:t>–</w:t>
            </w:r>
          </w:p>
        </w:tc>
      </w:tr>
      <w:tr>
        <w:tc>
          <w:tcPr>
            <w:tcW w:type="dxa" w:w="2494"/>
          </w:tcPr>
          <w:p>
            <w:pPr>
              <w:spacing w:after="40"/>
            </w:pPr>
            <w:r/>
            <w:r>
              <w:rPr>
                <w:rFonts w:ascii="Consolas" w:hAnsi="Consolas"/>
                <w:sz w:val="17"/>
              </w:rPr>
              <w:t>Nu, Pr, Re</w:t>
            </w:r>
          </w:p>
        </w:tc>
        <w:tc>
          <w:tcPr>
            <w:tcW w:type="dxa" w:w="5329"/>
          </w:tcPr>
          <w:p>
            <w:pPr>
              <w:spacing w:after="40"/>
            </w:pPr>
            <w:r/>
            <w:r>
              <w:rPr>
                <w:i w:val="0"/>
                <w:sz w:val="18"/>
              </w:rPr>
              <w:t>Nombres de Nusselt, Prandtl, Reynolds</w:t>
            </w:r>
          </w:p>
        </w:tc>
        <w:tc>
          <w:tcPr>
            <w:tcW w:type="dxa" w:w="1361"/>
          </w:tcPr>
          <w:p>
            <w:pPr>
              <w:spacing w:after="40"/>
            </w:pPr>
            <w:r/>
            <w:r>
              <w:rPr>
                <w:i w:val="0"/>
                <w:sz w:val="18"/>
              </w:rPr>
              <w:t>–</w:t>
            </w:r>
          </w:p>
        </w:tc>
      </w:tr>
      <w:tr>
        <w:tc>
          <w:tcPr>
            <w:tcW w:type="dxa" w:w="2494"/>
          </w:tcPr>
          <w:p>
            <w:pPr>
              <w:spacing w:after="40"/>
            </w:pPr>
            <w:r/>
            <w:r>
              <w:rPr>
                <w:rFonts w:ascii="Consolas" w:hAnsi="Consolas"/>
                <w:sz w:val="17"/>
              </w:rPr>
              <w:t>p, p_r</w:t>
            </w:r>
          </w:p>
        </w:tc>
        <w:tc>
          <w:tcPr>
            <w:tcW w:type="dxa" w:w="5329"/>
          </w:tcPr>
          <w:p>
            <w:pPr>
              <w:spacing w:after="40"/>
            </w:pPr>
            <w:r/>
            <w:r>
              <w:rPr>
                <w:i w:val="0"/>
                <w:sz w:val="18"/>
              </w:rPr>
              <w:t>Pression ; pression réduite p/p_crit</w:t>
            </w:r>
          </w:p>
        </w:tc>
        <w:tc>
          <w:tcPr>
            <w:tcW w:type="dxa" w:w="1361"/>
          </w:tcPr>
          <w:p>
            <w:pPr>
              <w:spacing w:after="40"/>
            </w:pPr>
            <w:r/>
            <w:r>
              <w:rPr>
                <w:i w:val="0"/>
                <w:sz w:val="18"/>
              </w:rPr>
              <w:t>Pa, –</w:t>
            </w:r>
          </w:p>
        </w:tc>
      </w:tr>
      <w:tr>
        <w:tc>
          <w:tcPr>
            <w:tcW w:type="dxa" w:w="2494"/>
          </w:tcPr>
          <w:p>
            <w:pPr>
              <w:spacing w:after="40"/>
            </w:pPr>
            <w:r/>
            <w:r>
              <w:rPr>
                <w:rFonts w:ascii="Consolas" w:hAnsi="Consolas"/>
                <w:sz w:val="17"/>
              </w:rPr>
              <w:t>P_t, P_n</w:t>
            </w:r>
          </w:p>
        </w:tc>
        <w:tc>
          <w:tcPr>
            <w:tcW w:type="dxa" w:w="5329"/>
          </w:tcPr>
          <w:p>
            <w:pPr>
              <w:spacing w:after="40"/>
            </w:pPr>
            <w:r/>
            <w:r>
              <w:rPr>
                <w:i w:val="0"/>
                <w:sz w:val="18"/>
              </w:rPr>
              <w:t>Pas des tubes ; pas normal à l'écoulement</w:t>
            </w:r>
          </w:p>
        </w:tc>
        <w:tc>
          <w:tcPr>
            <w:tcW w:type="dxa" w:w="1361"/>
          </w:tcPr>
          <w:p>
            <w:pPr>
              <w:spacing w:after="40"/>
            </w:pPr>
            <w:r/>
            <w:r>
              <w:rPr>
                <w:i w:val="0"/>
                <w:sz w:val="18"/>
              </w:rPr>
              <w:t>m</w:t>
            </w:r>
          </w:p>
        </w:tc>
      </w:tr>
      <w:tr>
        <w:tc>
          <w:tcPr>
            <w:tcW w:type="dxa" w:w="2494"/>
          </w:tcPr>
          <w:p>
            <w:pPr>
              <w:spacing w:after="40"/>
            </w:pPr>
            <w:r/>
            <w:r>
              <w:rPr>
                <w:rFonts w:ascii="Consolas" w:hAnsi="Consolas"/>
                <w:sz w:val="17"/>
              </w:rPr>
              <w:t>q″_w</w:t>
            </w:r>
          </w:p>
        </w:tc>
        <w:tc>
          <w:tcPr>
            <w:tcW w:type="dxa" w:w="5329"/>
          </w:tcPr>
          <w:p>
            <w:pPr>
              <w:spacing w:after="40"/>
            </w:pPr>
            <w:r/>
            <w:r>
              <w:rPr>
                <w:i w:val="0"/>
                <w:sz w:val="18"/>
              </w:rPr>
              <w:t>Densité de flux pariétal, rapportée à l'aire extérieure</w:t>
            </w:r>
          </w:p>
        </w:tc>
        <w:tc>
          <w:tcPr>
            <w:tcW w:type="dxa" w:w="1361"/>
          </w:tcPr>
          <w:p>
            <w:pPr>
              <w:spacing w:after="40"/>
            </w:pPr>
            <w:r/>
            <w:r>
              <w:rPr>
                <w:i w:val="0"/>
                <w:sz w:val="18"/>
              </w:rPr>
              <w:t>W/m²</w:t>
            </w:r>
          </w:p>
        </w:tc>
      </w:tr>
      <w:tr>
        <w:tc>
          <w:tcPr>
            <w:tcW w:type="dxa" w:w="2494"/>
          </w:tcPr>
          <w:p>
            <w:pPr>
              <w:spacing w:after="40"/>
            </w:pPr>
            <w:r/>
            <w:r>
              <w:rPr>
                <w:rFonts w:ascii="Consolas" w:hAnsi="Consolas"/>
                <w:sz w:val="17"/>
              </w:rPr>
              <w:t>R_wall</w:t>
            </w:r>
          </w:p>
        </w:tc>
        <w:tc>
          <w:tcPr>
            <w:tcW w:type="dxa" w:w="5329"/>
          </w:tcPr>
          <w:p>
            <w:pPr>
              <w:spacing w:after="40"/>
            </w:pPr>
            <w:r/>
            <w:r>
              <w:rPr>
                <w:i w:val="0"/>
                <w:sz w:val="18"/>
              </w:rPr>
              <w:t>Résistance thermique nodale de paroi (cylindrique)</w:t>
            </w:r>
          </w:p>
        </w:tc>
        <w:tc>
          <w:tcPr>
            <w:tcW w:type="dxa" w:w="1361"/>
          </w:tcPr>
          <w:p>
            <w:pPr>
              <w:spacing w:after="40"/>
            </w:pPr>
            <w:r/>
            <w:r>
              <w:rPr>
                <w:i w:val="0"/>
                <w:sz w:val="18"/>
              </w:rPr>
              <w:t>K/W</w:t>
            </w:r>
          </w:p>
        </w:tc>
      </w:tr>
      <w:tr>
        <w:tc>
          <w:tcPr>
            <w:tcW w:type="dxa" w:w="2494"/>
          </w:tcPr>
          <w:p>
            <w:pPr>
              <w:spacing w:after="40"/>
            </w:pPr>
            <w:r/>
            <w:r>
              <w:rPr>
                <w:rFonts w:ascii="Consolas" w:hAnsi="Consolas"/>
                <w:sz w:val="17"/>
              </w:rPr>
              <w:t>S_m, S_w, S_tb, S_sb, S_b</w:t>
            </w:r>
          </w:p>
        </w:tc>
        <w:tc>
          <w:tcPr>
            <w:tcW w:type="dxa" w:w="5329"/>
          </w:tcPr>
          <w:p>
            <w:pPr>
              <w:spacing w:after="40"/>
            </w:pPr>
            <w:r/>
            <w:r>
              <w:rPr>
                <w:i w:val="0"/>
                <w:sz w:val="18"/>
              </w:rPr>
              <w:t>Aires Bell-Delaware : transversale, fenêtre, tube-chicane, calandre-chicane, contournement</w:t>
            </w:r>
          </w:p>
        </w:tc>
        <w:tc>
          <w:tcPr>
            <w:tcW w:type="dxa" w:w="1361"/>
          </w:tcPr>
          <w:p>
            <w:pPr>
              <w:spacing w:after="40"/>
            </w:pPr>
            <w:r/>
            <w:r>
              <w:rPr>
                <w:i w:val="0"/>
                <w:sz w:val="18"/>
              </w:rPr>
              <w:t>m²</w:t>
            </w:r>
          </w:p>
        </w:tc>
      </w:tr>
      <w:tr>
        <w:tc>
          <w:tcPr>
            <w:tcW w:type="dxa" w:w="2494"/>
          </w:tcPr>
          <w:p>
            <w:pPr>
              <w:spacing w:after="40"/>
            </w:pPr>
            <w:r/>
            <w:r>
              <w:rPr>
                <w:rFonts w:ascii="Consolas" w:hAnsi="Consolas"/>
                <w:sz w:val="17"/>
              </w:rPr>
              <w:t>s_w</w:t>
            </w:r>
          </w:p>
        </w:tc>
        <w:tc>
          <w:tcPr>
            <w:tcW w:type="dxa" w:w="5329"/>
          </w:tcPr>
          <w:p>
            <w:pPr>
              <w:spacing w:after="40"/>
            </w:pPr>
            <w:r/>
            <w:r>
              <w:rPr>
                <w:i w:val="0"/>
                <w:sz w:val="18"/>
              </w:rPr>
              <w:t>Épaisseur de paroi du tube</w:t>
            </w:r>
          </w:p>
        </w:tc>
        <w:tc>
          <w:tcPr>
            <w:tcW w:type="dxa" w:w="1361"/>
          </w:tcPr>
          <w:p>
            <w:pPr>
              <w:spacing w:after="40"/>
            </w:pPr>
            <w:r/>
            <w:r>
              <w:rPr>
                <w:i w:val="0"/>
                <w:sz w:val="18"/>
              </w:rPr>
              <w:t>m</w:t>
            </w:r>
          </w:p>
        </w:tc>
      </w:tr>
      <w:tr>
        <w:tc>
          <w:tcPr>
            <w:tcW w:type="dxa" w:w="2494"/>
          </w:tcPr>
          <w:p>
            <w:pPr>
              <w:spacing w:after="40"/>
            </w:pPr>
            <w:r/>
            <w:r>
              <w:rPr>
                <w:rFonts w:ascii="Consolas" w:hAnsi="Consolas"/>
                <w:sz w:val="17"/>
              </w:rPr>
              <w:t>T_g, T_c</w:t>
            </w:r>
          </w:p>
        </w:tc>
        <w:tc>
          <w:tcPr>
            <w:tcW w:type="dxa" w:w="5329"/>
          </w:tcPr>
          <w:p>
            <w:pPr>
              <w:spacing w:after="40"/>
            </w:pPr>
            <w:r/>
            <w:r>
              <w:rPr>
                <w:i w:val="0"/>
                <w:sz w:val="18"/>
              </w:rPr>
              <w:t>Températures de mélange du gaz et du réfrigérant</w:t>
            </w:r>
          </w:p>
        </w:tc>
        <w:tc>
          <w:tcPr>
            <w:tcW w:type="dxa" w:w="1361"/>
          </w:tcPr>
          <w:p>
            <w:pPr>
              <w:spacing w:after="40"/>
            </w:pPr>
            <w:r/>
            <w:r>
              <w:rPr>
                <w:i w:val="0"/>
                <w:sz w:val="18"/>
              </w:rPr>
              <w:t>K</w:t>
            </w:r>
          </w:p>
        </w:tc>
      </w:tr>
      <w:tr>
        <w:tc>
          <w:tcPr>
            <w:tcW w:type="dxa" w:w="2494"/>
          </w:tcPr>
          <w:p>
            <w:pPr>
              <w:spacing w:after="40"/>
            </w:pPr>
            <w:r/>
            <w:r>
              <w:rPr>
                <w:rFonts w:ascii="Consolas" w:hAnsi="Consolas"/>
                <w:sz w:val="17"/>
              </w:rPr>
              <w:t>T_wg, T_wc</w:t>
            </w:r>
          </w:p>
        </w:tc>
        <w:tc>
          <w:tcPr>
            <w:tcW w:type="dxa" w:w="5329"/>
          </w:tcPr>
          <w:p>
            <w:pPr>
              <w:spacing w:after="40"/>
            </w:pPr>
            <w:r/>
            <w:r>
              <w:rPr>
                <w:i w:val="0"/>
                <w:sz w:val="18"/>
              </w:rPr>
              <w:t>Températures de paroi côté gaz et côté réfrigérant</w:t>
            </w:r>
          </w:p>
        </w:tc>
        <w:tc>
          <w:tcPr>
            <w:tcW w:type="dxa" w:w="1361"/>
          </w:tcPr>
          <w:p>
            <w:pPr>
              <w:spacing w:after="40"/>
            </w:pPr>
            <w:r/>
            <w:r>
              <w:rPr>
                <w:i w:val="0"/>
                <w:sz w:val="18"/>
              </w:rPr>
              <w:t>K</w:t>
            </w:r>
          </w:p>
        </w:tc>
      </w:tr>
      <w:tr>
        <w:tc>
          <w:tcPr>
            <w:tcW w:type="dxa" w:w="2494"/>
          </w:tcPr>
          <w:p>
            <w:pPr>
              <w:spacing w:after="40"/>
            </w:pPr>
            <w:r/>
            <w:r>
              <w:rPr>
                <w:rFonts w:ascii="Consolas" w:hAnsi="Consolas"/>
                <w:sz w:val="17"/>
              </w:rPr>
              <w:t>T_pc</w:t>
            </w:r>
          </w:p>
        </w:tc>
        <w:tc>
          <w:tcPr>
            <w:tcW w:type="dxa" w:w="5329"/>
          </w:tcPr>
          <w:p>
            <w:pPr>
              <w:spacing w:after="40"/>
            </w:pPr>
            <w:r/>
            <w:r>
              <w:rPr>
                <w:i w:val="0"/>
                <w:sz w:val="18"/>
              </w:rPr>
              <w:t>Température pseudo-critique à la pression considérée</w:t>
            </w:r>
          </w:p>
        </w:tc>
        <w:tc>
          <w:tcPr>
            <w:tcW w:type="dxa" w:w="1361"/>
          </w:tcPr>
          <w:p>
            <w:pPr>
              <w:spacing w:after="40"/>
            </w:pPr>
            <w:r/>
            <w:r>
              <w:rPr>
                <w:i w:val="0"/>
                <w:sz w:val="18"/>
              </w:rPr>
              <w:t>K</w:t>
            </w:r>
          </w:p>
        </w:tc>
      </w:tr>
      <w:tr>
        <w:tc>
          <w:tcPr>
            <w:tcW w:type="dxa" w:w="2494"/>
          </w:tcPr>
          <w:p>
            <w:pPr>
              <w:spacing w:after="40"/>
            </w:pPr>
            <w:r/>
            <w:r>
              <w:rPr>
                <w:rFonts w:ascii="Consolas" w:hAnsi="Consolas"/>
                <w:sz w:val="17"/>
              </w:rPr>
              <w:t>UA</w:t>
            </w:r>
          </w:p>
        </w:tc>
        <w:tc>
          <w:tcPr>
            <w:tcW w:type="dxa" w:w="5329"/>
          </w:tcPr>
          <w:p>
            <w:pPr>
              <w:spacing w:after="40"/>
            </w:pPr>
            <w:r/>
            <w:r>
              <w:rPr>
                <w:i w:val="0"/>
                <w:sz w:val="18"/>
              </w:rPr>
              <w:t>Conductance globale nodale</w:t>
            </w:r>
          </w:p>
        </w:tc>
        <w:tc>
          <w:tcPr>
            <w:tcW w:type="dxa" w:w="1361"/>
          </w:tcPr>
          <w:p>
            <w:pPr>
              <w:spacing w:after="40"/>
            </w:pPr>
            <w:r/>
            <w:r>
              <w:rPr>
                <w:i w:val="0"/>
                <w:sz w:val="18"/>
              </w:rPr>
              <w:t>W/K</w:t>
            </w:r>
          </w:p>
        </w:tc>
      </w:tr>
      <w:tr>
        <w:tc>
          <w:tcPr>
            <w:tcW w:type="dxa" w:w="2494"/>
          </w:tcPr>
          <w:p>
            <w:pPr>
              <w:spacing w:after="40"/>
            </w:pPr>
            <w:r/>
            <w:r>
              <w:rPr>
                <w:rFonts w:ascii="Consolas" w:hAnsi="Consolas"/>
                <w:sz w:val="17"/>
              </w:rPr>
              <w:t>U_g</w:t>
            </w:r>
          </w:p>
        </w:tc>
        <w:tc>
          <w:tcPr>
            <w:tcW w:type="dxa" w:w="5329"/>
          </w:tcPr>
          <w:p>
            <w:pPr>
              <w:spacing w:after="40"/>
            </w:pPr>
            <w:r/>
            <w:r>
              <w:rPr>
                <w:i w:val="0"/>
                <w:sz w:val="18"/>
              </w:rPr>
              <w:t>Vitesse du gaz</w:t>
            </w:r>
          </w:p>
        </w:tc>
        <w:tc>
          <w:tcPr>
            <w:tcW w:type="dxa" w:w="1361"/>
          </w:tcPr>
          <w:p>
            <w:pPr>
              <w:spacing w:after="40"/>
            </w:pPr>
            <w:r/>
            <w:r>
              <w:rPr>
                <w:i w:val="0"/>
                <w:sz w:val="18"/>
              </w:rPr>
              <w:t>m/s</w:t>
            </w:r>
          </w:p>
        </w:tc>
      </w:tr>
      <w:tr>
        <w:tc>
          <w:tcPr>
            <w:tcW w:type="dxa" w:w="2494"/>
          </w:tcPr>
          <w:p>
            <w:pPr>
              <w:spacing w:after="40"/>
            </w:pPr>
            <w:r/>
            <w:r>
              <w:rPr>
                <w:rFonts w:ascii="Consolas" w:hAnsi="Consolas"/>
                <w:sz w:val="17"/>
              </w:rPr>
              <w:t>x</w:t>
            </w:r>
          </w:p>
        </w:tc>
        <w:tc>
          <w:tcPr>
            <w:tcW w:type="dxa" w:w="5329"/>
          </w:tcPr>
          <w:p>
            <w:pPr>
              <w:spacing w:after="40"/>
            </w:pPr>
            <w:r/>
            <w:r>
              <w:rPr>
                <w:i w:val="0"/>
                <w:sz w:val="18"/>
              </w:rPr>
              <w:t>Titre thermodynamique (fraction massique de vapeur)</w:t>
            </w:r>
          </w:p>
        </w:tc>
        <w:tc>
          <w:tcPr>
            <w:tcW w:type="dxa" w:w="1361"/>
          </w:tcPr>
          <w:p>
            <w:pPr>
              <w:spacing w:after="40"/>
            </w:pPr>
            <w:r/>
            <w:r>
              <w:rPr>
                <w:i w:val="0"/>
                <w:sz w:val="18"/>
              </w:rPr>
              <w:t>–</w:t>
            </w:r>
          </w:p>
        </w:tc>
      </w:tr>
      <w:tr>
        <w:tc>
          <w:tcPr>
            <w:tcW w:type="dxa" w:w="2494"/>
          </w:tcPr>
          <w:p>
            <w:pPr>
              <w:spacing w:after="40"/>
            </w:pPr>
            <w:r/>
            <w:r>
              <w:rPr>
                <w:rFonts w:ascii="Consolas" w:hAnsi="Consolas"/>
                <w:sz w:val="17"/>
              </w:rPr>
              <w:t>X_tt</w:t>
            </w:r>
          </w:p>
        </w:tc>
        <w:tc>
          <w:tcPr>
            <w:tcW w:type="dxa" w:w="5329"/>
          </w:tcPr>
          <w:p>
            <w:pPr>
              <w:spacing w:after="40"/>
            </w:pPr>
            <w:r/>
            <w:r>
              <w:rPr>
                <w:i w:val="0"/>
                <w:sz w:val="18"/>
              </w:rPr>
              <w:t>Paramètre de Lockhart-Martinelli, turbulent-turbulent</w:t>
            </w:r>
          </w:p>
        </w:tc>
        <w:tc>
          <w:tcPr>
            <w:tcW w:type="dxa" w:w="1361"/>
          </w:tcPr>
          <w:p>
            <w:pPr>
              <w:spacing w:after="40"/>
            </w:pPr>
            <w:r/>
            <w:r>
              <w:rPr>
                <w:i w:val="0"/>
                <w:sz w:val="18"/>
              </w:rPr>
              <w:t>–</w:t>
            </w:r>
          </w:p>
        </w:tc>
      </w:tr>
      <w:tr>
        <w:tc>
          <w:tcPr>
            <w:tcW w:type="dxa" w:w="2494"/>
          </w:tcPr>
          <w:p>
            <w:pPr>
              <w:spacing w:after="40"/>
            </w:pPr>
            <w:r/>
            <w:r>
              <w:rPr>
                <w:rFonts w:ascii="Consolas" w:hAnsi="Consolas"/>
                <w:sz w:val="17"/>
              </w:rPr>
              <w:t>α</w:t>
            </w:r>
          </w:p>
        </w:tc>
        <w:tc>
          <w:tcPr>
            <w:tcW w:type="dxa" w:w="5329"/>
          </w:tcPr>
          <w:p>
            <w:pPr>
              <w:spacing w:after="40"/>
            </w:pPr>
            <w:r/>
            <w:r>
              <w:rPr>
                <w:i w:val="0"/>
                <w:sz w:val="18"/>
              </w:rPr>
              <w:t>Taux de vide</w:t>
            </w:r>
          </w:p>
        </w:tc>
        <w:tc>
          <w:tcPr>
            <w:tcW w:type="dxa" w:w="1361"/>
          </w:tcPr>
          <w:p>
            <w:pPr>
              <w:spacing w:after="40"/>
            </w:pPr>
            <w:r/>
            <w:r>
              <w:rPr>
                <w:i w:val="0"/>
                <w:sz w:val="18"/>
              </w:rPr>
              <w:t>–</w:t>
            </w:r>
          </w:p>
        </w:tc>
      </w:tr>
      <w:tr>
        <w:tc>
          <w:tcPr>
            <w:tcW w:type="dxa" w:w="2494"/>
          </w:tcPr>
          <w:p>
            <w:pPr>
              <w:spacing w:after="40"/>
            </w:pPr>
            <w:r/>
            <w:r>
              <w:rPr>
                <w:rFonts w:ascii="Consolas" w:hAnsi="Consolas"/>
                <w:sz w:val="17"/>
              </w:rPr>
              <w:t>Δx</w:t>
            </w:r>
          </w:p>
        </w:tc>
        <w:tc>
          <w:tcPr>
            <w:tcW w:type="dxa" w:w="5329"/>
          </w:tcPr>
          <w:p>
            <w:pPr>
              <w:spacing w:after="40"/>
            </w:pPr>
            <w:r/>
            <w:r>
              <w:rPr>
                <w:i w:val="0"/>
                <w:sz w:val="18"/>
              </w:rPr>
              <w:t>Longueur de maille axiale</w:t>
            </w:r>
          </w:p>
        </w:tc>
        <w:tc>
          <w:tcPr>
            <w:tcW w:type="dxa" w:w="1361"/>
          </w:tcPr>
          <w:p>
            <w:pPr>
              <w:spacing w:after="40"/>
            </w:pPr>
            <w:r/>
            <w:r>
              <w:rPr>
                <w:i w:val="0"/>
                <w:sz w:val="18"/>
              </w:rPr>
              <w:t>m</w:t>
            </w:r>
          </w:p>
        </w:tc>
      </w:tr>
      <w:tr>
        <w:tc>
          <w:tcPr>
            <w:tcW w:type="dxa" w:w="2494"/>
          </w:tcPr>
          <w:p>
            <w:pPr>
              <w:spacing w:after="40"/>
            </w:pPr>
            <w:r/>
            <w:r>
              <w:rPr>
                <w:rFonts w:ascii="Consolas" w:hAnsi="Consolas"/>
                <w:sz w:val="17"/>
              </w:rPr>
              <w:t>μ, ρ, ν</w:t>
            </w:r>
          </w:p>
        </w:tc>
        <w:tc>
          <w:tcPr>
            <w:tcW w:type="dxa" w:w="5329"/>
          </w:tcPr>
          <w:p>
            <w:pPr>
              <w:spacing w:after="40"/>
            </w:pPr>
            <w:r/>
            <w:r>
              <w:rPr>
                <w:i w:val="0"/>
                <w:sz w:val="18"/>
              </w:rPr>
              <w:t>Viscosité, masse volumique, coefficient de Poisson</w:t>
            </w:r>
          </w:p>
        </w:tc>
        <w:tc>
          <w:tcPr>
            <w:tcW w:type="dxa" w:w="1361"/>
          </w:tcPr>
          <w:p>
            <w:pPr>
              <w:spacing w:after="40"/>
            </w:pPr>
            <w:r/>
            <w:r>
              <w:rPr>
                <w:i w:val="0"/>
                <w:sz w:val="18"/>
              </w:rPr>
              <w:t>Pa·s, kg/m³, –</w:t>
            </w:r>
          </w:p>
        </w:tc>
      </w:tr>
      <w:tr>
        <w:tc>
          <w:tcPr>
            <w:tcW w:type="dxa" w:w="2494"/>
          </w:tcPr>
          <w:p>
            <w:pPr>
              <w:spacing w:after="40"/>
            </w:pPr>
            <w:r/>
            <w:r>
              <w:rPr>
                <w:rFonts w:ascii="Consolas" w:hAnsi="Consolas"/>
                <w:sz w:val="17"/>
              </w:rPr>
              <w:t>φ</w:t>
            </w:r>
          </w:p>
        </w:tc>
        <w:tc>
          <w:tcPr>
            <w:tcW w:type="dxa" w:w="5329"/>
          </w:tcPr>
          <w:p>
            <w:pPr>
              <w:spacing w:after="40"/>
            </w:pPr>
            <w:r/>
            <w:r>
              <w:rPr>
                <w:i w:val="0"/>
                <w:sz w:val="18"/>
              </w:rPr>
              <w:t>Indice de sévérité de corrugation, e²/(p D_i)</w:t>
            </w:r>
          </w:p>
        </w:tc>
        <w:tc>
          <w:tcPr>
            <w:tcW w:type="dxa" w:w="1361"/>
          </w:tcPr>
          <w:p>
            <w:pPr>
              <w:spacing w:after="40"/>
            </w:pPr>
            <w:r/>
            <w:r>
              <w:rPr>
                <w:i w:val="0"/>
                <w:sz w:val="18"/>
              </w:rPr>
              <w:t>–</w:t>
            </w:r>
          </w:p>
        </w:tc>
      </w:tr>
      <w:tr>
        <w:tc>
          <w:tcPr>
            <w:tcW w:type="dxa" w:w="2494"/>
          </w:tcPr>
          <w:p>
            <w:pPr>
              <w:spacing w:after="40"/>
            </w:pPr>
            <w:r/>
            <w:r>
              <w:rPr>
                <w:rFonts w:ascii="Consolas" w:hAnsi="Consolas"/>
                <w:sz w:val="17"/>
              </w:rPr>
              <w:t>ω</w:t>
            </w:r>
          </w:p>
        </w:tc>
        <w:tc>
          <w:tcPr>
            <w:tcW w:type="dxa" w:w="5329"/>
          </w:tcPr>
          <w:p>
            <w:pPr>
              <w:spacing w:after="40"/>
            </w:pPr>
            <w:r/>
            <w:r>
              <w:rPr>
                <w:i w:val="0"/>
                <w:sz w:val="18"/>
              </w:rPr>
              <w:t>Facteur de sous-relaxation</w:t>
            </w:r>
          </w:p>
        </w:tc>
        <w:tc>
          <w:tcPr>
            <w:tcW w:type="dxa" w:w="1361"/>
          </w:tcPr>
          <w:p>
            <w:pPr>
              <w:spacing w:after="40"/>
            </w:pPr>
            <w:r/>
            <w:r>
              <w:rPr>
                <w:i w:val="0"/>
                <w:sz w:val="18"/>
              </w:rPr>
              <w:t>–</w:t>
            </w:r>
          </w:p>
        </w:tc>
      </w:tr>
    </w:tbl>
    <w:p>
      <w:pPr>
        <w:spacing w:after="220"/>
        <w:jc w:val="left"/>
      </w:pPr>
      <w:r>
        <w:rPr>
          <w:b/>
          <w:sz w:val="18"/>
        </w:rPr>
        <w:t xml:space="preserve">Table 2.  </w:t>
      </w:r>
      <w:r>
        <w:rPr>
          <w:i w:val="0"/>
          <w:color w:val="5C6672"/>
          <w:sz w:val="18"/>
        </w:rPr>
        <w:t>Principaux symboles. Les indices g et c désignent respectivement le gaz chaud et le réfrigérant ; l et v le liquide et la vapeur saturés ; b et w les conditions de mélange et de paroi.</w:t>
      </w:r>
    </w:p>
    <w:p>
      <w:pPr>
        <w:pStyle w:val="Heading1"/>
      </w:pPr>
      <w:r>
        <w:t>2.  Structure du problème</w:t>
      </w:r>
    </w:p>
    <w:p>
      <w:r>
        <w:rPr>
          <w:i w:val="0"/>
        </w:rPr>
        <w:t xml:space="preserve">Les conditions aux limites déterminent à la fois la nature mathématique du problème et la stratégie de résolution. Les deux entrées de fluide sont imposées : le gaz entre à l'entrée du tube avec une température et une composition fixées par le calcul de combustion amont, et le réfrigérant entre à sa propre entrée avec une température et une pression imposées. Le point déterminant est la </w:t>
      </w:r>
      <w:r>
        <w:rPr>
          <w:b/>
          <w:i w:val="0"/>
        </w:rPr>
        <w:t>position relative</w:t>
      </w:r>
      <w:r>
        <w:rPr>
          <w:i w:val="0"/>
        </w:rPr>
        <w:t xml:space="preserve"> de ces deux entrées, qui dépend de la configuration d'écoulement.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644"/>
            <w:shd w:val="clear" w:color="auto" w:fill="EDEFF2"/>
          </w:tcPr>
          <w:p>
            <w:pPr>
              <w:spacing w:after="40"/>
            </w:pPr>
            <w:r/>
            <w:r>
              <w:rPr>
                <w:rFonts w:ascii="Calibri Light" w:hAnsi="Calibri Light"/>
                <w:b/>
                <w:sz w:val="17"/>
              </w:rPr>
              <w:t>Configuration</w:t>
            </w:r>
          </w:p>
        </w:tc>
        <w:tc>
          <w:tcPr>
            <w:tcW w:type="dxa" w:w="1134"/>
            <w:shd w:val="clear" w:color="auto" w:fill="EDEFF2"/>
          </w:tcPr>
          <w:p>
            <w:pPr>
              <w:spacing w:after="40"/>
            </w:pPr>
            <w:r/>
            <w:r>
              <w:rPr>
                <w:rFonts w:ascii="Calibri Light" w:hAnsi="Calibri Light"/>
                <w:b/>
                <w:sz w:val="17"/>
              </w:rPr>
              <w:t>Entrée gaz</w:t>
            </w:r>
          </w:p>
        </w:tc>
        <w:tc>
          <w:tcPr>
            <w:tcW w:type="dxa" w:w="1361"/>
            <w:shd w:val="clear" w:color="auto" w:fill="EDEFF2"/>
          </w:tcPr>
          <w:p>
            <w:pPr>
              <w:spacing w:after="40"/>
            </w:pPr>
            <w:r/>
            <w:r>
              <w:rPr>
                <w:rFonts w:ascii="Calibri Light" w:hAnsi="Calibri Light"/>
                <w:b/>
                <w:sz w:val="17"/>
              </w:rPr>
              <w:t>Entrée réfrigérant</w:t>
            </w:r>
          </w:p>
        </w:tc>
        <w:tc>
          <w:tcPr>
            <w:tcW w:type="dxa" w:w="5046"/>
            <w:shd w:val="clear" w:color="auto" w:fill="EDEFF2"/>
          </w:tcPr>
          <w:p>
            <w:pPr>
              <w:spacing w:after="40"/>
            </w:pPr>
            <w:r/>
            <w:r>
              <w:rPr>
                <w:rFonts w:ascii="Calibri Light" w:hAnsi="Calibri Light"/>
                <w:b/>
                <w:sz w:val="17"/>
              </w:rPr>
              <w:t>Nature mathématique</w:t>
            </w:r>
          </w:p>
        </w:tc>
      </w:tr>
      <w:tr>
        <w:tc>
          <w:tcPr>
            <w:tcW w:type="dxa" w:w="1644"/>
          </w:tcPr>
          <w:p>
            <w:pPr>
              <w:spacing w:after="40"/>
            </w:pPr>
            <w:r/>
            <w:r>
              <w:rPr>
                <w:i w:val="0"/>
                <w:sz w:val="18"/>
              </w:rPr>
              <w:t>Co-courant</w:t>
            </w:r>
          </w:p>
        </w:tc>
        <w:tc>
          <w:tcPr>
            <w:tcW w:type="dxa" w:w="1134"/>
          </w:tcPr>
          <w:p>
            <w:pPr>
              <w:spacing w:after="40"/>
            </w:pPr>
            <w:r/>
            <w:r>
              <w:rPr>
                <w:i w:val="0"/>
                <w:sz w:val="18"/>
              </w:rPr>
              <w:t>nœud 0</w:t>
            </w:r>
          </w:p>
        </w:tc>
        <w:tc>
          <w:tcPr>
            <w:tcW w:type="dxa" w:w="1361"/>
          </w:tcPr>
          <w:p>
            <w:pPr>
              <w:spacing w:after="40"/>
            </w:pPr>
            <w:r/>
            <w:r>
              <w:rPr>
                <w:i w:val="0"/>
                <w:sz w:val="18"/>
              </w:rPr>
              <w:t>nœud 0</w:t>
            </w:r>
          </w:p>
        </w:tc>
        <w:tc>
          <w:tcPr>
            <w:tcW w:type="dxa" w:w="5046"/>
          </w:tcPr>
          <w:p>
            <w:pPr>
              <w:spacing w:after="40"/>
            </w:pPr>
            <w:r/>
            <w:r>
              <w:rPr>
                <w:b/>
                <w:i w:val="0"/>
                <w:sz w:val="18"/>
              </w:rPr>
              <w:t>Problème de Cauchy.</w:t>
            </w:r>
            <w:r>
              <w:rPr>
                <w:i w:val="0"/>
                <w:sz w:val="18"/>
              </w:rPr>
              <w:t xml:space="preserve"> Toutes les données sont disponibles à une même extrémité ; une unique marche avant simultanée suffirait en principe.</w:t>
            </w:r>
          </w:p>
        </w:tc>
      </w:tr>
      <w:tr>
        <w:tc>
          <w:tcPr>
            <w:tcW w:type="dxa" w:w="1644"/>
          </w:tcPr>
          <w:p>
            <w:pPr>
              <w:spacing w:after="40"/>
            </w:pPr>
            <w:r/>
            <w:r>
              <w:rPr>
                <w:i w:val="0"/>
                <w:sz w:val="18"/>
              </w:rPr>
              <w:t>Contre-courant</w:t>
            </w:r>
          </w:p>
        </w:tc>
        <w:tc>
          <w:tcPr>
            <w:tcW w:type="dxa" w:w="1134"/>
          </w:tcPr>
          <w:p>
            <w:pPr>
              <w:spacing w:after="40"/>
            </w:pPr>
            <w:r/>
            <w:r>
              <w:rPr>
                <w:i w:val="0"/>
                <w:sz w:val="18"/>
              </w:rPr>
              <w:t>nœud 0</w:t>
            </w:r>
          </w:p>
        </w:tc>
        <w:tc>
          <w:tcPr>
            <w:tcW w:type="dxa" w:w="1361"/>
          </w:tcPr>
          <w:p>
            <w:pPr>
              <w:spacing w:after="40"/>
            </w:pPr>
            <w:r/>
            <w:r>
              <w:rPr>
                <w:i w:val="0"/>
                <w:sz w:val="18"/>
              </w:rPr>
              <w:t>nœud N−1</w:t>
            </w:r>
          </w:p>
        </w:tc>
        <w:tc>
          <w:tcPr>
            <w:tcW w:type="dxa" w:w="5046"/>
          </w:tcPr>
          <w:p>
            <w:pPr>
              <w:spacing w:after="40"/>
            </w:pPr>
            <w:r/>
            <w:r>
              <w:rPr>
                <w:b/>
                <w:i w:val="0"/>
                <w:sz w:val="18"/>
              </w:rPr>
              <w:t>Problème aux limites à deux points.</w:t>
            </w:r>
            <w:r>
              <w:rPr>
                <w:i w:val="0"/>
                <w:sz w:val="18"/>
              </w:rPr>
              <w:t xml:space="preserve"> Au nœud 0 la température du gaz est connue, mais pas celle du réfrigérant — c'est sa sortie, la seule grandeur non imposée.</w:t>
            </w:r>
          </w:p>
        </w:tc>
      </w:tr>
    </w:tbl>
    <w:p>
      <w:pPr>
        <w:spacing w:after="220"/>
        <w:jc w:val="left"/>
      </w:pPr>
      <w:r>
        <w:rPr>
          <w:b/>
          <w:sz w:val="18"/>
        </w:rPr>
        <w:t xml:space="preserve">Table 3.  </w:t>
      </w:r>
      <w:r>
        <w:rPr>
          <w:i w:val="0"/>
          <w:color w:val="5C6672"/>
          <w:sz w:val="18"/>
        </w:rPr>
        <w:t>Structure des conditions aux limites selon la configuration. C'est le contre-courant qui impose une résolution itérative ; la même voie est employée pour le co-courant plutôt que de maintenir un second chemin de code.</w:t>
      </w:r>
    </w:p>
    <w:p>
      <w:r>
        <w:rPr>
          <w:i w:val="0"/>
        </w:rPr>
        <w:t xml:space="preserve">Un problème aux limites à deux points ne peut être intégré par une simple marche avant, la moitié des données requises se trouvant à l'extrémité opposée du domaine. Le solveur décompose donc le problème en deux marches unidirectionnelles — une côté tubes, une côté calandre — et les itère l'une contre l'autre jusqu'à cohérence mutuelle. C'est le </w:t>
      </w:r>
      <w:r>
        <w:rPr>
          <w:b/>
          <w:i w:val="0"/>
        </w:rPr>
        <w:t>balayage prédictif</w:t>
      </w:r>
      <w:r>
        <w:rPr>
          <w:i w:val="0"/>
        </w:rPr>
        <w:t xml:space="preserve"> de la section 8.</w:t>
      </w:r>
    </w:p>
    <w:p>
      <w:pPr>
        <w:spacing w:before="160" w:after="160"/>
        <w:ind w:left="283"/>
        <w:pBdr>
          <w:left w:val="single" w:sz="18" w:space="10" w:color="146C7E"/>
        </w:pBdr>
      </w:pPr>
      <w:r>
        <w:rPr>
          <w:rFonts w:ascii="Calibri Light" w:hAnsi="Calibri Light"/>
          <w:b/>
          <w:color w:val="146C7E"/>
          <w:sz w:val="17"/>
        </w:rPr>
        <w:t xml:space="preserve">POURQUOI LA DÉCOMPOSITION EST LICITE  </w:t>
      </w:r>
      <w:r>
        <w:rPr>
          <w:i w:val="0"/>
          <w:sz w:val="19"/>
        </w:rPr>
        <w:t>Chaque marche est, isolément, un problème de Cauchy bien posé. À champ de température de calandre figé, la marche côté tubes est une pure intégration avant ; à champ de puissance figé, la marche énergétique côté calandre l'est également. Seul leur couplage est implicite, et c'est précisément ce couplage que l'itération externe résout.</w:t>
      </w:r>
    </w:p>
    <w:p>
      <w:r>
        <w:rPr>
          <w:i w:val="0"/>
        </w:rPr>
        <w:t>Une conséquence mérite d'être notée : les deux marches étant déjà découplées, le changement de sens d'écoulement est peu coûteux. Le contre-courant ne requiert que l'inversion de la boucle de marche côté calandre, ainsi qu'un suivi correct de la distance depuis l'entrée propre du réfrigérant pour les corrections de longueur d'établissement. Aucune méthode de tir ni recherche de racine n'est nécessaire. Cela diffère du solveur à serpentin hélicoïdal du même code, qui intègre paroi et réfrigérant en une seule passe couplée et doit donc résoudre le contre-courant par tir sur l'enthalpie de départ côté chaud, avec encadrement adaptatif et dichotomie.</w:t>
      </w:r>
    </w:p>
    <w:p>
      <w:pPr>
        <w:pStyle w:val="Heading1"/>
      </w:pPr>
      <w:r>
        <w:t>3.  Discrétisation</w:t>
      </w:r>
    </w:p>
    <w:p>
      <w:r>
        <w:rPr>
          <w:i w:val="0"/>
        </w:rPr>
        <w:t>Un maillage axial uniforme de N mailles couvre la longueur du tube, le nœud i étant centré en x = (i + ½)Δx :</w:t>
      </w:r>
    </w:p>
    <w:p>
      <w:pPr>
        <w:tabs>
          <w:tab w:pos="4365" w:val="center"/>
          <w:tab w:pos="9298" w:val="right"/>
        </w:tabs>
        <w:spacing w:before="140" w:after="140"/>
      </w:pPr>
      <w:r>
        <w:tab/>
      </w:r>
      <m:oMath>
        <m:r>
          <m:t xml:space="preserve">Δ</m:t>
        </m:r>
        <m:r>
          <m:rPr>
            <m:nor/>
          </m:rPr>
          <m:t xml:space="preserve"> </m:t>
        </m:r>
        <m:r>
          <m:t xml:space="preserve">x</m:t>
        </m:r>
        <m:r>
          <m:rPr>
            <m:nor/>
          </m:rPr>
          <m:t xml:space="preserve"> = </m:t>
        </m:r>
        <m:f>
          <m:num>
            <m:sSub>
              <m:e>
                <m:r>
                  <m:t xml:space="preserve">L</m:t>
                </m:r>
              </m:e>
              <m:sub>
                <m:r>
                  <m:t xml:space="preserve">tube</m:t>
                </m:r>
              </m:sub>
            </m:sSub>
          </m:num>
          <m:den>
            <m:r>
              <m:t xml:space="preserve">N</m:t>
            </m:r>
          </m:den>
        </m:f>
        <m:r>
          <m:rPr>
            <m:nor/>
          </m:rPr>
          <m:t xml:space="preserve">    </m:t>
        </m:r>
        <m:r>
          <m:t xml:space="preserve">N</m:t>
        </m:r>
        <m:r>
          <m:rPr>
            <m:nor/>
          </m:rPr>
          <m:t xml:space="preserve"> = 200 </m:t>
        </m:r>
        <m:r>
          <m:rPr>
            <m:nor/>
          </m:rPr>
          <m:t xml:space="preserve"> (par défaut)</m:t>
        </m:r>
      </m:oMath>
      <w:r>
        <w:rPr>
          <w:color w:val="5C6672"/>
          <w:sz w:val="19"/>
        </w:rPr>
        <w:tab/>
        <w:t>(1)</w:t>
      </w:r>
    </w:p>
    <w:p>
      <w:r>
        <w:rPr>
          <w:i w:val="0"/>
        </w:rPr>
        <w:t>L'indice 0 désigne toujours l'</w:t>
      </w:r>
      <w:r>
        <w:rPr>
          <w:b/>
          <w:i w:val="0"/>
        </w:rPr>
        <w:t>extrémité d'entrée du gaz</w:t>
      </w:r>
      <w:r>
        <w:rPr>
          <w:i w:val="0"/>
        </w:rPr>
        <w:t>, quel que soit le sens du réfrigérant. En co-courant le réfrigérant débute également à l'indice 0 ; en contre-courant il débute à l'indice N−1 et progresse en sens inverse. Conserver une convention d'indice unique pour les deux fluides permet à un seul tableau de puissance de servir les deux marches sans réindexation.</w:t>
      </w:r>
    </w:p>
    <w:p>
      <w:r>
        <w:rPr>
          <w:i w:val="0"/>
        </w:rPr>
        <w:t>La géométrie côté tubes découle du diamètre extérieur et de l'épaisseur de paroi, et le débit de gaz est réparti sur le faisceau :</w:t>
      </w:r>
    </w:p>
    <w:p>
      <w:pPr>
        <w:tabs>
          <w:tab w:pos="4365" w:val="center"/>
          <w:tab w:pos="9298" w:val="right"/>
        </w:tabs>
        <w:spacing w:before="140" w:after="140"/>
      </w:pPr>
      <w:r>
        <w:tab/>
      </w:r>
      <m:oMath>
        <m:sSub>
          <m:e>
            <m:r>
              <m:t xml:space="preserve">D</m:t>
            </m:r>
          </m:e>
          <m:sub>
            <m:r>
              <m:t xml:space="preserve">i</m:t>
            </m:r>
          </m:sub>
        </m:sSub>
        <m:r>
          <m:rPr>
            <m:nor/>
          </m:rPr>
          <m:t xml:space="preserve"> = </m:t>
        </m:r>
        <m:sSub>
          <m:e>
            <m:r>
              <m:t xml:space="preserve">D</m:t>
            </m:r>
          </m:e>
          <m:sub>
            <m:r>
              <m:t xml:space="preserve">o</m:t>
            </m:r>
          </m:sub>
        </m:sSub>
        <m:r>
          <m:rPr>
            <m:nor/>
          </m:rPr>
          <m:t xml:space="preserve"> - 2 </m:t>
        </m:r>
        <m:sSub>
          <m:e>
            <m:r>
              <m:t xml:space="preserve">s</m:t>
            </m:r>
          </m:e>
          <m:sub>
            <m:r>
              <m:t xml:space="preserve">w</m:t>
            </m:r>
          </m:sub>
        </m:sSub>
      </m:oMath>
      <w:r>
        <w:rPr>
          <w:color w:val="5C6672"/>
          <w:sz w:val="19"/>
        </w:rPr>
        <w:tab/>
        <w:t>(2)</w:t>
      </w:r>
    </w:p>
    <w:p>
      <w:pPr>
        <w:tabs>
          <w:tab w:pos="4365" w:val="center"/>
          <w:tab w:pos="9298" w:val="right"/>
        </w:tabs>
        <w:spacing w:before="140" w:after="140"/>
      </w:pPr>
      <w:r>
        <w:tab/>
      </w:r>
      <m:oMath>
        <m:sSub>
          <m:e>
            <m:r>
              <m:t xml:space="preserve">A</m:t>
            </m:r>
          </m:e>
          <m:sub>
            <m:r>
              <m:t xml:space="preserve">i</m:t>
            </m:r>
          </m:sub>
        </m:sSub>
        <m:r>
          <m:rPr>
            <m:nor/>
          </m:rPr>
          <m:t xml:space="preserve"> = </m:t>
        </m:r>
        <m:f>
          <m:num>
            <m:r>
              <m:t xml:space="preserve">π</m:t>
            </m:r>
            <m:r>
              <m:rPr>
                <m:nor/>
              </m:rPr>
              <m:t xml:space="preserve"> </m:t>
            </m:r>
            <m:sSubSup>
              <m:e>
                <m:r>
                  <m:t xml:space="preserve">D</m:t>
                </m:r>
              </m:e>
              <m:sub>
                <m:r>
                  <m:t xml:space="preserve">i</m:t>
                </m:r>
              </m:sub>
              <m:sup>
                <m:r>
                  <m:rPr>
                    <m:nor/>
                  </m:rPr>
                  <m:t xml:space="preserve">2</m:t>
                </m:r>
              </m:sup>
            </m:sSubSup>
          </m:num>
          <m:den>
            <m:r>
              <m:rPr>
                <m:nor/>
              </m:rPr>
              <m:t xml:space="preserve">4</m:t>
            </m:r>
          </m:den>
        </m:f>
      </m:oMath>
    </w:p>
    <w:p>
      <w:pPr>
        <w:tabs>
          <w:tab w:pos="4365" w:val="center"/>
          <w:tab w:pos="9298" w:val="right"/>
        </w:tabs>
        <w:spacing w:before="140" w:after="140"/>
      </w:pPr>
      <w:r>
        <w:tab/>
      </w:r>
      <m:oMath>
        <m:sSub>
          <m:e>
            <m:acc>
              <m:accPr>
                <m:chr m:val="̇"/>
              </m:accPr>
              <m:e>
                <m:r>
                  <m:t xml:space="preserve">m</m:t>
                </m:r>
              </m:e>
            </m:acc>
          </m:e>
          <m:sub>
            <m:r>
              <m:t xml:space="preserve">tube</m:t>
            </m:r>
          </m:sub>
        </m:sSub>
        <m:r>
          <m:rPr>
            <m:nor/>
          </m:rPr>
          <m:t xml:space="preserve"> = </m:t>
        </m:r>
        <m:f>
          <m:num>
            <m:sSub>
              <m:e>
                <m:acc>
                  <m:accPr>
                    <m:chr m:val="̇"/>
                  </m:accPr>
                  <m:e>
                    <m:r>
                      <m:t xml:space="preserve">m</m:t>
                    </m:r>
                  </m:e>
                </m:acc>
              </m:e>
              <m:sub>
                <m:r>
                  <m:t xml:space="preserve">g</m:t>
                </m:r>
              </m:sub>
            </m:sSub>
          </m:num>
          <m:den>
            <m:sSub>
              <m:e>
                <m:r>
                  <m:t xml:space="preserve">N</m:t>
                </m:r>
              </m:e>
              <m:sub>
                <m:r>
                  <m:t xml:space="preserve">tubes</m:t>
                </m:r>
              </m:sub>
            </m:sSub>
          </m:den>
        </m:f>
      </m:oMath>
    </w:p>
    <w:p>
      <w:pPr>
        <w:spacing w:before="160" w:after="160"/>
        <w:ind w:left="283"/>
        <w:pBdr>
          <w:left w:val="single" w:sz="18" w:space="10" w:color="9A5B12"/>
        </w:pBdr>
      </w:pPr>
      <w:r>
        <w:rPr>
          <w:rFonts w:ascii="Calibri Light" w:hAnsi="Calibri Light"/>
          <w:b/>
          <w:color w:val="9A5B12"/>
          <w:sz w:val="17"/>
        </w:rPr>
        <w:t xml:space="preserve">GRANDEURS PAR TUBE ET GRANDEURS DE FAISCEAU  </w:t>
      </w:r>
      <w:r>
        <w:rPr>
          <w:i w:val="0"/>
          <w:sz w:val="19"/>
        </w:rPr>
        <w:t xml:space="preserve">Toute grandeur côté tubes de ce modèle — vitesse, nombre de Reynolds, bilan enthalpique et puissance nodale dQ_i — est définie </w:t>
      </w:r>
      <w:r>
        <w:rPr>
          <w:b/>
          <w:i w:val="0"/>
          <w:sz w:val="19"/>
        </w:rPr>
        <w:t>par tube représentatif</w:t>
      </w:r>
      <w:r>
        <w:rPr>
          <w:i w:val="0"/>
          <w:sz w:val="19"/>
        </w:rPr>
        <w:t>. La multiplication par N_tubes intervient exactement une fois, au passage de la puissance côté calandre (Eq. 26). Utiliser le débit de gaz total dans la vitesse côté tubes est une erreur fréquente et silencieuse.</w:t>
      </w:r>
    </w:p>
    <w:p>
      <w:pPr>
        <w:spacing w:before="160" w:after="160"/>
        <w:ind w:left="283"/>
        <w:pBdr>
          <w:left w:val="single" w:sz="18" w:space="10" w:color="9A5B12"/>
        </w:pBdr>
      </w:pPr>
      <w:r>
        <w:rPr>
          <w:rFonts w:ascii="Calibri Light" w:hAnsi="Calibri Light"/>
          <w:b/>
          <w:color w:val="9A5B12"/>
          <w:sz w:val="17"/>
        </w:rPr>
        <w:t xml:space="preserve">S_SB CORRIGÉ LE 2026-08-20  </w:t>
      </w:r>
      <w:r>
        <w:rPr>
          <w:i w:val="0"/>
          <w:sz w:val="19"/>
        </w:rPr>
        <w:t>L'aire de fuite calandre-chicane est le jeu diamétral sur l'arc où le bord de la chicane suit la calandre : S_sb = Lsb*(Ds/2)*(2*pi - theta_ds) = Ds*Lsb*(pi - theta_ds/2). L'implémentation portait auparavant un facteur 1/2 parasite. Confirmé par la dérivation élémentaire jeu x longueur d'arc et par Hellborg (2017) éq. 47, qui concordent. Effet sur cette géométrie : S_sb 1,218 -&gt; 2,436 cm², r_lm 6,51 -&gt; 6,93.</w:t>
      </w:r>
    </w:p>
    <w:p>
      <w:r>
        <w:rPr>
          <w:i w:val="0"/>
        </w:rPr>
        <w:t>Côté calandre, la géométrie se réduit au jeu d'aires de Bell-Delaware. L'aire déterminante est l'aire de passage transversale minimale au plan médian de la calandre, qui fixe le flux massique de référence de toutes les corrélations côté calandre :</w:t>
      </w:r>
    </w:p>
    <w:p>
      <w:pPr>
        <w:tabs>
          <w:tab w:pos="4365" w:val="center"/>
          <w:tab w:pos="9298" w:val="right"/>
        </w:tabs>
        <w:spacing w:before="140" w:after="140"/>
      </w:pPr>
      <w:r>
        <w:tab/>
      </w:r>
      <m:oMath>
        <m:sSub>
          <m:e>
            <m:r>
              <m:t xml:space="preserve">S</m:t>
            </m:r>
          </m:e>
          <m:sub>
            <m:r>
              <m:t xml:space="preserve">m</m:t>
            </m:r>
          </m:sub>
        </m:sSub>
        <m:r>
          <m:rPr>
            <m:nor/>
          </m:rPr>
          <m:t xml:space="preserve"> = </m:t>
        </m:r>
        <m:r>
          <m:t xml:space="preserve">B</m:t>
        </m:r>
        <m:r>
          <m:rPr>
            <m:nor/>
          </m:rPr>
          <m:t xml:space="preserve"> </m:t>
        </m:r>
        <m:d>
          <m:dPr>
            <m:begChr m:val="["/>
            <m:endChr m:val="]"/>
          </m:dPr>
          <m:e>
            <m:r>
              <m:rPr>
                <m:nor/>
              </m:rPr>
              <m:t xml:space="preserve"> (</m:t>
            </m:r>
            <m:sSub>
              <m:e>
                <m:r>
                  <m:t xml:space="preserve">D</m:t>
                </m:r>
              </m:e>
              <m:sub>
                <m:r>
                  <m:t xml:space="preserve">s</m:t>
                </m:r>
              </m:sub>
            </m:sSub>
            <m:r>
              <m:rPr>
                <m:nor/>
              </m:rPr>
              <m:t xml:space="preserve"> - </m:t>
            </m:r>
            <m:sSub>
              <m:e>
                <m:r>
                  <m:t xml:space="preserve">D</m:t>
                </m:r>
              </m:e>
              <m:sub>
                <m:r>
                  <m:t xml:space="preserve">otl</m:t>
                </m:r>
              </m:sub>
            </m:sSub>
            <m:r>
              <m:rPr>
                <m:nor/>
              </m:rPr>
              <m:t xml:space="preserve">) + </m:t>
            </m:r>
            <m:f>
              <m:num>
                <m:sSub>
                  <m:e>
                    <m:r>
                      <m:t xml:space="preserve">D</m:t>
                    </m:r>
                  </m:e>
                  <m:sub>
                    <m:r>
                      <m:t xml:space="preserve">otl</m:t>
                    </m:r>
                  </m:sub>
                </m:sSub>
                <m:r>
                  <m:rPr>
                    <m:nor/>
                  </m:rPr>
                  <m:t xml:space="preserve"> - </m:t>
                </m:r>
                <m:sSub>
                  <m:e>
                    <m:r>
                      <m:t xml:space="preserve">D</m:t>
                    </m:r>
                  </m:e>
                  <m:sub>
                    <m:r>
                      <m:t xml:space="preserve">o</m:t>
                    </m:r>
                  </m:sub>
                </m:sSub>
              </m:num>
              <m:den>
                <m:sSub>
                  <m:e>
                    <m:r>
                      <m:t xml:space="preserve">P</m:t>
                    </m:r>
                  </m:e>
                  <m:sub>
                    <m:r>
                      <m:t xml:space="preserve">n</m:t>
                    </m:r>
                  </m:sub>
                </m:sSub>
              </m:den>
            </m:f>
            <m:r>
              <m:rPr>
                <m:nor/>
              </m:rPr>
              <m:t xml:space="preserve">(</m:t>
            </m:r>
            <m:sSub>
              <m:e>
                <m:r>
                  <m:t xml:space="preserve">P</m:t>
                </m:r>
              </m:e>
              <m:sub>
                <m:r>
                  <m:t xml:space="preserve">t</m:t>
                </m:r>
              </m:sub>
            </m:sSub>
            <m:r>
              <m:rPr>
                <m:nor/>
              </m:rPr>
              <m:t xml:space="preserve"> - </m:t>
            </m:r>
            <m:sSub>
              <m:e>
                <m:r>
                  <m:t xml:space="preserve">D</m:t>
                </m:r>
              </m:e>
              <m:sub>
                <m:r>
                  <m:t xml:space="preserve">o</m:t>
                </m:r>
              </m:sub>
            </m:sSub>
            <m:r>
              <m:rPr>
                <m:nor/>
              </m:rPr>
              <m:t xml:space="preserve">) </m:t>
            </m:r>
          </m:e>
        </m:d>
      </m:oMath>
      <w:r>
        <w:rPr>
          <w:color w:val="5C6672"/>
          <w:sz w:val="19"/>
        </w:rPr>
        <w:tab/>
        <w:t>(3)</w:t>
      </w:r>
    </w:p>
    <w:p>
      <w:pPr>
        <w:pStyle w:val="Heading1"/>
      </w:pPr>
      <w:r>
        <w:t>4.  Modèle côté tubes (gaz chaud)</w:t>
      </w:r>
    </w:p>
    <w:p>
      <w:r>
        <w:rPr>
          <w:i w:val="0"/>
        </w:rPr>
        <w:t>Une marche avant du nœud 0 au nœud N−1, évaluée contre le champ de température de calandre courant.</w:t>
      </w:r>
    </w:p>
    <w:p>
      <w:pPr>
        <w:pStyle w:val="Heading2"/>
      </w:pPr>
      <w:r>
        <w:t>4.1  Paramétrage par enthalpie extraite</w:t>
      </w:r>
    </w:p>
    <w:p>
      <w:r>
        <w:rPr>
          <w:i w:val="0"/>
        </w:rPr>
        <w:t>Plutôt que de transporter la température comme variable d'état, la marche transporte l'</w:t>
      </w:r>
      <w:r>
        <w:rPr>
          <w:b/>
          <w:i w:val="0"/>
        </w:rPr>
        <w:t>enthalpie massique cumulée extraite</w:t>
      </w:r>
      <w:r>
        <w:rPr>
          <w:i w:val="0"/>
        </w:rPr>
        <w:t xml:space="preserve"> du gaz. Dans le mode cinétique à vitesse finie, qui est le mode par défaut, l'état thermochimique complet est lu dans une table flamelette/variable d'avancement (FPV) précalculée, indexée par deux scalaires : l'enthalpie extraite et une variable d'avancement de recombinaison non normalisée Y_c :</w:t>
      </w:r>
    </w:p>
    <w:p>
      <w:pPr>
        <w:tabs>
          <w:tab w:pos="4365" w:val="center"/>
          <w:tab w:pos="9298" w:val="right"/>
        </w:tabs>
        <w:spacing w:before="140" w:after="140"/>
      </w:pPr>
      <w:r>
        <w:tab/>
      </w:r>
      <m:oMath>
        <m:r>
          <m:rPr>
            <m:nor/>
          </m:rPr>
          <m:t xml:space="preserve">(</m:t>
        </m:r>
        <m:sSub>
          <m:e>
            <m:r>
              <m:t xml:space="preserve">T</m:t>
            </m:r>
          </m:e>
          <m:sub>
            <m:r>
              <m:t xml:space="preserve">g</m:t>
            </m:r>
          </m:sub>
        </m:sSub>
        <m:r>
          <m:rPr>
            <m:nor/>
          </m:rPr>
          <m:t xml:space="preserve">, </m:t>
        </m:r>
        <m:sSub>
          <m:e>
            <m:r>
              <m:t xml:space="preserve">ρ</m:t>
            </m:r>
          </m:e>
          <m:sub>
            <m:r>
              <m:t xml:space="preserve">g</m:t>
            </m:r>
          </m:sub>
        </m:sSub>
        <m:r>
          <m:rPr>
            <m:nor/>
          </m:rPr>
          <m:t xml:space="preserve">, </m:t>
        </m:r>
        <m:sSub>
          <m:e>
            <m:r>
              <m:t xml:space="preserve">μ</m:t>
            </m:r>
          </m:e>
          <m:sub>
            <m:r>
              <m:t xml:space="preserve">g</m:t>
            </m:r>
          </m:sub>
        </m:sSub>
        <m:r>
          <m:rPr>
            <m:nor/>
          </m:rPr>
          <m:t xml:space="preserve">, </m:t>
        </m:r>
        <m:sSub>
          <m:e>
            <m:r>
              <m:t xml:space="preserve">k</m:t>
            </m:r>
          </m:e>
          <m:sub>
            <m:r>
              <m:t xml:space="preserve">g</m:t>
            </m:r>
          </m:sub>
        </m:sSub>
        <m:r>
          <m:rPr>
            <m:nor/>
          </m:rPr>
          <m:t xml:space="preserve">, </m:t>
        </m:r>
        <m:sSub>
          <m:e>
            <m:r>
              <m:t xml:space="preserve">c</m:t>
            </m:r>
          </m:e>
          <m:sub>
            <m:r>
              <m:t xml:space="preserve">p</m:t>
            </m:r>
            <m:r>
              <m:rPr>
                <m:nor/>
              </m:rPr>
              <m:t xml:space="preserve">,</m:t>
            </m:r>
            <m:r>
              <m:t xml:space="preserve">g</m:t>
            </m:r>
          </m:sub>
        </m:sSub>
        <m:r>
          <m:rPr>
            <m:nor/>
          </m:rPr>
          <m:t xml:space="preserve">, </m:t>
        </m:r>
        <m:sSub>
          <m:e>
            <m:r>
              <m:t xml:space="preserve">ω</m:t>
            </m:r>
          </m:e>
          <m:sub>
            <m:r>
              <m:t xml:space="preserve">Yc</m:t>
            </m:r>
          </m:sub>
        </m:sSub>
        <m:r>
          <m:rPr>
            <m:nor/>
          </m:rPr>
          <m:t xml:space="preserve">) = </m:t>
        </m:r>
        <m:r>
          <m:t xml:space="preserve">M</m:t>
        </m:r>
        <m:r>
          <m:rPr>
            <m:nor/>
          </m:rPr>
          <m:t xml:space="preserve">(</m:t>
        </m:r>
        <m:sSub>
          <m:e>
            <m:r>
              <m:t xml:space="preserve">h</m:t>
            </m:r>
          </m:e>
          <m:sub>
            <m:r>
              <m:t xml:space="preserve">removed</m:t>
            </m:r>
          </m:sub>
        </m:sSub>
        <m:r>
          <m:rPr>
            <m:nor/>
          </m:rPr>
          <m:t xml:space="preserve">, </m:t>
        </m:r>
        <m:sSub>
          <m:e>
            <m:r>
              <m:t xml:space="preserve">Y</m:t>
            </m:r>
          </m:e>
          <m:sub>
            <m:r>
              <m:t xml:space="preserve">c</m:t>
            </m:r>
          </m:sub>
        </m:sSub>
        <m:r>
          <m:rPr>
            <m:nor/>
          </m:rPr>
          <m:t xml:space="preserve">)</m:t>
        </m:r>
      </m:oMath>
      <w:r>
        <w:rPr>
          <w:color w:val="5C6672"/>
          <w:sz w:val="19"/>
        </w:rPr>
        <w:tab/>
        <w:t>(4)</w:t>
      </w:r>
    </w:p>
    <w:p>
      <w:r>
        <w:rPr>
          <w:i w:val="0"/>
        </w:rPr>
        <w:t>L'interpolation dans la table est bilinéaire. La variable d'avancement est transportée par son propre taux de production net, ce qui permet à la composition de retarder sur l'équilibre à mesure que le gaz se refroidit ; ce retard *est* la physique de la cinétique à vitesse finie :</w:t>
      </w:r>
    </w:p>
    <w:p>
      <w:pPr>
        <w:tabs>
          <w:tab w:pos="4365" w:val="center"/>
          <w:tab w:pos="9298" w:val="right"/>
        </w:tabs>
        <w:spacing w:before="140" w:after="140"/>
      </w:pPr>
      <w:r>
        <w:tab/>
      </w:r>
      <m:oMath>
        <m:f>
          <m:num>
            <m:r>
              <m:t xml:space="preserve">d</m:t>
            </m:r>
            <m:sSub>
              <m:e>
                <m:r>
                  <m:t xml:space="preserve">Y</m:t>
                </m:r>
              </m:e>
              <m:sub>
                <m:r>
                  <m:t xml:space="preserve">c</m:t>
                </m:r>
              </m:sub>
            </m:sSub>
          </m:num>
          <m:den>
            <m:r>
              <m:t xml:space="preserve">dx</m:t>
            </m:r>
          </m:den>
        </m:f>
        <m:r>
          <m:rPr>
            <m:nor/>
          </m:rPr>
          <m:t xml:space="preserve"> = </m:t>
        </m:r>
        <m:f>
          <m:num>
            <m:sSub>
              <m:e>
                <m:r>
                  <m:t xml:space="preserve">ω</m:t>
                </m:r>
              </m:e>
              <m:sub>
                <m:r>
                  <m:t xml:space="preserve">Yc</m:t>
                </m:r>
              </m:sub>
            </m:sSub>
            <m:r>
              <m:rPr>
                <m:nor/>
              </m:rPr>
              <m:t xml:space="preserve">(</m:t>
            </m:r>
            <m:sSub>
              <m:e>
                <m:r>
                  <m:t xml:space="preserve">h</m:t>
                </m:r>
              </m:e>
              <m:sub>
                <m:r>
                  <m:t xml:space="preserve">removed</m:t>
                </m:r>
              </m:sub>
            </m:sSub>
            <m:r>
              <m:rPr>
                <m:nor/>
              </m:rPr>
              <m:t xml:space="preserve">, </m:t>
            </m:r>
            <m:sSub>
              <m:e>
                <m:r>
                  <m:t xml:space="preserve">Y</m:t>
                </m:r>
              </m:e>
              <m:sub>
                <m:r>
                  <m:t xml:space="preserve">c</m:t>
                </m:r>
              </m:sub>
            </m:sSub>
            <m:r>
              <m:rPr>
                <m:nor/>
              </m:rPr>
              <m:t xml:space="preserve">)</m:t>
            </m:r>
          </m:num>
          <m:den>
            <m:sSub>
              <m:e>
                <m:r>
                  <m:t xml:space="preserve">U</m:t>
                </m:r>
              </m:e>
              <m:sub>
                <m:r>
                  <m:t xml:space="preserve">g</m:t>
                </m:r>
              </m:sub>
            </m:sSub>
          </m:den>
        </m:f>
      </m:oMath>
      <w:r>
        <w:rPr>
          <w:color w:val="5C6672"/>
          <w:sz w:val="19"/>
        </w:rPr>
        <w:tab/>
        <w:t>(5)</w:t>
      </w:r>
    </w:p>
    <w:p>
      <w:pPr>
        <w:tabs>
          <w:tab w:pos="4365" w:val="center"/>
          <w:tab w:pos="9298" w:val="right"/>
        </w:tabs>
        <w:spacing w:before="140" w:after="140"/>
      </w:pPr>
      <w:r>
        <w:tab/>
      </w:r>
      <m:oMath>
        <m:f>
          <m:num>
            <m:r>
              <m:t xml:space="preserve">d</m:t>
            </m:r>
            <m:sSub>
              <m:e>
                <m:r>
                  <m:t xml:space="preserve">h</m:t>
                </m:r>
              </m:e>
              <m:sub>
                <m:r>
                  <m:t xml:space="preserve">removed</m:t>
                </m:r>
              </m:sub>
            </m:sSub>
          </m:num>
          <m:den>
            <m:r>
              <m:t xml:space="preserve">dx</m:t>
            </m:r>
          </m:den>
        </m:f>
        <m:r>
          <m:rPr>
            <m:nor/>
          </m:rPr>
          <m:t xml:space="preserve"> = </m:t>
        </m:r>
        <m:f>
          <m:num>
            <m:r>
              <m:rPr>
                <m:nor/>
              </m:rPr>
              <m:t xml:space="preserve">1</m:t>
            </m:r>
          </m:num>
          <m:den>
            <m:sSub>
              <m:e>
                <m:acc>
                  <m:accPr>
                    <m:chr m:val="̇"/>
                  </m:accPr>
                  <m:e>
                    <m:r>
                      <m:t xml:space="preserve">m</m:t>
                    </m:r>
                  </m:e>
                </m:acc>
              </m:e>
              <m:sub>
                <m:r>
                  <m:t xml:space="preserve">tube</m:t>
                </m:r>
              </m:sub>
            </m:sSub>
          </m:den>
        </m:f>
        <m:r>
          <m:rPr>
            <m:nor/>
          </m:rPr>
          <m:t xml:space="preserve"> </m:t>
        </m:r>
        <m:f>
          <m:num>
            <m:r>
              <m:t xml:space="preserve">dQ</m:t>
            </m:r>
          </m:num>
          <m:den>
            <m:r>
              <m:t xml:space="preserve">dx</m:t>
            </m:r>
          </m:den>
        </m:f>
      </m:oMath>
    </w:p>
    <w:p>
      <w:r>
        <w:rPr>
          <w:i w:val="0"/>
        </w:rPr>
        <w:t>Les deux sont avancées explicitement, nœud par nœud. Deux modes de comparaison remplacent cette lecture de table par un appel direct à un solveur d'équilibre chimique à chaque nœud, rééquilibrant le mélange à pression constante après extraction d'enthalpie (mode équilibre) ou figeant la composition (mode gelé). Le mode cinétique est le mode physiquement approprié au régime de forte extraction de chaleur considéré ; les deux autres ne servent qu'à la validation.</w:t>
      </w:r>
    </w:p>
    <w:p>
      <w:pPr>
        <w:pStyle w:val="Heading2"/>
      </w:pPr>
      <w:r>
        <w:t>4.2  Groupes adimensionnels et film côté gaz</w:t>
      </w:r>
    </w:p>
    <w:p>
      <w:pPr>
        <w:tabs>
          <w:tab w:pos="4365" w:val="center"/>
          <w:tab w:pos="9298" w:val="right"/>
        </w:tabs>
        <w:spacing w:before="140" w:after="140"/>
      </w:pPr>
      <w:r>
        <w:tab/>
      </w:r>
      <m:oMath>
        <m:sSub>
          <m:e>
            <m:r>
              <m:t xml:space="preserve">U</m:t>
            </m:r>
          </m:e>
          <m:sub>
            <m:r>
              <m:t xml:space="preserve">g</m:t>
            </m:r>
          </m:sub>
        </m:sSub>
        <m:r>
          <m:rPr>
            <m:nor/>
          </m:rPr>
          <m:t xml:space="preserve"> = </m:t>
        </m:r>
        <m:f>
          <m:num>
            <m:sSub>
              <m:e>
                <m:acc>
                  <m:accPr>
                    <m:chr m:val="̇"/>
                  </m:accPr>
                  <m:e>
                    <m:r>
                      <m:t xml:space="preserve">m</m:t>
                    </m:r>
                  </m:e>
                </m:acc>
              </m:e>
              <m:sub>
                <m:r>
                  <m:t xml:space="preserve">tube</m:t>
                </m:r>
              </m:sub>
            </m:sSub>
          </m:num>
          <m:den>
            <m:sSub>
              <m:e>
                <m:r>
                  <m:t xml:space="preserve">ρ</m:t>
                </m:r>
              </m:e>
              <m:sub>
                <m:r>
                  <m:t xml:space="preserve">g</m:t>
                </m:r>
              </m:sub>
            </m:sSub>
            <m:r>
              <m:rPr>
                <m:nor/>
              </m:rPr>
              <m:t xml:space="preserve"> </m:t>
            </m:r>
            <m:sSub>
              <m:e>
                <m:r>
                  <m:t xml:space="preserve">A</m:t>
                </m:r>
              </m:e>
              <m:sub>
                <m:r>
                  <m:t xml:space="preserve">i</m:t>
                </m:r>
              </m:sub>
            </m:sSub>
          </m:den>
        </m:f>
      </m:oMath>
      <w:r>
        <w:rPr>
          <w:color w:val="5C6672"/>
          <w:sz w:val="19"/>
        </w:rPr>
        <w:tab/>
        <w:t>(6)</w:t>
      </w:r>
    </w:p>
    <w:p>
      <w:pPr>
        <w:tabs>
          <w:tab w:pos="4365" w:val="center"/>
          <w:tab w:pos="9298" w:val="right"/>
        </w:tabs>
        <w:spacing w:before="140" w:after="140"/>
      </w:pPr>
      <w:r>
        <w:tab/>
      </w:r>
      <m:oMath>
        <m:r>
          <m:t xml:space="preserve">R</m:t>
        </m:r>
        <m:sSub>
          <m:e>
            <m:r>
              <m:t xml:space="preserve">e</m:t>
            </m:r>
          </m:e>
          <m:sub>
            <m:r>
              <m:t xml:space="preserve">g</m:t>
            </m:r>
          </m:sub>
        </m:sSub>
        <m:r>
          <m:rPr>
            <m:nor/>
          </m:rPr>
          <m:t xml:space="preserve"> = </m:t>
        </m:r>
        <m:f>
          <m:num>
            <m:sSub>
              <m:e>
                <m:r>
                  <m:t xml:space="preserve">ρ</m:t>
                </m:r>
              </m:e>
              <m:sub>
                <m:r>
                  <m:t xml:space="preserve">g</m:t>
                </m:r>
              </m:sub>
            </m:sSub>
            <m:r>
              <m:rPr>
                <m:nor/>
              </m:rPr>
              <m:t xml:space="preserve"> </m:t>
            </m:r>
            <m:sSub>
              <m:e>
                <m:r>
                  <m:t xml:space="preserve">U</m:t>
                </m:r>
              </m:e>
              <m:sub>
                <m:r>
                  <m:t xml:space="preserve">g</m:t>
                </m:r>
              </m:sub>
            </m:sSub>
            <m:r>
              <m:rPr>
                <m:nor/>
              </m:rPr>
              <m:t xml:space="preserve"> </m:t>
            </m:r>
            <m:sSub>
              <m:e>
                <m:r>
                  <m:t xml:space="preserve">D</m:t>
                </m:r>
              </m:e>
              <m:sub>
                <m:r>
                  <m:t xml:space="preserve">i</m:t>
                </m:r>
              </m:sub>
            </m:sSub>
          </m:num>
          <m:den>
            <m:sSub>
              <m:e>
                <m:r>
                  <m:t xml:space="preserve">μ</m:t>
                </m:r>
              </m:e>
              <m:sub>
                <m:r>
                  <m:t xml:space="preserve">g</m:t>
                </m:r>
              </m:sub>
            </m:sSub>
          </m:den>
        </m:f>
      </m:oMath>
    </w:p>
    <w:p>
      <w:pPr>
        <w:tabs>
          <w:tab w:pos="4365" w:val="center"/>
          <w:tab w:pos="9298" w:val="right"/>
        </w:tabs>
        <w:spacing w:before="140" w:after="140"/>
      </w:pPr>
      <w:r>
        <w:tab/>
      </w:r>
      <m:oMath>
        <m:r>
          <m:t xml:space="preserve">P</m:t>
        </m:r>
        <m:sSub>
          <m:e>
            <m:r>
              <m:t xml:space="preserve">r</m:t>
            </m:r>
          </m:e>
          <m:sub>
            <m:r>
              <m:t xml:space="preserve">g</m:t>
            </m:r>
          </m:sub>
        </m:sSub>
        <m:r>
          <m:rPr>
            <m:nor/>
          </m:rPr>
          <m:t xml:space="preserve"> = </m:t>
        </m:r>
        <m:f>
          <m:num>
            <m:sSub>
              <m:e>
                <m:r>
                  <m:t xml:space="preserve">c</m:t>
                </m:r>
              </m:e>
              <m:sub>
                <m:r>
                  <m:t xml:space="preserve">p</m:t>
                </m:r>
                <m:r>
                  <m:rPr>
                    <m:nor/>
                  </m:rPr>
                  <m:t xml:space="preserve">,</m:t>
                </m:r>
                <m:r>
                  <m:t xml:space="preserve">g</m:t>
                </m:r>
              </m:sub>
            </m:sSub>
            <m:r>
              <m:rPr>
                <m:nor/>
              </m:rPr>
              <m:t xml:space="preserve">  </m:t>
            </m:r>
            <m:sSub>
              <m:e>
                <m:r>
                  <m:t xml:space="preserve">μ</m:t>
                </m:r>
              </m:e>
              <m:sub>
                <m:r>
                  <m:t xml:space="preserve">g</m:t>
                </m:r>
              </m:sub>
            </m:sSub>
          </m:num>
          <m:den>
            <m:sSub>
              <m:e>
                <m:r>
                  <m:t xml:space="preserve">k</m:t>
                </m:r>
              </m:e>
              <m:sub>
                <m:r>
                  <m:t xml:space="preserve">g</m:t>
                </m:r>
              </m:sub>
            </m:sSub>
          </m:den>
        </m:f>
      </m:oMath>
    </w:p>
    <w:p>
      <w:pPr>
        <w:tabs>
          <w:tab w:pos="4365" w:val="center"/>
          <w:tab w:pos="9298" w:val="right"/>
        </w:tabs>
        <w:spacing w:before="140" w:after="140"/>
      </w:pPr>
      <w:r>
        <w:tab/>
      </w:r>
      <m:oMath>
        <m:sSub>
          <m:e>
            <m:r>
              <m:t xml:space="preserve">h</m:t>
            </m:r>
          </m:e>
          <m:sub>
            <m:r>
              <m:t xml:space="preserve">g</m:t>
            </m:r>
          </m:sub>
        </m:sSub>
        <m:r>
          <m:rPr>
            <m:nor/>
          </m:rPr>
          <m:t xml:space="preserve"> = </m:t>
        </m:r>
        <m:f>
          <m:num>
            <m:r>
              <m:t xml:space="preserve">N</m:t>
            </m:r>
            <m:sSub>
              <m:e>
                <m:r>
                  <m:t xml:space="preserve">u</m:t>
                </m:r>
              </m:e>
              <m:sub>
                <m:r>
                  <m:t xml:space="preserve">g</m:t>
                </m:r>
              </m:sub>
            </m:sSub>
            <m:r>
              <m:rPr>
                <m:nor/>
              </m:rPr>
              <m:t xml:space="preserve">  </m:t>
            </m:r>
            <m:sSub>
              <m:e>
                <m:r>
                  <m:t xml:space="preserve">k</m:t>
                </m:r>
              </m:e>
              <m:sub>
                <m:r>
                  <m:t xml:space="preserve">g</m:t>
                </m:r>
              </m:sub>
            </m:sSub>
          </m:num>
          <m:den>
            <m:sSub>
              <m:e>
                <m:r>
                  <m:t xml:space="preserve">D</m:t>
                </m:r>
              </m:e>
              <m:sub>
                <m:r>
                  <m:t xml:space="preserve">i</m:t>
                </m:r>
              </m:sub>
            </m:sSub>
          </m:den>
        </m:f>
      </m:oMath>
    </w:p>
    <w:p>
      <w:r>
        <w:rPr>
          <w:i w:val="0"/>
        </w:rPr>
        <w:t>Le nombre de Nusselt et le coefficient de frottement sont sélectionnés selon le traitement de surface interne. Pour les tubes corrugués, tous deux proviennent des corrélations de Vicente-Cruz, paramétrées par un indice de sévérité de corrugation construit sur la profondeur e et le pas p des cannelures :</w:t>
      </w:r>
    </w:p>
    <w:p>
      <w:pPr>
        <w:tabs>
          <w:tab w:pos="4365" w:val="center"/>
          <w:tab w:pos="9298" w:val="right"/>
        </w:tabs>
        <w:spacing w:before="140" w:after="140"/>
      </w:pPr>
      <w:r>
        <w:tab/>
      </w:r>
      <m:oMath>
        <m:r>
          <m:t xml:space="preserve">φ</m:t>
        </m:r>
        <m:r>
          <m:rPr>
            <m:nor/>
          </m:rPr>
          <m:t xml:space="preserve"> = </m:t>
        </m:r>
        <m:f>
          <m:num>
            <m:sSup>
              <m:e>
                <m:r>
                  <m:t xml:space="preserve">e</m:t>
                </m:r>
              </m:e>
              <m:sup>
                <m:r>
                  <m:rPr>
                    <m:nor/>
                  </m:rPr>
                  <m:t xml:space="preserve">2</m:t>
                </m:r>
              </m:sup>
            </m:sSup>
          </m:num>
          <m:den>
            <m:r>
              <m:t xml:space="preserve">p</m:t>
            </m:r>
            <m:r>
              <m:rPr>
                <m:nor/>
              </m:rPr>
              <m:t xml:space="preserve">  </m:t>
            </m:r>
            <m:sSub>
              <m:e>
                <m:r>
                  <m:t xml:space="preserve">D</m:t>
                </m:r>
              </m:e>
              <m:sub>
                <m:r>
                  <m:t xml:space="preserve">i</m:t>
                </m:r>
              </m:sub>
            </m:sSub>
          </m:den>
        </m:f>
      </m:oMath>
      <w:r>
        <w:rPr>
          <w:color w:val="5C6672"/>
          <w:sz w:val="19"/>
        </w:rPr>
        <w:tab/>
        <w:t>(7)</w:t>
      </w:r>
    </w:p>
    <w:p>
      <w:r>
        <w:rPr>
          <w:i w:val="0"/>
        </w:rPr>
        <w:t xml:space="preserve">Les tubes lisses emploient la sélection standard pour tube droit avec frottement de Colebrook. Dans les deux cas, le résultat est mis à l'échelle par des multiplicateurs de calage contenus dans la structure </w:t>
      </w:r>
      <w:r>
        <w:rPr>
          <w:rFonts w:ascii="Consolas" w:hAnsi="Consolas"/>
          <w:i w:val="0"/>
          <w:sz w:val="19"/>
        </w:rPr>
        <w:t>CorrelationCoefficients</w:t>
      </w:r>
      <w:r>
        <w:rPr>
          <w:i w:val="0"/>
        </w:rPr>
        <w:t>, source unique des paramètres d'ajustement du modèle.</w:t>
      </w:r>
    </w:p>
    <w:p>
      <w:pPr>
        <w:pStyle w:val="Heading2"/>
      </w:pPr>
      <w:r>
        <w:t>4.3  Quantité de mouvement côté gaz</w:t>
      </w:r>
    </w:p>
    <w:p>
      <w:pPr>
        <w:tabs>
          <w:tab w:pos="4365" w:val="center"/>
          <w:tab w:pos="9298" w:val="right"/>
        </w:tabs>
        <w:spacing w:before="140" w:after="140"/>
      </w:pPr>
      <w:r>
        <w:tab/>
      </w:r>
      <m:oMath>
        <m:f>
          <m:num>
            <m:r>
              <m:t xml:space="preserve">d</m:t>
            </m:r>
            <m:sSub>
              <m:e>
                <m:r>
                  <m:t xml:space="preserve">p</m:t>
                </m:r>
              </m:e>
              <m:sub>
                <m:r>
                  <m:t xml:space="preserve">g</m:t>
                </m:r>
              </m:sub>
            </m:sSub>
          </m:num>
          <m:den>
            <m:r>
              <m:t xml:space="preserve">dx</m:t>
            </m:r>
          </m:den>
        </m:f>
        <m:r>
          <m:rPr>
            <m:nor/>
          </m:rPr>
          <m:t xml:space="preserve"> = - </m:t>
        </m:r>
        <m:f>
          <m:num>
            <m:sSub>
              <m:e>
                <m:r>
                  <m:t xml:space="preserve">f</m:t>
                </m:r>
              </m:e>
              <m:sub>
                <m:r>
                  <m:t xml:space="preserve">g</m:t>
                </m:r>
              </m:sub>
            </m:sSub>
            <m:r>
              <m:rPr>
                <m:nor/>
              </m:rPr>
              <m:t xml:space="preserve"> </m:t>
            </m:r>
            <m:sSub>
              <m:e>
                <m:r>
                  <m:t xml:space="preserve">ρ</m:t>
                </m:r>
              </m:e>
              <m:sub>
                <m:r>
                  <m:t xml:space="preserve">g</m:t>
                </m:r>
              </m:sub>
            </m:sSub>
            <m:r>
              <m:rPr>
                <m:nor/>
              </m:rPr>
              <m:t xml:space="preserve"> </m:t>
            </m:r>
            <m:sSubSup>
              <m:e>
                <m:r>
                  <m:t xml:space="preserve">U</m:t>
                </m:r>
              </m:e>
              <m:sub>
                <m:r>
                  <m:t xml:space="preserve">g</m:t>
                </m:r>
              </m:sub>
              <m:sup>
                <m:r>
                  <m:rPr>
                    <m:nor/>
                  </m:rPr>
                  <m:t xml:space="preserve">2</m:t>
                </m:r>
              </m:sup>
            </m:sSubSup>
          </m:num>
          <m:den>
            <m:r>
              <m:rPr>
                <m:nor/>
              </m:rPr>
              <m:t xml:space="preserve">2 </m:t>
            </m:r>
            <m:sSub>
              <m:e>
                <m:r>
                  <m:t xml:space="preserve">D</m:t>
                </m:r>
              </m:e>
              <m:sub>
                <m:r>
                  <m:t xml:space="preserve">i</m:t>
                </m:r>
              </m:sub>
            </m:sSub>
          </m:den>
        </m:f>
      </m:oMath>
      <w:r>
        <w:rPr>
          <w:color w:val="5C6672"/>
          <w:sz w:val="19"/>
        </w:rPr>
        <w:tab/>
        <w:t>(8)</w:t>
      </w:r>
    </w:p>
    <w:p>
      <w:pPr>
        <w:spacing w:before="160" w:after="160"/>
        <w:ind w:left="283"/>
        <w:pBdr>
          <w:left w:val="single" w:sz="18" w:space="10" w:color="9A5B12"/>
        </w:pBdr>
      </w:pPr>
      <w:r>
        <w:rPr>
          <w:rFonts w:ascii="Calibri Light" w:hAnsi="Calibri Light"/>
          <w:b/>
          <w:color w:val="9A5B12"/>
          <w:sz w:val="17"/>
        </w:rPr>
        <w:t xml:space="preserve">CONVENTION SUR LE COEFFICIENT DE FROTTEMENT  </w:t>
      </w:r>
      <w:r>
        <w:rPr>
          <w:i w:val="0"/>
          <w:sz w:val="19"/>
        </w:rPr>
        <w:t xml:space="preserve">f_g est le coefficient de </w:t>
      </w:r>
      <w:r>
        <w:rPr>
          <w:b/>
          <w:i w:val="0"/>
          <w:sz w:val="19"/>
        </w:rPr>
        <w:t>Darcy</w:t>
      </w:r>
      <w:r>
        <w:rPr>
          <w:i w:val="0"/>
          <w:sz w:val="19"/>
        </w:rPr>
        <w:t xml:space="preserve"> dans tous les chemins maintenus du solveur, en cohérence avec le facteur deux au dénominateur ci-dessus. Appliquer par-dessus une conversion Fanning-vers-Darcy quadruple la perte de charge prédite.</w:t>
      </w:r>
    </w:p>
    <w:p>
      <w:r>
        <w:rPr>
          <w:i w:val="0"/>
        </w:rPr>
        <w:t>Le couplage est ici délibérément unidirectionnel : la pression du gaz est intégrée à titre de restitution, mais n'est pas réinjectée dans la masse volumique, la table FPV étant construite à une pression de référence fixe. Cela est admissible car le combusteur est dimensionné pour des nombres de Mach gaz inférieurs à environ 0,3, où l'erreur de masse volumique induite par la perte de charge reste faible. C'est également la raison pour laquelle aucune équation de quantité de mouvement quasi-1D n'est résolue pour le gaz chaud dans ce modèle.</w:t>
      </w:r>
    </w:p>
    <w:p>
      <w:pPr>
        <w:pStyle w:val="Heading1"/>
      </w:pPr>
      <w:r>
        <w:t>5.  Modèle de conduction pariétale unidimensionnel</w:t>
      </w:r>
    </w:p>
    <w:p>
      <w:r>
        <w:rPr>
          <w:i w:val="0"/>
        </w:rPr>
        <w:t xml:space="preserve">À chaque nœud, les deux films convectifs et la paroi du tube forment un réseau de trois résistances en série entre les températures de mélange du gaz et du réfrigérant. La particularité géométrique essentielle est que les deux films agissent sur des </w:t>
      </w:r>
      <w:r>
        <w:rPr>
          <w:b/>
          <w:i w:val="0"/>
        </w:rPr>
        <w:t>aires différentes</w:t>
      </w:r>
      <w:r>
        <w:rPr>
          <w:i w:val="0"/>
        </w:rPr>
        <w:t>, le tube étant cylindrique et le fluide chaud circulant à l'intérieur.</w:t>
      </w:r>
    </w:p>
    <w:p>
      <w:pPr>
        <w:spacing w:before="160" w:after="80"/>
        <w:jc w:val="center"/>
      </w:pPr>
      <w:r>
        <w:drawing>
          <wp:inline xmlns:a="http://schemas.openxmlformats.org/drawingml/2006/main" xmlns:pic="http://schemas.openxmlformats.org/drawingml/2006/picture">
            <wp:extent cx="5832000" cy="2255907"/>
            <wp:docPr id="1" name="Picture 1"/>
            <wp:cNvGraphicFramePr>
              <a:graphicFrameLocks noChangeAspect="1"/>
            </wp:cNvGraphicFramePr>
            <a:graphic>
              <a:graphicData uri="http://schemas.openxmlformats.org/drawingml/2006/picture">
                <pic:pic>
                  <pic:nvPicPr>
                    <pic:cNvPr id="0" name="fig_wall_network.png"/>
                    <pic:cNvPicPr/>
                  </pic:nvPicPr>
                  <pic:blipFill>
                    <a:blip r:embed="rId9"/>
                    <a:stretch>
                      <a:fillRect/>
                    </a:stretch>
                  </pic:blipFill>
                  <pic:spPr>
                    <a:xfrm>
                      <a:off x="0" y="0"/>
                      <a:ext cx="5832000" cy="2255907"/>
                    </a:xfrm>
                    <a:prstGeom prst="rect"/>
                  </pic:spPr>
                </pic:pic>
              </a:graphicData>
            </a:graphic>
          </wp:inline>
        </w:drawing>
      </w:r>
    </w:p>
    <w:p>
      <w:pPr>
        <w:spacing w:after="220"/>
        <w:jc w:val="left"/>
      </w:pPr>
      <w:r>
        <w:rPr>
          <w:b/>
          <w:sz w:val="18"/>
        </w:rPr>
        <w:t xml:space="preserve">Figure 1.  </w:t>
      </w:r>
      <w:r>
        <w:rPr>
          <w:i w:val="0"/>
          <w:color w:val="5C6672"/>
          <w:sz w:val="18"/>
        </w:rPr>
        <w:t>Disposition radiale et réseau de résistances nodal équivalent. Le fluide chaud étant intérieur, le film côté gaz agit sur le périmètre intérieur, plus petit, et le film côté réfrigérant sur le périmètre extérieur, plus grand.</w:t>
      </w:r>
    </w:p>
    <w:p>
      <w:pPr>
        <w:pStyle w:val="Heading2"/>
      </w:pPr>
      <w:r>
        <w:t>5.1  Géométrie et affectation du côté chaud</w:t>
      </w:r>
    </w:p>
    <w:p>
      <w:pPr>
        <w:tabs>
          <w:tab w:pos="4365" w:val="center"/>
          <w:tab w:pos="9298" w:val="right"/>
        </w:tabs>
        <w:spacing w:before="140" w:after="140"/>
      </w:pPr>
      <w:r>
        <w:tab/>
      </w:r>
      <m:oMath>
        <m:sSub>
          <m:e>
            <m:r>
              <m:t xml:space="preserve">P</m:t>
            </m:r>
          </m:e>
          <m:sub>
            <m:r>
              <m:t xml:space="preserve">hot</m:t>
            </m:r>
          </m:sub>
        </m:sSub>
        <m:r>
          <m:rPr>
            <m:nor/>
          </m:rPr>
          <m:t xml:space="preserve"> = </m:t>
        </m:r>
        <m:r>
          <m:t xml:space="preserve">π</m:t>
        </m:r>
        <m:r>
          <m:rPr>
            <m:nor/>
          </m:rPr>
          <m:t xml:space="preserve"> </m:t>
        </m:r>
        <m:sSub>
          <m:e>
            <m:r>
              <m:t xml:space="preserve">D</m:t>
            </m:r>
          </m:e>
          <m:sub>
            <m:r>
              <m:t xml:space="preserve">i</m:t>
            </m:r>
          </m:sub>
        </m:sSub>
        <m:r>
          <m:rPr>
            <m:nor/>
          </m:rPr>
          <m:t xml:space="preserve">    </m:t>
        </m:r>
        <m:sSub>
          <m:e>
            <m:r>
              <m:t xml:space="preserve">P</m:t>
            </m:r>
          </m:e>
          <m:sub>
            <m:r>
              <m:t xml:space="preserve">cold</m:t>
            </m:r>
          </m:sub>
        </m:sSub>
        <m:r>
          <m:rPr>
            <m:nor/>
          </m:rPr>
          <m:t xml:space="preserve"> = </m:t>
        </m:r>
        <m:r>
          <m:t xml:space="preserve">π</m:t>
        </m:r>
        <m:r>
          <m:rPr>
            <m:nor/>
          </m:rPr>
          <m:t xml:space="preserve"> </m:t>
        </m:r>
        <m:sSub>
          <m:e>
            <m:r>
              <m:t xml:space="preserve">D</m:t>
            </m:r>
          </m:e>
          <m:sub>
            <m:r>
              <m:t xml:space="preserve">o</m:t>
            </m:r>
          </m:sub>
        </m:sSub>
      </m:oMath>
      <w:r>
        <w:rPr>
          <w:color w:val="5C6672"/>
          <w:sz w:val="19"/>
        </w:rPr>
        <w:tab/>
        <w:t>(9)</w:t>
      </w:r>
    </w:p>
    <w:p>
      <w:pPr>
        <w:tabs>
          <w:tab w:pos="4365" w:val="center"/>
          <w:tab w:pos="9298" w:val="right"/>
        </w:tabs>
        <w:spacing w:before="140" w:after="140"/>
      </w:pPr>
      <w:r>
        <w:tab/>
      </w:r>
      <m:oMath>
        <m:sSub>
          <m:e>
            <m:r>
              <m:t xml:space="preserve">A</m:t>
            </m:r>
          </m:e>
          <m:sub>
            <m:r>
              <m:t xml:space="preserve">hot</m:t>
            </m:r>
          </m:sub>
        </m:sSub>
        <m:r>
          <m:rPr>
            <m:nor/>
          </m:rPr>
          <m:t xml:space="preserve"> = </m:t>
        </m:r>
        <m:sSub>
          <m:e>
            <m:r>
              <m:t xml:space="preserve">P</m:t>
            </m:r>
          </m:e>
          <m:sub>
            <m:r>
              <m:t xml:space="preserve">hot</m:t>
            </m:r>
          </m:sub>
        </m:sSub>
        <m:r>
          <m:rPr>
            <m:nor/>
          </m:rPr>
          <m:t xml:space="preserve">  </m:t>
        </m:r>
        <m:r>
          <m:t xml:space="preserve">Δ</m:t>
        </m:r>
        <m:r>
          <m:rPr>
            <m:nor/>
          </m:rPr>
          <m:t xml:space="preserve"> </m:t>
        </m:r>
        <m:r>
          <m:t xml:space="preserve">x</m:t>
        </m:r>
        <m:r>
          <m:rPr>
            <m:nor/>
          </m:rPr>
          <m:t xml:space="preserve">    </m:t>
        </m:r>
        <m:sSub>
          <m:e>
            <m:r>
              <m:t xml:space="preserve">A</m:t>
            </m:r>
          </m:e>
          <m:sub>
            <m:r>
              <m:t xml:space="preserve">cold</m:t>
            </m:r>
          </m:sub>
        </m:sSub>
        <m:r>
          <m:rPr>
            <m:nor/>
          </m:rPr>
          <m:t xml:space="preserve"> = </m:t>
        </m:r>
        <m:sSub>
          <m:e>
            <m:r>
              <m:t xml:space="preserve">P</m:t>
            </m:r>
          </m:e>
          <m:sub>
            <m:r>
              <m:t xml:space="preserve">cold</m:t>
            </m:r>
          </m:sub>
        </m:sSub>
        <m:r>
          <m:rPr>
            <m:nor/>
          </m:rPr>
          <m:t xml:space="preserve">  </m:t>
        </m:r>
        <m:r>
          <m:t xml:space="preserve">Δ</m:t>
        </m:r>
        <m:r>
          <m:rPr>
            <m:nor/>
          </m:rPr>
          <m:t xml:space="preserve"> </m:t>
        </m:r>
        <m:r>
          <m:t xml:space="preserve">x</m:t>
        </m:r>
      </m:oMath>
    </w:p>
    <w:p>
      <w:pPr>
        <w:spacing w:before="160" w:after="160"/>
        <w:ind w:left="283"/>
        <w:pBdr>
          <w:left w:val="single" w:sz="18" w:space="10" w:color="9A5B12"/>
        </w:pBdr>
      </w:pPr>
      <w:r>
        <w:rPr>
          <w:rFonts w:ascii="Calibri Light" w:hAnsi="Calibri Light"/>
          <w:b/>
          <w:color w:val="9A5B12"/>
          <w:sz w:val="17"/>
        </w:rPr>
        <w:t xml:space="preserve">ORIENTATION DU CÔTÉ CHAUD  </w:t>
      </w:r>
      <w:r>
        <w:rPr>
          <w:i w:val="0"/>
          <w:sz w:val="19"/>
        </w:rPr>
        <w:t xml:space="preserve">Le modèle de paroi est partagé avec la configuration à serpentin hélicoïdal, dans laquelle le fluide chaud est </w:t>
      </w:r>
      <w:r>
        <w:rPr>
          <w:b/>
          <w:i w:val="0"/>
          <w:sz w:val="19"/>
        </w:rPr>
        <w:t>extérieur</w:t>
      </w:r>
      <w:r>
        <w:rPr>
          <w:i w:val="0"/>
          <w:sz w:val="19"/>
        </w:rPr>
        <w:t xml:space="preserve"> au tube et l'affectation des périmètres est inversée. L'orientation est choisie par un indicateur </w:t>
      </w:r>
      <w:r>
        <w:rPr>
          <w:rFonts w:ascii="Consolas" w:hAnsi="Consolas"/>
          <w:i w:val="0"/>
          <w:sz w:val="19"/>
        </w:rPr>
        <w:t>hot_side</w:t>
      </w:r>
      <w:r>
        <w:rPr>
          <w:i w:val="0"/>
          <w:sz w:val="19"/>
        </w:rPr>
        <w:t>, qui doit valoir "inner" pour la configuration calandre-et-tubes. Un réglage erroné laisse le réseau structurellement intact mais met à l'échelle les deux résistances de film par D_o/D_i dans le mauvais sens, produisant une puissance plausible mais fausse.</w:t>
      </w:r>
    </w:p>
    <w:p>
      <w:pPr>
        <w:pStyle w:val="Heading2"/>
      </w:pPr>
      <w:r>
        <w:t>5.2  Résistance de paroi et conductance globale</w:t>
      </w:r>
    </w:p>
    <w:p>
      <w:r>
        <w:rPr>
          <w:i w:val="0"/>
        </w:rPr>
        <w:t xml:space="preserve">La résistance de paroi est </w:t>
      </w:r>
      <w:r>
        <w:rPr>
          <w:b/>
          <w:i w:val="0"/>
        </w:rPr>
        <w:t>cylindrique</w:t>
      </w:r>
      <w:r>
        <w:rPr>
          <w:i w:val="0"/>
        </w:rPr>
        <w:t>, et non plane — distinction importante aux rapports épaisseur/diamètre employés ici :</w:t>
      </w:r>
    </w:p>
    <w:p>
      <w:pPr>
        <w:tabs>
          <w:tab w:pos="4365" w:val="center"/>
          <w:tab w:pos="9298" w:val="right"/>
        </w:tabs>
        <w:spacing w:before="140" w:after="140"/>
      </w:pPr>
      <w:r>
        <w:tab/>
      </w:r>
      <m:oMath>
        <m:sSub>
          <m:e>
            <m:r>
              <m:t xml:space="preserve">R</m:t>
            </m:r>
          </m:e>
          <m:sub>
            <m:r>
              <m:t xml:space="preserve">wall</m:t>
            </m:r>
          </m:sub>
        </m:sSub>
        <m:r>
          <m:rPr>
            <m:nor/>
          </m:rPr>
          <m:t xml:space="preserve"> = </m:t>
        </m:r>
        <m:f>
          <m:num>
            <m:r>
              <m:rPr>
                <m:nor/>
              </m:rPr>
              <m:t xml:space="preserve">ln</m:t>
            </m:r>
            <m:d>
              <m:dPr>
                <m:begChr m:val="["/>
                <m:endChr m:val="]"/>
              </m:dPr>
              <m:e>
                <m:r>
                  <m:rPr>
                    <m:nor/>
                  </m:rPr>
                  <m:t xml:space="preserve">(</m:t>
                </m:r>
                <m:sSub>
                  <m:e>
                    <m:r>
                      <m:t xml:space="preserve">D</m:t>
                    </m:r>
                  </m:e>
                  <m:sub>
                    <m:r>
                      <m:t xml:space="preserve">i</m:t>
                    </m:r>
                  </m:sub>
                </m:sSub>
                <m:r>
                  <m:rPr>
                    <m:nor/>
                  </m:rPr>
                  <m:t xml:space="preserve">/2 + </m:t>
                </m:r>
                <m:sSub>
                  <m:e>
                    <m:r>
                      <m:t xml:space="preserve">s</m:t>
                    </m:r>
                  </m:e>
                  <m:sub>
                    <m:r>
                      <m:t xml:space="preserve">w</m:t>
                    </m:r>
                  </m:sub>
                </m:sSub>
                <m:r>
                  <m:rPr>
                    <m:nor/>
                  </m:rPr>
                  <m:t xml:space="preserve">)/(</m:t>
                </m:r>
                <m:sSub>
                  <m:e>
                    <m:r>
                      <m:t xml:space="preserve">D</m:t>
                    </m:r>
                  </m:e>
                  <m:sub>
                    <m:r>
                      <m:t xml:space="preserve">i</m:t>
                    </m:r>
                  </m:sub>
                </m:sSub>
                <m:r>
                  <m:rPr>
                    <m:nor/>
                  </m:rPr>
                  <m:t xml:space="preserve">/2)</m:t>
                </m:r>
              </m:e>
            </m:d>
          </m:num>
          <m:den>
            <m:r>
              <m:rPr>
                <m:nor/>
              </m:rPr>
              <m:t xml:space="preserve">2 </m:t>
            </m:r>
            <m:r>
              <m:t xml:space="preserve">π</m:t>
            </m:r>
            <m:r>
              <m:rPr>
                <m:nor/>
              </m:rPr>
              <m:t xml:space="preserve"> </m:t>
            </m:r>
            <m:r>
              <m:t xml:space="preserve">Δ</m:t>
            </m:r>
            <m:r>
              <m:rPr>
                <m:nor/>
              </m:rPr>
              <m:t xml:space="preserve"> </m:t>
            </m:r>
            <m:r>
              <m:t xml:space="preserve">x</m:t>
            </m:r>
            <m:r>
              <m:rPr>
                <m:nor/>
              </m:rPr>
              <m:t xml:space="preserve">  </m:t>
            </m:r>
            <m:sSub>
              <m:e>
                <m:r>
                  <m:t xml:space="preserve">k</m:t>
                </m:r>
              </m:e>
              <m:sub>
                <m:r>
                  <m:t xml:space="preserve">w</m:t>
                </m:r>
              </m:sub>
            </m:sSub>
          </m:den>
        </m:f>
      </m:oMath>
      <w:r>
        <w:rPr>
          <w:color w:val="5C6672"/>
          <w:sz w:val="19"/>
        </w:rPr>
        <w:tab/>
        <w:t>(10)</w:t>
      </w:r>
    </w:p>
    <w:p>
      <w:r>
        <w:rPr>
          <w:i w:val="0"/>
        </w:rPr>
        <w:t>Les trois résistances se composent en série pour donner la conductance nodale et la puissance échangée au nœud :</w:t>
      </w:r>
    </w:p>
    <w:p>
      <w:pPr>
        <w:tabs>
          <w:tab w:pos="4365" w:val="center"/>
          <w:tab w:pos="9298" w:val="right"/>
        </w:tabs>
        <w:spacing w:before="140" w:after="140"/>
      </w:pPr>
      <w:r>
        <w:tab/>
      </w:r>
      <m:oMath>
        <m:f>
          <m:num>
            <m:r>
              <m:rPr>
                <m:nor/>
              </m:rPr>
              <m:t xml:space="preserve">1</m:t>
            </m:r>
          </m:num>
          <m:den>
            <m:r>
              <m:t xml:space="preserve">UA</m:t>
            </m:r>
          </m:den>
        </m:f>
        <m:r>
          <m:rPr>
            <m:nor/>
          </m:rPr>
          <m:t xml:space="preserve"> = </m:t>
        </m:r>
        <m:f>
          <m:num>
            <m:r>
              <m:rPr>
                <m:nor/>
              </m:rPr>
              <m:t xml:space="preserve">1</m:t>
            </m:r>
          </m:num>
          <m:den>
            <m:sSub>
              <m:e>
                <m:r>
                  <m:t xml:space="preserve">h</m:t>
                </m:r>
              </m:e>
              <m:sub>
                <m:r>
                  <m:t xml:space="preserve">g</m:t>
                </m:r>
              </m:sub>
            </m:sSub>
            <m:r>
              <m:rPr>
                <m:nor/>
              </m:rPr>
              <m:t xml:space="preserve"> </m:t>
            </m:r>
            <m:sSub>
              <m:e>
                <m:r>
                  <m:t xml:space="preserve">A</m:t>
                </m:r>
              </m:e>
              <m:sub>
                <m:r>
                  <m:t xml:space="preserve">hot</m:t>
                </m:r>
              </m:sub>
            </m:sSub>
          </m:den>
        </m:f>
        <m:r>
          <m:rPr>
            <m:nor/>
          </m:rPr>
          <m:t xml:space="preserve"> + </m:t>
        </m:r>
        <m:sSub>
          <m:e>
            <m:r>
              <m:t xml:space="preserve">R</m:t>
            </m:r>
          </m:e>
          <m:sub>
            <m:r>
              <m:t xml:space="preserve">wall</m:t>
            </m:r>
          </m:sub>
        </m:sSub>
        <m:r>
          <m:rPr>
            <m:nor/>
          </m:rPr>
          <m:t xml:space="preserve"> + </m:t>
        </m:r>
        <m:f>
          <m:num>
            <m:r>
              <m:rPr>
                <m:nor/>
              </m:rPr>
              <m:t xml:space="preserve">1</m:t>
            </m:r>
          </m:num>
          <m:den>
            <m:sSub>
              <m:e>
                <m:r>
                  <m:t xml:space="preserve">h</m:t>
                </m:r>
              </m:e>
              <m:sub>
                <m:r>
                  <m:t xml:space="preserve">c</m:t>
                </m:r>
              </m:sub>
            </m:sSub>
            <m:r>
              <m:rPr>
                <m:nor/>
              </m:rPr>
              <m:t xml:space="preserve"> </m:t>
            </m:r>
            <m:sSub>
              <m:e>
                <m:r>
                  <m:t xml:space="preserve">A</m:t>
                </m:r>
              </m:e>
              <m:sub>
                <m:r>
                  <m:t xml:space="preserve">cold</m:t>
                </m:r>
              </m:sub>
            </m:sSub>
          </m:den>
        </m:f>
      </m:oMath>
      <w:r>
        <w:rPr>
          <w:color w:val="5C6672"/>
          <w:sz w:val="19"/>
        </w:rPr>
        <w:tab/>
        <w:t>(11)</w:t>
      </w:r>
    </w:p>
    <w:p>
      <w:pPr>
        <w:tabs>
          <w:tab w:pos="4365" w:val="center"/>
          <w:tab w:pos="9298" w:val="right"/>
        </w:tabs>
        <w:spacing w:before="140" w:after="140"/>
      </w:pPr>
      <w:r>
        <w:tab/>
      </w:r>
      <m:oMath>
        <m:r>
          <m:t xml:space="preserve">d</m:t>
        </m:r>
        <m:sSub>
          <m:e>
            <m:r>
              <m:t xml:space="preserve">Q</m:t>
            </m:r>
          </m:e>
          <m:sub>
            <m:r>
              <m:t xml:space="preserve">i</m:t>
            </m:r>
          </m:sub>
        </m:sSub>
        <m:r>
          <m:rPr>
            <m:nor/>
          </m:rPr>
          <m:t xml:space="preserve"> = </m:t>
        </m:r>
        <m:r>
          <m:t xml:space="preserve">UA</m:t>
        </m:r>
        <m:r>
          <m:rPr>
            <m:nor/>
          </m:rPr>
          <m:t xml:space="preserve"> </m:t>
        </m:r>
        <m:d>
          <m:dPr>
            <m:begChr m:val="("/>
            <m:endChr m:val=")"/>
          </m:dPr>
          <m:e>
            <m:r>
              <m:rPr>
                <m:nor/>
              </m:rPr>
              <m:t xml:space="preserve"> </m:t>
            </m:r>
            <m:sSub>
              <m:e>
                <m:r>
                  <m:t xml:space="preserve">T</m:t>
                </m:r>
              </m:e>
              <m:sub>
                <m:r>
                  <m:t xml:space="preserve">g</m:t>
                </m:r>
                <m:r>
                  <m:rPr>
                    <m:nor/>
                  </m:rPr>
                  <m:t xml:space="preserve">,</m:t>
                </m:r>
                <m:r>
                  <m:t xml:space="preserve">i</m:t>
                </m:r>
              </m:sub>
            </m:sSub>
            <m:r>
              <m:rPr>
                <m:nor/>
              </m:rPr>
              <m:t xml:space="preserve"> - </m:t>
            </m:r>
            <m:sSub>
              <m:e>
                <m:r>
                  <m:t xml:space="preserve">T</m:t>
                </m:r>
              </m:e>
              <m:sub>
                <m:r>
                  <m:t xml:space="preserve">c</m:t>
                </m:r>
                <m:r>
                  <m:rPr>
                    <m:nor/>
                  </m:rPr>
                  <m:t xml:space="preserve">,</m:t>
                </m:r>
                <m:r>
                  <m:t xml:space="preserve">i</m:t>
                </m:r>
              </m:sub>
            </m:sSub>
            <m:r>
              <m:rPr>
                <m:nor/>
              </m:rPr>
              <m:t xml:space="preserve"> </m:t>
            </m:r>
          </m:e>
        </m:d>
      </m:oMath>
    </w:p>
    <w:p>
      <w:pPr>
        <w:pStyle w:val="Heading2"/>
      </w:pPr>
      <w:r>
        <w:t>5.3  Températures de face</w:t>
      </w:r>
    </w:p>
    <w:p>
      <w:r>
        <w:rPr>
          <w:i w:val="0"/>
        </w:rPr>
        <w:t>Les températures de face de paroi s'obtiennent en parcourant la chaîne de résistances, la troisième relation servant de vérification de cohérence : la chaîne doit ramener à la température de réfrigérant imposée.</w:t>
      </w:r>
    </w:p>
    <w:p>
      <w:pPr>
        <w:tabs>
          <w:tab w:pos="4365" w:val="center"/>
          <w:tab w:pos="9298" w:val="right"/>
        </w:tabs>
        <w:spacing w:before="140" w:after="140"/>
      </w:pPr>
      <w:r>
        <w:tab/>
      </w:r>
      <m:oMath>
        <m:sSub>
          <m:e>
            <m:r>
              <m:t xml:space="preserve">T</m:t>
            </m:r>
          </m:e>
          <m:sub>
            <m:r>
              <m:t xml:space="preserve">wg</m:t>
            </m:r>
          </m:sub>
        </m:sSub>
        <m:r>
          <m:rPr>
            <m:nor/>
          </m:rPr>
          <m:t xml:space="preserve"> = </m:t>
        </m:r>
        <m:sSub>
          <m:e>
            <m:r>
              <m:t xml:space="preserve">T</m:t>
            </m:r>
          </m:e>
          <m:sub>
            <m:r>
              <m:t xml:space="preserve">g</m:t>
            </m:r>
          </m:sub>
        </m:sSub>
        <m:r>
          <m:rPr>
            <m:nor/>
          </m:rPr>
          <m:t xml:space="preserve"> - </m:t>
        </m:r>
        <m:f>
          <m:num>
            <m:r>
              <m:t xml:space="preserve">dQ</m:t>
            </m:r>
          </m:num>
          <m:den>
            <m:sSub>
              <m:e>
                <m:r>
                  <m:t xml:space="preserve">h</m:t>
                </m:r>
              </m:e>
              <m:sub>
                <m:r>
                  <m:t xml:space="preserve">g</m:t>
                </m:r>
              </m:sub>
            </m:sSub>
            <m:r>
              <m:rPr>
                <m:nor/>
              </m:rPr>
              <m:t xml:space="preserve"> </m:t>
            </m:r>
            <m:sSub>
              <m:e>
                <m:r>
                  <m:t xml:space="preserve">A</m:t>
                </m:r>
              </m:e>
              <m:sub>
                <m:r>
                  <m:t xml:space="preserve">hot</m:t>
                </m:r>
              </m:sub>
            </m:sSub>
          </m:den>
        </m:f>
      </m:oMath>
      <w:r>
        <w:rPr>
          <w:color w:val="5C6672"/>
          <w:sz w:val="19"/>
        </w:rPr>
        <w:tab/>
        <w:t>(12)</w:t>
      </w:r>
    </w:p>
    <w:p>
      <w:pPr>
        <w:tabs>
          <w:tab w:pos="4365" w:val="center"/>
          <w:tab w:pos="9298" w:val="right"/>
        </w:tabs>
        <w:spacing w:before="140" w:after="140"/>
      </w:pPr>
      <w:r>
        <w:tab/>
      </w:r>
      <m:oMath>
        <m:sSub>
          <m:e>
            <m:r>
              <m:t xml:space="preserve">T</m:t>
            </m:r>
          </m:e>
          <m:sub>
            <m:r>
              <m:t xml:space="preserve">wc</m:t>
            </m:r>
          </m:sub>
        </m:sSub>
        <m:r>
          <m:rPr>
            <m:nor/>
          </m:rPr>
          <m:t xml:space="preserve"> = </m:t>
        </m:r>
        <m:sSub>
          <m:e>
            <m:r>
              <m:t xml:space="preserve">T</m:t>
            </m:r>
          </m:e>
          <m:sub>
            <m:r>
              <m:t xml:space="preserve">wg</m:t>
            </m:r>
          </m:sub>
        </m:sSub>
        <m:r>
          <m:rPr>
            <m:nor/>
          </m:rPr>
          <m:t xml:space="preserve"> - </m:t>
        </m:r>
        <m:r>
          <m:t xml:space="preserve">dQ</m:t>
        </m:r>
        <m:r>
          <m:rPr>
            <m:nor/>
          </m:rPr>
          <m:t xml:space="preserve">  </m:t>
        </m:r>
        <m:sSub>
          <m:e>
            <m:r>
              <m:t xml:space="preserve">R</m:t>
            </m:r>
          </m:e>
          <m:sub>
            <m:r>
              <m:t xml:space="preserve">wall</m:t>
            </m:r>
          </m:sub>
        </m:sSub>
      </m:oMath>
    </w:p>
    <w:p>
      <w:pPr>
        <w:tabs>
          <w:tab w:pos="4365" w:val="center"/>
          <w:tab w:pos="9298" w:val="right"/>
        </w:tabs>
        <w:spacing w:before="140" w:after="140"/>
      </w:pPr>
      <w:r>
        <w:tab/>
      </w:r>
      <m:oMath>
        <m:sSubSup>
          <m:e>
            <m:r>
              <m:t xml:space="preserve">T</m:t>
            </m:r>
          </m:e>
          <m:sub>
            <m:r>
              <m:t xml:space="preserve">c</m:t>
            </m:r>
          </m:sub>
          <m:sup>
            <m:r>
              <m:t xml:space="preserve">check</m:t>
            </m:r>
          </m:sup>
        </m:sSubSup>
        <m:r>
          <m:rPr>
            <m:nor/>
          </m:rPr>
          <m:t xml:space="preserve"> = </m:t>
        </m:r>
        <m:sSub>
          <m:e>
            <m:r>
              <m:t xml:space="preserve">T</m:t>
            </m:r>
          </m:e>
          <m:sub>
            <m:r>
              <m:t xml:space="preserve">wc</m:t>
            </m:r>
          </m:sub>
        </m:sSub>
        <m:r>
          <m:rPr>
            <m:nor/>
          </m:rPr>
          <m:t xml:space="preserve"> - </m:t>
        </m:r>
        <m:f>
          <m:num>
            <m:r>
              <m:t xml:space="preserve">dQ</m:t>
            </m:r>
          </m:num>
          <m:den>
            <m:sSub>
              <m:e>
                <m:r>
                  <m:t xml:space="preserve">h</m:t>
                </m:r>
              </m:e>
              <m:sub>
                <m:r>
                  <m:t xml:space="preserve">c</m:t>
                </m:r>
              </m:sub>
            </m:sSub>
            <m:r>
              <m:rPr>
                <m:nor/>
              </m:rPr>
              <m:t xml:space="preserve"> </m:t>
            </m:r>
            <m:sSub>
              <m:e>
                <m:r>
                  <m:t xml:space="preserve">A</m:t>
                </m:r>
              </m:e>
              <m:sub>
                <m:r>
                  <m:t xml:space="preserve">cold</m:t>
                </m:r>
              </m:sub>
            </m:sSub>
          </m:den>
        </m:f>
        <m:r>
          <m:rPr>
            <m:nor/>
          </m:rPr>
          <m:t xml:space="preserve">   ≡   </m:t>
        </m:r>
        <m:sSub>
          <m:e>
            <m:r>
              <m:t xml:space="preserve">T</m:t>
            </m:r>
          </m:e>
          <m:sub>
            <m:r>
              <m:t xml:space="preserve">c</m:t>
            </m:r>
          </m:sub>
        </m:sSub>
      </m:oMath>
    </w:p>
    <w:p>
      <w:pPr>
        <w:pStyle w:val="Heading2"/>
      </w:pPr>
      <w:r>
        <w:t>5.4  Conductivité dépendant de la température et résolution nodale</w:t>
      </w:r>
    </w:p>
    <w:p>
      <w:r>
        <w:rPr>
          <w:i w:val="0"/>
        </w:rPr>
        <w:t>La conductivité de paroi est évaluée à la température moyenne dans l'épaisseur :</w:t>
      </w:r>
    </w:p>
    <w:p>
      <w:pPr>
        <w:tabs>
          <w:tab w:pos="4365" w:val="center"/>
          <w:tab w:pos="9298" w:val="right"/>
        </w:tabs>
        <w:spacing w:before="140" w:after="140"/>
      </w:pPr>
      <w:r>
        <w:tab/>
      </w:r>
      <m:oMath>
        <m:sSub>
          <m:e>
            <m:r>
              <m:t xml:space="preserve">k</m:t>
            </m:r>
          </m:e>
          <m:sub>
            <m:r>
              <m:t xml:space="preserve">w</m:t>
            </m:r>
          </m:sub>
        </m:sSub>
        <m:r>
          <m:rPr>
            <m:nor/>
          </m:rPr>
          <m:t xml:space="preserve"> = </m:t>
        </m:r>
        <m:sSub>
          <m:e>
            <m:r>
              <m:t xml:space="preserve">k</m:t>
            </m:r>
          </m:e>
          <m:sub>
            <m:r>
              <m:t xml:space="preserve">w</m:t>
            </m:r>
          </m:sub>
        </m:sSub>
        <m:r>
          <m:rPr>
            <m:nor/>
          </m:rPr>
          <m:t xml:space="preserve">(</m:t>
        </m:r>
        <m:sSub>
          <m:e>
            <m:bar>
              <m:barPr>
                <m:pos m:val="top"/>
              </m:barPr>
              <m:e>
                <m:r>
                  <m:t xml:space="preserve">T</m:t>
                </m:r>
              </m:e>
            </m:bar>
          </m:e>
          <m:sub>
            <m:r>
              <m:t xml:space="preserve">w</m:t>
            </m:r>
          </m:sub>
        </m:sSub>
        <m:r>
          <m:rPr>
            <m:nor/>
          </m:rPr>
          <m:t xml:space="preserve">),    </m:t>
        </m:r>
        <m:sSub>
          <m:e>
            <m:bar>
              <m:barPr>
                <m:pos m:val="top"/>
              </m:barPr>
              <m:e>
                <m:r>
                  <m:t xml:space="preserve">T</m:t>
                </m:r>
              </m:e>
            </m:bar>
          </m:e>
          <m:sub>
            <m:r>
              <m:t xml:space="preserve">w</m:t>
            </m:r>
          </m:sub>
        </m:sSub>
        <m:r>
          <m:rPr>
            <m:nor/>
          </m:rPr>
          <m:t xml:space="preserve"> = </m:t>
        </m:r>
        <m:f>
          <m:num>
            <m:sSub>
              <m:e>
                <m:r>
                  <m:t xml:space="preserve">T</m:t>
                </m:r>
              </m:e>
              <m:sub>
                <m:r>
                  <m:t xml:space="preserve">wg</m:t>
                </m:r>
              </m:sub>
            </m:sSub>
            <m:r>
              <m:rPr>
                <m:nor/>
              </m:rPr>
              <m:t xml:space="preserve"> + </m:t>
            </m:r>
            <m:sSub>
              <m:e>
                <m:r>
                  <m:t xml:space="preserve">T</m:t>
                </m:r>
              </m:e>
              <m:sub>
                <m:r>
                  <m:t xml:space="preserve">wc</m:t>
                </m:r>
              </m:sub>
            </m:sSub>
          </m:num>
          <m:den>
            <m:r>
              <m:rPr>
                <m:nor/>
              </m:rPr>
              <m:t xml:space="preserve">2</m:t>
            </m:r>
          </m:den>
        </m:f>
      </m:oMath>
      <w:r>
        <w:rPr>
          <w:color w:val="5C6672"/>
          <w:sz w:val="19"/>
        </w:rPr>
        <w:tab/>
        <w:t>(13)</w:t>
      </w:r>
    </w:p>
    <w:p>
      <w:r>
        <w:rPr>
          <w:i w:val="0"/>
        </w:rPr>
        <w:t>La résistance de paroi dépend donc des températures de face que l'on cherche précisément à déterminer. Chaque nœud referme en conséquence un petit système non linéaire, résolu à une tolérance de 10⁻⁸ sur le vecteur résidu :</w:t>
      </w:r>
    </w:p>
    <w:p>
      <w:pPr>
        <w:tabs>
          <w:tab w:pos="4365" w:val="center"/>
          <w:tab w:pos="9298" w:val="right"/>
        </w:tabs>
        <w:spacing w:before="140" w:after="140"/>
      </w:pPr>
      <w:r>
        <w:tab/>
      </w:r>
      <m:oMath>
        <m:r>
          <m:t xml:space="preserve">F</m:t>
        </m:r>
        <m:r>
          <m:rPr>
            <m:nor/>
          </m:rPr>
          <m:t xml:space="preserve"> = </m:t>
        </m:r>
        <m:d>
          <m:dPr>
            <m:begChr m:val="["/>
            <m:endChr m:val="]"/>
          </m:dPr>
          <m:e>
            <m:r>
              <m:rPr>
                <m:nor/>
              </m:rPr>
              <m:t xml:space="preserve"> </m:t>
            </m:r>
            <m:sSub>
              <m:e>
                <m:r>
                  <m:t xml:space="preserve">T</m:t>
                </m:r>
              </m:e>
              <m:sub>
                <m:r>
                  <m:t xml:space="preserve">wg</m:t>
                </m:r>
              </m:sub>
            </m:sSub>
            <m:r>
              <m:rPr>
                <m:nor/>
              </m:rPr>
              <m:t xml:space="preserve"> - </m:t>
            </m:r>
            <m:sSubSup>
              <m:e>
                <m:r>
                  <m:t xml:space="preserve">T</m:t>
                </m:r>
              </m:e>
              <m:sub>
                <m:r>
                  <m:t xml:space="preserve">wg</m:t>
                </m:r>
              </m:sub>
              <m:sup>
                <m:r>
                  <m:t xml:space="preserve">new</m:t>
                </m:r>
              </m:sup>
            </m:sSubSup>
            <m:r>
              <m:rPr>
                <m:nor/>
              </m:rPr>
              <m:t xml:space="preserve">,  </m:t>
            </m:r>
            <m:sSub>
              <m:e>
                <m:r>
                  <m:t xml:space="preserve">T</m:t>
                </m:r>
              </m:e>
              <m:sub>
                <m:r>
                  <m:t xml:space="preserve">wc</m:t>
                </m:r>
              </m:sub>
            </m:sSub>
            <m:r>
              <m:rPr>
                <m:nor/>
              </m:rPr>
              <m:t xml:space="preserve"> - </m:t>
            </m:r>
            <m:sSubSup>
              <m:e>
                <m:r>
                  <m:t xml:space="preserve">T</m:t>
                </m:r>
              </m:e>
              <m:sub>
                <m:r>
                  <m:t xml:space="preserve">wc</m:t>
                </m:r>
              </m:sub>
              <m:sup>
                <m:r>
                  <m:t xml:space="preserve">new</m:t>
                </m:r>
              </m:sup>
            </m:sSubSup>
            <m:r>
              <m:rPr>
                <m:nor/>
              </m:rPr>
              <m:t xml:space="preserve">,  </m:t>
            </m:r>
            <m:sSubSup>
              <m:e>
                <m:r>
                  <m:t xml:space="preserve">T</m:t>
                </m:r>
              </m:e>
              <m:sub>
                <m:r>
                  <m:t xml:space="preserve">c</m:t>
                </m:r>
              </m:sub>
              <m:sup>
                <m:r>
                  <m:t xml:space="preserve">check</m:t>
                </m:r>
              </m:sup>
            </m:sSubSup>
            <m:r>
              <m:rPr>
                <m:nor/>
              </m:rPr>
              <m:t xml:space="preserve"> - </m:t>
            </m:r>
            <m:sSubSup>
              <m:e>
                <m:r>
                  <m:t xml:space="preserve">T</m:t>
                </m:r>
              </m:e>
              <m:sub>
                <m:r>
                  <m:t xml:space="preserve">c</m:t>
                </m:r>
              </m:sub>
              <m:sup>
                <m:r>
                  <m:t xml:space="preserve">check</m:t>
                </m:r>
                <m:r>
                  <m:rPr>
                    <m:nor/>
                  </m:rPr>
                  <m:t xml:space="preserve">,</m:t>
                </m:r>
                <m:r>
                  <m:t xml:space="preserve">new</m:t>
                </m:r>
              </m:sup>
            </m:sSubSup>
            <m:r>
              <m:rPr>
                <m:nor/>
              </m:rPr>
              <m:t xml:space="preserve"> </m:t>
            </m:r>
          </m:e>
        </m:d>
        <m:r>
          <m:rPr>
            <m:nor/>
          </m:rPr>
          <m:t xml:space="preserve"> = 0</m:t>
        </m:r>
      </m:oMath>
      <w:r>
        <w:rPr>
          <w:color w:val="5C6672"/>
          <w:sz w:val="19"/>
        </w:rPr>
        <w:tab/>
        <w:t>(14)</w:t>
      </w:r>
    </w:p>
    <w:p>
      <w:r>
        <w:rPr>
          <w:i w:val="0"/>
        </w:rPr>
        <w:t>Cette résolution non linéaire nodale est imbriquée dans la boucle sur les nœuds axiaux, elle-même imbriquée dans le balayage externe de la section 8 — soit trois niveaux d'itération au total.</w:t>
      </w:r>
    </w:p>
    <w:p>
      <w:pPr>
        <w:pStyle w:val="Heading2"/>
      </w:pPr>
      <w:r>
        <w:t>5.5  Flux pariétal et rayonnement</w:t>
      </w:r>
    </w:p>
    <w:p>
      <w:r>
        <w:rPr>
          <w:i w:val="0"/>
        </w:rPr>
        <w:t xml:space="preserve">La densité de flux pariétal transmise aux fermetures côté calandre est rapportée à l'aire </w:t>
      </w:r>
      <w:r>
        <w:rPr>
          <w:b/>
          <w:i w:val="0"/>
        </w:rPr>
        <w:t>extérieure</w:t>
      </w:r>
      <w:r>
        <w:rPr>
          <w:i w:val="0"/>
        </w:rPr>
        <w:t>, puisque c'est la surface que voit le réfrigérant :</w:t>
      </w:r>
    </w:p>
    <w:p>
      <w:pPr>
        <w:tabs>
          <w:tab w:pos="4365" w:val="center"/>
          <w:tab w:pos="9298" w:val="right"/>
        </w:tabs>
        <w:spacing w:before="140" w:after="140"/>
      </w:pPr>
      <w:r>
        <w:tab/>
      </w:r>
      <m:oMath>
        <m:r>
          <m:t xml:space="preserve">q</m:t>
        </m:r>
        <m:r>
          <m:rPr>
            <m:nor/>
          </m:rPr>
          <m:t xml:space="preserve">'</m:t>
        </m:r>
        <m:sSub>
          <m:e>
            <m:r>
              <m:rPr>
                <m:nor/>
              </m:rPr>
              <m:t xml:space="preserve">'</m:t>
            </m:r>
          </m:e>
          <m:sub>
            <m:r>
              <m:t xml:space="preserve">w</m:t>
            </m:r>
            <m:r>
              <m:rPr>
                <m:nor/>
              </m:rPr>
              <m:t xml:space="preserve">,</m:t>
            </m:r>
            <m:r>
              <m:t xml:space="preserve">i</m:t>
            </m:r>
          </m:sub>
        </m:sSub>
        <m:r>
          <m:rPr>
            <m:nor/>
          </m:rPr>
          <m:t xml:space="preserve"> = </m:t>
        </m:r>
        <m:f>
          <m:num>
            <m:r>
              <m:t xml:space="preserve">d</m:t>
            </m:r>
            <m:sSub>
              <m:e>
                <m:r>
                  <m:t xml:space="preserve">Q</m:t>
                </m:r>
              </m:e>
              <m:sub>
                <m:r>
                  <m:t xml:space="preserve">i</m:t>
                </m:r>
              </m:sub>
            </m:sSub>
          </m:num>
          <m:den>
            <m:r>
              <m:t xml:space="preserve">π</m:t>
            </m:r>
            <m:r>
              <m:rPr>
                <m:nor/>
              </m:rPr>
              <m:t xml:space="preserve"> </m:t>
            </m:r>
            <m:sSub>
              <m:e>
                <m:r>
                  <m:t xml:space="preserve">D</m:t>
                </m:r>
              </m:e>
              <m:sub>
                <m:r>
                  <m:t xml:space="preserve">o</m:t>
                </m:r>
              </m:sub>
            </m:sSub>
            <m:r>
              <m:rPr>
                <m:nor/>
              </m:rPr>
              <m:t xml:space="preserve"> </m:t>
            </m:r>
            <m:r>
              <m:t xml:space="preserve">Δ</m:t>
            </m:r>
            <m:r>
              <m:rPr>
                <m:nor/>
              </m:rPr>
              <m:t xml:space="preserve"> </m:t>
            </m:r>
            <m:r>
              <m:t xml:space="preserve">x</m:t>
            </m:r>
          </m:den>
        </m:f>
      </m:oMath>
      <w:r>
        <w:rPr>
          <w:color w:val="5C6672"/>
          <w:sz w:val="19"/>
        </w:rPr>
        <w:tab/>
        <w:t>(15)</w:t>
      </w:r>
    </w:p>
    <w:p>
      <w:r>
        <w:rPr>
          <w:i w:val="0"/>
        </w:rPr>
        <w:t xml:space="preserve">Un modèle de rayonnement du gaz (émissivité par longueur de faisceau moyenne, intervenant comme coefficient radiatif en parallèle du film convectif côté gaz) est implémenté dans le module de paroi mais </w:t>
      </w:r>
      <w:r>
        <w:rPr>
          <w:b/>
          <w:i w:val="0"/>
        </w:rPr>
        <w:t>désactivé</w:t>
      </w:r>
      <w:r>
        <w:rPr>
          <w:i w:val="0"/>
        </w:rPr>
        <w:t xml:space="preserve"> dans le chemin stationnaire calandre-et-tubes.</w:t>
      </w:r>
    </w:p>
    <w:p>
      <w:pPr>
        <w:pStyle w:val="Heading1"/>
      </w:pPr>
      <w:r>
        <w:t>6.  Échange thermique et perte de charge côté calandre</w:t>
      </w:r>
    </w:p>
    <w:p>
      <w:pPr>
        <w:pStyle w:val="Heading2"/>
      </w:pPr>
      <w:r>
        <w:t>6.1  Niveau de description</w:t>
      </w:r>
    </w:p>
    <w:p>
      <w:r>
        <w:rPr>
          <w:i w:val="0"/>
        </w:rPr>
        <w:t xml:space="preserve">L'écoulement côté calandre traverse le faisceau transversalement, contourne une chicane, puis traverse de nouveau, en alternance sur la longueur de l'échangeur. Sur l'essentiel de son trajet, le vecteur vitesse est perpendiculaire à la coordonnée axiale, et il n'existe aucune coordonnée curviligne unique le long de laquelle poser une équation de quantité de mouvement unidimensionnelle. Le côté calandre est donc modélisé comme </w:t>
      </w:r>
      <w:r>
        <w:rPr>
          <w:b/>
          <w:i w:val="0"/>
        </w:rPr>
        <w:t>zéro-dimensionnel par nœud axial</w:t>
      </w:r>
      <w:r>
        <w:rPr>
          <w:i w:val="0"/>
        </w:rPr>
        <w:t xml:space="preserve"> : une corrélation globale de faisceau évaluée avec les propriétés locales. Il ne s'agit pas d'une simplification d'une équation différentielle de quantité de mouvement, mais d'une forme de modèle différente et plus appropriée, calée empiriquement sur cette géométrie précise.</w:t>
      </w:r>
    </w:p>
    <w:p>
      <w:pPr>
        <w:pStyle w:val="Heading2"/>
      </w:pPr>
      <w:r>
        <w:t>6.2  Faisceau idéal de Bell-Delaware</w:t>
      </w:r>
    </w:p>
    <w:p>
      <w:pPr>
        <w:tabs>
          <w:tab w:pos="4365" w:val="center"/>
          <w:tab w:pos="9298" w:val="right"/>
        </w:tabs>
        <w:spacing w:before="140" w:after="140"/>
      </w:pPr>
      <w:r>
        <w:tab/>
      </w:r>
      <m:oMath>
        <m:sSub>
          <m:e>
            <m:r>
              <m:t xml:space="preserve">G</m:t>
            </m:r>
          </m:e>
          <m:sub>
            <m:r>
              <m:t xml:space="preserve">s</m:t>
            </m:r>
          </m:sub>
        </m:sSub>
        <m:r>
          <m:rPr>
            <m:nor/>
          </m:rPr>
          <m:t xml:space="preserve"> = </m:t>
        </m:r>
        <m:f>
          <m:num>
            <m:sSub>
              <m:e>
                <m:acc>
                  <m:accPr>
                    <m:chr m:val="̇"/>
                  </m:accPr>
                  <m:e>
                    <m:r>
                      <m:t xml:space="preserve">m</m:t>
                    </m:r>
                  </m:e>
                </m:acc>
              </m:e>
              <m:sub>
                <m:r>
                  <m:t xml:space="preserve">c</m:t>
                </m:r>
              </m:sub>
            </m:sSub>
          </m:num>
          <m:den>
            <m:sSub>
              <m:e>
                <m:r>
                  <m:t xml:space="preserve">S</m:t>
                </m:r>
              </m:e>
              <m:sub>
                <m:r>
                  <m:t xml:space="preserve">m</m:t>
                </m:r>
              </m:sub>
            </m:sSub>
          </m:den>
        </m:f>
      </m:oMath>
      <w:r>
        <w:rPr>
          <w:color w:val="5C6672"/>
          <w:sz w:val="19"/>
        </w:rPr>
        <w:tab/>
        <w:t>(16)</w:t>
      </w:r>
    </w:p>
    <w:p>
      <w:pPr>
        <w:tabs>
          <w:tab w:pos="4365" w:val="center"/>
          <w:tab w:pos="9298" w:val="right"/>
        </w:tabs>
        <w:spacing w:before="140" w:after="140"/>
      </w:pPr>
      <w:r>
        <w:tab/>
      </w:r>
      <m:oMath>
        <m:r>
          <m:t xml:space="preserve">R</m:t>
        </m:r>
        <m:sSub>
          <m:e>
            <m:r>
              <m:t xml:space="preserve">e</m:t>
            </m:r>
          </m:e>
          <m:sub>
            <m:r>
              <m:t xml:space="preserve">s</m:t>
            </m:r>
          </m:sub>
        </m:sSub>
        <m:r>
          <m:rPr>
            <m:nor/>
          </m:rPr>
          <m:t xml:space="preserve"> = </m:t>
        </m:r>
        <m:f>
          <m:num>
            <m:sSub>
              <m:e>
                <m:r>
                  <m:t xml:space="preserve">D</m:t>
                </m:r>
              </m:e>
              <m:sub>
                <m:r>
                  <m:t xml:space="preserve">o</m:t>
                </m:r>
              </m:sub>
            </m:sSub>
            <m:r>
              <m:rPr>
                <m:nor/>
              </m:rPr>
              <m:t xml:space="preserve"> </m:t>
            </m:r>
            <m:sSub>
              <m:e>
                <m:r>
                  <m:t xml:space="preserve">G</m:t>
                </m:r>
              </m:e>
              <m:sub>
                <m:r>
                  <m:t xml:space="preserve">s</m:t>
                </m:r>
              </m:sub>
            </m:sSub>
          </m:num>
          <m:den>
            <m:sSub>
              <m:e>
                <m:r>
                  <m:t xml:space="preserve">μ</m:t>
                </m:r>
              </m:e>
              <m:sub>
                <m:r>
                  <m:t xml:space="preserve">s</m:t>
                </m:r>
              </m:sub>
            </m:sSub>
          </m:den>
        </m:f>
      </m:oMath>
    </w:p>
    <w:p>
      <w:pPr>
        <w:tabs>
          <w:tab w:pos="4365" w:val="center"/>
          <w:tab w:pos="9298" w:val="right"/>
        </w:tabs>
        <w:spacing w:before="140" w:after="140"/>
      </w:pPr>
      <w:r>
        <w:tab/>
      </w:r>
      <m:oMath>
        <m:r>
          <m:t xml:space="preserve">P</m:t>
        </m:r>
        <m:sSub>
          <m:e>
            <m:r>
              <m:t xml:space="preserve">r</m:t>
            </m:r>
          </m:e>
          <m:sub>
            <m:r>
              <m:t xml:space="preserve">s</m:t>
            </m:r>
          </m:sub>
        </m:sSub>
        <m:r>
          <m:rPr>
            <m:nor/>
          </m:rPr>
          <m:t xml:space="preserve"> = </m:t>
        </m:r>
        <m:f>
          <m:num>
            <m:sSub>
              <m:e>
                <m:r>
                  <m:t xml:space="preserve">c</m:t>
                </m:r>
              </m:e>
              <m:sub>
                <m:r>
                  <m:t xml:space="preserve">p</m:t>
                </m:r>
              </m:sub>
            </m:sSub>
            <m:r>
              <m:rPr>
                <m:nor/>
              </m:rPr>
              <m:t xml:space="preserve"> </m:t>
            </m:r>
            <m:r>
              <m:t xml:space="preserve">μ</m:t>
            </m:r>
          </m:num>
          <m:den>
            <m:r>
              <m:t xml:space="preserve">k</m:t>
            </m:r>
          </m:den>
        </m:f>
      </m:oMath>
    </w:p>
    <w:p>
      <w:r>
        <w:rPr>
          <w:i w:val="0"/>
        </w:rPr>
        <w:t>Le facteur j de Colburn du faisceau idéal emploie des coefficients a₁–a₄ tabulés par arrangement et par plage de Reynolds, pour les dispositions triangulaire, carrée et carrée tournée :</w:t>
      </w:r>
    </w:p>
    <w:p>
      <w:pPr>
        <w:tabs>
          <w:tab w:pos="4365" w:val="center"/>
          <w:tab w:pos="9298" w:val="right"/>
        </w:tabs>
        <w:spacing w:before="140" w:after="140"/>
      </w:pPr>
      <w:r>
        <w:tab/>
      </w:r>
      <m:oMath>
        <m:r>
          <m:t xml:space="preserve">a</m:t>
        </m:r>
        <m:r>
          <m:rPr>
            <m:nor/>
          </m:rPr>
          <m:t xml:space="preserve"> = </m:t>
        </m:r>
        <m:f>
          <m:num>
            <m:sSub>
              <m:e>
                <m:r>
                  <m:t xml:space="preserve">a</m:t>
                </m:r>
              </m:e>
              <m:sub>
                <m:r>
                  <m:rPr>
                    <m:nor/>
                  </m:rPr>
                  <m:t xml:space="preserve">3</m:t>
                </m:r>
              </m:sub>
            </m:sSub>
          </m:num>
          <m:den>
            <m:r>
              <m:rPr>
                <m:nor/>
              </m:rPr>
              <m:t xml:space="preserve">1 + 0.14  </m:t>
            </m:r>
            <m:r>
              <m:t xml:space="preserve">R</m:t>
            </m:r>
            <m:sSubSup>
              <m:e>
                <m:r>
                  <m:t xml:space="preserve">e</m:t>
                </m:r>
              </m:e>
              <m:sub>
                <m:r>
                  <m:t xml:space="preserve">s</m:t>
                </m:r>
              </m:sub>
              <m:sup>
                <m:sSub>
                  <m:e>
                    <m:r>
                      <m:t xml:space="preserve">a</m:t>
                    </m:r>
                  </m:e>
                  <m:sub>
                    <m:r>
                      <m:rPr>
                        <m:nor/>
                      </m:rPr>
                      <m:t xml:space="preserve">4</m:t>
                    </m:r>
                  </m:sub>
                </m:sSub>
              </m:sup>
            </m:sSubSup>
          </m:den>
        </m:f>
      </m:oMath>
      <w:r>
        <w:rPr>
          <w:color w:val="5C6672"/>
          <w:sz w:val="19"/>
        </w:rPr>
        <w:tab/>
        <w:t>(17)</w:t>
      </w:r>
    </w:p>
    <w:p>
      <w:pPr>
        <w:tabs>
          <w:tab w:pos="4365" w:val="center"/>
          <w:tab w:pos="9298" w:val="right"/>
        </w:tabs>
        <w:spacing w:before="140" w:after="140"/>
      </w:pPr>
      <w:r>
        <w:tab/>
      </w:r>
      <m:oMath>
        <m:r>
          <m:t xml:space="preserve">j</m:t>
        </m:r>
        <m:r>
          <m:rPr>
            <m:nor/>
          </m:rPr>
          <m:t xml:space="preserve"> = </m:t>
        </m:r>
        <m:sSub>
          <m:e>
            <m:r>
              <m:t xml:space="preserve">a</m:t>
            </m:r>
          </m:e>
          <m:sub>
            <m:r>
              <m:rPr>
                <m:nor/>
              </m:rPr>
              <m:t xml:space="preserve">1</m:t>
            </m:r>
          </m:sub>
        </m:sSub>
        <m:r>
          <m:rPr>
            <m:nor/>
          </m:rPr>
          <m:t xml:space="preserve"> </m:t>
        </m:r>
        <m:sSup>
          <m:e>
            <m:d>
              <m:dPr>
                <m:begChr m:val="("/>
                <m:endChr m:val=")"/>
              </m:dPr>
              <m:e>
                <m:r>
                  <m:rPr>
                    <m:nor/>
                  </m:rPr>
                  <m:t xml:space="preserve"> </m:t>
                </m:r>
                <m:f>
                  <m:num>
                    <m:r>
                      <m:rPr>
                        <m:nor/>
                      </m:rPr>
                      <m:t xml:space="preserve">1.33</m:t>
                    </m:r>
                  </m:num>
                  <m:den>
                    <m:sSub>
                      <m:e>
                        <m:r>
                          <m:t xml:space="preserve">P</m:t>
                        </m:r>
                      </m:e>
                      <m:sub>
                        <m:r>
                          <m:t xml:space="preserve">t</m:t>
                        </m:r>
                      </m:sub>
                    </m:sSub>
                    <m:r>
                      <m:rPr>
                        <m:nor/>
                      </m:rPr>
                      <m:t xml:space="preserve">/</m:t>
                    </m:r>
                    <m:sSub>
                      <m:e>
                        <m:r>
                          <m:t xml:space="preserve">D</m:t>
                        </m:r>
                      </m:e>
                      <m:sub>
                        <m:r>
                          <m:t xml:space="preserve">o</m:t>
                        </m:r>
                      </m:sub>
                    </m:sSub>
                  </m:den>
                </m:f>
                <m:r>
                  <m:rPr>
                    <m:nor/>
                  </m:rPr>
                  <m:t xml:space="preserve"> </m:t>
                </m:r>
              </m:e>
            </m:d>
          </m:e>
          <m:sup>
            <m:r>
              <m:t xml:space="preserve">a</m:t>
            </m:r>
          </m:sup>
        </m:sSup>
        <m:r>
          <m:rPr>
            <m:nor/>
          </m:rPr>
          <m:t xml:space="preserve"> </m:t>
        </m:r>
        <m:r>
          <m:t xml:space="preserve">R</m:t>
        </m:r>
        <m:sSubSup>
          <m:e>
            <m:r>
              <m:t xml:space="preserve">e</m:t>
            </m:r>
          </m:e>
          <m:sub>
            <m:r>
              <m:t xml:space="preserve">s</m:t>
            </m:r>
          </m:sub>
          <m:sup>
            <m:sSub>
              <m:e>
                <m:r>
                  <m:t xml:space="preserve">a</m:t>
                </m:r>
              </m:e>
              <m:sub>
                <m:r>
                  <m:rPr>
                    <m:nor/>
                  </m:rPr>
                  <m:t xml:space="preserve">2</m:t>
                </m:r>
              </m:sub>
            </m:sSub>
          </m:sup>
        </m:sSubSup>
      </m:oMath>
    </w:p>
    <w:p>
      <w:pPr>
        <w:tabs>
          <w:tab w:pos="4365" w:val="center"/>
          <w:tab w:pos="9298" w:val="right"/>
        </w:tabs>
        <w:spacing w:before="140" w:after="140"/>
      </w:pPr>
      <w:r>
        <w:tab/>
      </w:r>
      <m:oMath>
        <m:sSub>
          <m:e>
            <m:r>
              <m:t xml:space="preserve">h</m:t>
            </m:r>
          </m:e>
          <m:sub>
            <m:r>
              <m:t xml:space="preserve">ideal</m:t>
            </m:r>
          </m:sub>
        </m:sSub>
        <m:r>
          <m:rPr>
            <m:nor/>
          </m:rPr>
          <m:t xml:space="preserve"> = </m:t>
        </m:r>
        <m:r>
          <m:t xml:space="preserve">j</m:t>
        </m:r>
        <m:r>
          <m:rPr>
            <m:nor/>
          </m:rPr>
          <m:t xml:space="preserve">  </m:t>
        </m:r>
        <m:sSub>
          <m:e>
            <m:r>
              <m:t xml:space="preserve">c</m:t>
            </m:r>
          </m:e>
          <m:sub>
            <m:r>
              <m:t xml:space="preserve">p</m:t>
            </m:r>
          </m:sub>
        </m:sSub>
        <m:r>
          <m:rPr>
            <m:nor/>
          </m:rPr>
          <m:t xml:space="preserve">  </m:t>
        </m:r>
        <m:sSub>
          <m:e>
            <m:r>
              <m:t xml:space="preserve">G</m:t>
            </m:r>
          </m:e>
          <m:sub>
            <m:r>
              <m:t xml:space="preserve">s</m:t>
            </m:r>
          </m:sub>
        </m:sSub>
        <m:r>
          <m:rPr>
            <m:nor/>
          </m:rPr>
          <m:t xml:space="preserve">  </m:t>
        </m:r>
        <m:r>
          <m:t xml:space="preserve">P</m:t>
        </m:r>
        <m:sSubSup>
          <m:e>
            <m:r>
              <m:t xml:space="preserve">r</m:t>
            </m:r>
          </m:e>
          <m:sub>
            <m:r>
              <m:t xml:space="preserve">s</m:t>
            </m:r>
          </m:sub>
          <m:sup>
            <m:r>
              <m:rPr>
                <m:nor/>
              </m:rPr>
              <m:t xml:space="preserve">-2/3</m:t>
            </m:r>
          </m:sup>
        </m:sSubSup>
        <m:r>
          <m:rPr>
            <m:nor/>
          </m:rPr>
          <m:t xml:space="preserve"> </m:t>
        </m:r>
        <m:sSup>
          <m:e>
            <m:d>
              <m:dPr>
                <m:begChr m:val="("/>
                <m:endChr m:val=")"/>
              </m:dPr>
              <m:e>
                <m:r>
                  <m:rPr>
                    <m:nor/>
                  </m:rPr>
                  <m:t xml:space="preserve"> </m:t>
                </m:r>
                <m:f>
                  <m:num>
                    <m:sSub>
                      <m:e>
                        <m:r>
                          <m:t xml:space="preserve">μ</m:t>
                        </m:r>
                      </m:e>
                      <m:sub>
                        <m:r>
                          <m:t xml:space="preserve">b</m:t>
                        </m:r>
                      </m:sub>
                    </m:sSub>
                  </m:num>
                  <m:den>
                    <m:sSub>
                      <m:e>
                        <m:r>
                          <m:t xml:space="preserve">μ</m:t>
                        </m:r>
                      </m:e>
                      <m:sub>
                        <m:r>
                          <m:t xml:space="preserve">w</m:t>
                        </m:r>
                      </m:sub>
                    </m:sSub>
                  </m:den>
                </m:f>
                <m:r>
                  <m:rPr>
                    <m:nor/>
                  </m:rPr>
                  <m:t xml:space="preserve"> </m:t>
                </m:r>
              </m:e>
            </m:d>
          </m:e>
          <m:sup>
            <m:r>
              <m:rPr>
                <m:nor/>
              </m:rPr>
              <m:t xml:space="preserve">0.14</m:t>
            </m:r>
          </m:sup>
        </m:sSup>
      </m:oMath>
    </w:p>
    <w:p>
      <w:pPr>
        <w:spacing w:before="160" w:after="160"/>
        <w:ind w:left="283"/>
        <w:pBdr>
          <w:left w:val="single" w:sz="18" w:space="10" w:color="146C7E"/>
        </w:pBdr>
      </w:pPr>
      <w:r>
        <w:rPr>
          <w:rFonts w:ascii="Calibri Light" w:hAnsi="Calibri Light"/>
          <w:b/>
          <w:color w:val="146C7E"/>
          <w:sz w:val="17"/>
        </w:rPr>
        <w:t xml:space="preserve">LA CORRECTION DE PROPRIÉTÉS EST ÉVALUÉE, NON LAISSÉE À SA VALEUR NEUTRE  </w:t>
      </w:r>
      <w:r>
        <w:rPr>
          <w:i w:val="0"/>
          <w:sz w:val="19"/>
        </w:rPr>
        <w:t>Le terme de Sieder-Tate (mu_b/mu_w)^0.14 ci-dessus est évalué à partir de la température de paroi côté réfrigérant retardée (section 8.1). Il était auparavant laissé à sa valeur neutre de 1,0, c'est-à-dire que la correction de variation de propriétés propre à la corrélation était désactivée. Son activation a abaissé de 67 K la température de paroi maximale du point de fonctionnement Eau et résolu un blocage de convergence sur ce point ; elle déplace la référence Hélium calandre-et-tubes d'environ 0,1 %. Le rapport est borné à [0,25 ; 4] afin qu'un état de paroi non convergé en début de calcul ne puisse fausser le coefficient.</w:t>
      </w:r>
    </w:p>
    <w:p>
      <w:r>
        <w:rPr>
          <w:i w:val="0"/>
        </w:rPr>
        <w:t>Cinq facteurs correctifs multiplicatifs rendent ensuite compte des écarts du faisceau réel au faisceau idéal :</w:t>
      </w:r>
    </w:p>
    <w:p>
      <w:pPr>
        <w:tabs>
          <w:tab w:pos="4365" w:val="center"/>
          <w:tab w:pos="9298" w:val="right"/>
        </w:tabs>
        <w:spacing w:before="140" w:after="140"/>
      </w:pPr>
      <w:r>
        <w:tab/>
      </w:r>
      <m:oMath>
        <m:sSub>
          <m:e>
            <m:r>
              <m:t xml:space="preserve">h</m:t>
            </m:r>
          </m:e>
          <m:sub>
            <m:r>
              <m:t xml:space="preserve">shell</m:t>
            </m:r>
          </m:sub>
        </m:sSub>
        <m:r>
          <m:rPr>
            <m:nor/>
          </m:rPr>
          <m:t xml:space="preserve"> = </m:t>
        </m:r>
        <m:sSub>
          <m:e>
            <m:r>
              <m:t xml:space="preserve">h</m:t>
            </m:r>
          </m:e>
          <m:sub>
            <m:r>
              <m:t xml:space="preserve">ideal</m:t>
            </m:r>
          </m:sub>
        </m:sSub>
        <m:r>
          <m:rPr>
            <m:nor/>
          </m:rPr>
          <m:t xml:space="preserve">  </m:t>
        </m:r>
        <m:sSub>
          <m:e>
            <m:r>
              <m:t xml:space="preserve">J</m:t>
            </m:r>
          </m:e>
          <m:sub>
            <m:r>
              <m:t xml:space="preserve">c</m:t>
            </m:r>
          </m:sub>
        </m:sSub>
        <m:r>
          <m:rPr>
            <m:nor/>
          </m:rPr>
          <m:t xml:space="preserve">  </m:t>
        </m:r>
        <m:sSub>
          <m:e>
            <m:r>
              <m:t xml:space="preserve">J</m:t>
            </m:r>
          </m:e>
          <m:sub>
            <m:r>
              <m:t xml:space="preserve">l</m:t>
            </m:r>
          </m:sub>
        </m:sSub>
        <m:r>
          <m:rPr>
            <m:nor/>
          </m:rPr>
          <m:t xml:space="preserve">  </m:t>
        </m:r>
        <m:sSub>
          <m:e>
            <m:r>
              <m:t xml:space="preserve">J</m:t>
            </m:r>
          </m:e>
          <m:sub>
            <m:r>
              <m:t xml:space="preserve">b</m:t>
            </m:r>
          </m:sub>
        </m:sSub>
        <m:r>
          <m:rPr>
            <m:nor/>
          </m:rPr>
          <m:t xml:space="preserve">  </m:t>
        </m:r>
        <m:sSub>
          <m:e>
            <m:r>
              <m:t xml:space="preserve">J</m:t>
            </m:r>
          </m:e>
          <m:sub>
            <m:r>
              <m:t xml:space="preserve">s</m:t>
            </m:r>
          </m:sub>
        </m:sSub>
        <m:r>
          <m:rPr>
            <m:nor/>
          </m:rPr>
          <m:t xml:space="preserve">  </m:t>
        </m:r>
        <m:sSub>
          <m:e>
            <m:r>
              <m:t xml:space="preserve">J</m:t>
            </m:r>
          </m:e>
          <m:sub>
            <m:r>
              <m:t xml:space="preserve">r</m:t>
            </m:r>
          </m:sub>
        </m:sSub>
      </m:oMath>
      <w:r>
        <w:rPr>
          <w:color w:val="5C6672"/>
          <w:sz w:val="19"/>
        </w:rPr>
        <w:tab/>
        <w:t>(18)</w:t>
      </w:r>
    </w:p>
    <w:tbl>
      <w:tblPr>
        <w:tblStyle w:val="TableGrid"/>
        <w:tblW w:type="auto" w:w="0"/>
        <w:jc w:val="center"/>
        <w:tblLook w:firstColumn="1" w:firstRow="1" w:lastColumn="0" w:lastRow="0" w:noHBand="0" w:noVBand="1" w:val="04A0"/>
      </w:tblPr>
      <w:tblGrid>
        <w:gridCol w:w="3099"/>
        <w:gridCol w:w="3099"/>
        <w:gridCol w:w="3099"/>
      </w:tblGrid>
      <w:tr>
        <w:tc>
          <w:tcPr>
            <w:tcW w:type="dxa" w:w="907"/>
            <w:shd w:val="clear" w:color="auto" w:fill="EDEFF2"/>
          </w:tcPr>
          <w:p>
            <w:pPr>
              <w:spacing w:after="40"/>
            </w:pPr>
            <w:r/>
            <w:r>
              <w:rPr>
                <w:rFonts w:ascii="Calibri Light" w:hAnsi="Calibri Light"/>
                <w:b/>
                <w:sz w:val="17"/>
              </w:rPr>
              <w:t>Facteur</w:t>
            </w:r>
          </w:p>
        </w:tc>
        <w:tc>
          <w:tcPr>
            <w:tcW w:type="dxa" w:w="5102"/>
            <w:shd w:val="clear" w:color="auto" w:fill="EDEFF2"/>
          </w:tcPr>
          <w:p>
            <w:pPr>
              <w:spacing w:after="40"/>
            </w:pPr>
            <w:r/>
            <w:r>
              <w:rPr>
                <w:rFonts w:ascii="Calibri Light" w:hAnsi="Calibri Light"/>
                <w:b/>
                <w:sz w:val="17"/>
              </w:rPr>
              <w:t>Effet physique</w:t>
            </w:r>
          </w:p>
        </w:tc>
        <w:tc>
          <w:tcPr>
            <w:tcW w:type="dxa" w:w="3288"/>
            <w:shd w:val="clear" w:color="auto" w:fill="EDEFF2"/>
          </w:tcPr>
          <w:p>
            <w:pPr>
              <w:spacing w:after="40"/>
            </w:pPr>
            <w:r/>
            <w:r>
              <w:rPr>
                <w:rFonts w:ascii="Calibri Light" w:hAnsi="Calibri Light"/>
                <w:b/>
                <w:sz w:val="17"/>
              </w:rPr>
              <w:t>Forme</w:t>
            </w:r>
          </w:p>
        </w:tc>
      </w:tr>
      <w:tr>
        <w:tc>
          <w:tcPr>
            <w:tcW w:type="dxa" w:w="907"/>
          </w:tcPr>
          <w:p>
            <w:pPr>
              <w:spacing w:after="40"/>
            </w:pPr>
            <w:r/>
            <w:r>
              <w:rPr>
                <w:rFonts w:ascii="Consolas" w:hAnsi="Consolas"/>
                <w:sz w:val="17"/>
              </w:rPr>
              <w:t>J_c</w:t>
            </w:r>
          </w:p>
        </w:tc>
        <w:tc>
          <w:tcPr>
            <w:tcW w:type="dxa" w:w="5102"/>
          </w:tcPr>
          <w:p>
            <w:pPr>
              <w:spacing w:after="40"/>
            </w:pPr>
            <w:r/>
            <w:r>
              <w:rPr>
                <w:i w:val="0"/>
                <w:sz w:val="18"/>
              </w:rPr>
              <w:t>Configuration de fenêtre de chicane : les tubes situés dans la fenêtre voient un écoulement axial et non transversal. F_c est la fraction de tubes en écoulement purement transversal.</w:t>
            </w:r>
          </w:p>
        </w:tc>
        <w:tc>
          <w:tcPr>
            <w:tcW w:type="dxa" w:w="3288"/>
          </w:tcPr>
          <w:p>
            <w:pPr>
              <w:spacing w:after="40"/>
            </w:pPr>
            <w:r/>
            <w:r>
              <w:rPr>
                <w:i w:val="0"/>
                <w:sz w:val="18"/>
              </w:rPr>
              <w:t>0,55 + 0,72 F_c</w:t>
            </w:r>
          </w:p>
        </w:tc>
      </w:tr>
      <w:tr>
        <w:tc>
          <w:tcPr>
            <w:tcW w:type="dxa" w:w="907"/>
          </w:tcPr>
          <w:p>
            <w:pPr>
              <w:spacing w:after="40"/>
            </w:pPr>
            <w:r/>
            <w:r>
              <w:rPr>
                <w:rFonts w:ascii="Consolas" w:hAnsi="Consolas"/>
                <w:sz w:val="17"/>
              </w:rPr>
              <w:t>J_l</w:t>
            </w:r>
          </w:p>
        </w:tc>
        <w:tc>
          <w:tcPr>
            <w:tcW w:type="dxa" w:w="5102"/>
          </w:tcPr>
          <w:p>
            <w:pPr>
              <w:spacing w:after="40"/>
            </w:pPr>
            <w:r/>
            <w:r>
              <w:rPr>
                <w:i w:val="0"/>
                <w:sz w:val="18"/>
              </w:rPr>
              <w:t>Fuites aux chicanes par les jeux tube-chicane et calandre-chicane, qui court-circuitent le faisceau. r_lm = (S_sb+S_tb)/S_m, r_s = S_sb/(S_sb+S_tb).</w:t>
            </w:r>
          </w:p>
        </w:tc>
        <w:tc>
          <w:tcPr>
            <w:tcW w:type="dxa" w:w="3288"/>
          </w:tcPr>
          <w:p>
            <w:pPr>
              <w:spacing w:after="40"/>
            </w:pPr>
            <w:r/>
            <w:r>
              <w:rPr>
                <w:i w:val="0"/>
                <w:sz w:val="18"/>
              </w:rPr>
              <w:t>p + (1−p)exp(−2,2 r_lm),  p = 0,44(1−r_s)</w:t>
            </w:r>
          </w:p>
        </w:tc>
      </w:tr>
      <w:tr>
        <w:tc>
          <w:tcPr>
            <w:tcW w:type="dxa" w:w="907"/>
          </w:tcPr>
          <w:p>
            <w:pPr>
              <w:spacing w:after="40"/>
            </w:pPr>
            <w:r/>
            <w:r>
              <w:rPr>
                <w:rFonts w:ascii="Consolas" w:hAnsi="Consolas"/>
                <w:sz w:val="17"/>
              </w:rPr>
              <w:t>J_b</w:t>
            </w:r>
          </w:p>
        </w:tc>
        <w:tc>
          <w:tcPr>
            <w:tcW w:type="dxa" w:w="5102"/>
          </w:tcPr>
          <w:p>
            <w:pPr>
              <w:spacing w:after="40"/>
            </w:pPr>
            <w:r/>
            <w:r>
              <w:rPr>
                <w:i w:val="0"/>
                <w:sz w:val="18"/>
              </w:rPr>
              <w:t>Contournement du faisceau par sa périphérie. C = 1,35 en laminaire, 1,25 en turbulent ; vaut 1 lorsque le rapport de bandes d'étanchéité r_ss ≥ 0,5.</w:t>
            </w:r>
          </w:p>
        </w:tc>
        <w:tc>
          <w:tcPr>
            <w:tcW w:type="dxa" w:w="3288"/>
          </w:tcPr>
          <w:p>
            <w:pPr>
              <w:spacing w:after="40"/>
            </w:pPr>
            <w:r/>
            <w:r>
              <w:rPr>
                <w:i w:val="0"/>
                <w:sz w:val="18"/>
              </w:rPr>
              <w:t>exp(−C F_sbp [1−(2 r_ss)^(1/3)])</w:t>
            </w:r>
          </w:p>
        </w:tc>
      </w:tr>
      <w:tr>
        <w:tc>
          <w:tcPr>
            <w:tcW w:type="dxa" w:w="907"/>
          </w:tcPr>
          <w:p>
            <w:pPr>
              <w:spacing w:after="40"/>
            </w:pPr>
            <w:r/>
            <w:r>
              <w:rPr>
                <w:rFonts w:ascii="Consolas" w:hAnsi="Consolas"/>
                <w:sz w:val="17"/>
              </w:rPr>
              <w:t>J_s</w:t>
            </w:r>
          </w:p>
        </w:tc>
        <w:tc>
          <w:tcPr>
            <w:tcW w:type="dxa" w:w="5102"/>
          </w:tcPr>
          <w:p>
            <w:pPr>
              <w:spacing w:after="40"/>
            </w:pPr>
            <w:r/>
            <w:r>
              <w:rPr>
                <w:i w:val="0"/>
                <w:sz w:val="18"/>
              </w:rPr>
              <w:t>Espacements de chicane d'entrée et de sortie différents de l'espacement central.</w:t>
            </w:r>
          </w:p>
        </w:tc>
        <w:tc>
          <w:tcPr>
            <w:tcW w:type="dxa" w:w="3288"/>
          </w:tcPr>
          <w:p>
            <w:pPr>
              <w:spacing w:after="40"/>
            </w:pPr>
            <w:r/>
            <w:r>
              <w:rPr>
                <w:i w:val="0"/>
                <w:sz w:val="18"/>
              </w:rPr>
              <w:t>rapport d'espacements, exposant n₁ = 0,6</w:t>
            </w:r>
          </w:p>
        </w:tc>
      </w:tr>
      <w:tr>
        <w:tc>
          <w:tcPr>
            <w:tcW w:type="dxa" w:w="907"/>
          </w:tcPr>
          <w:p>
            <w:pPr>
              <w:spacing w:after="40"/>
            </w:pPr>
            <w:r/>
            <w:r>
              <w:rPr>
                <w:rFonts w:ascii="Consolas" w:hAnsi="Consolas"/>
                <w:sz w:val="17"/>
              </w:rPr>
              <w:t>J_r</w:t>
            </w:r>
          </w:p>
        </w:tc>
        <w:tc>
          <w:tcPr>
            <w:tcW w:type="dxa" w:w="5102"/>
          </w:tcPr>
          <w:p>
            <w:pPr>
              <w:spacing w:after="40"/>
            </w:pPr>
            <w:r/>
            <w:r>
              <w:rPr>
                <w:i w:val="0"/>
                <w:sz w:val="18"/>
              </w:rPr>
              <w:t>Gradient de température défavorable en laminaire. Actif seulement en deçà de Re ≈ 100, vaut 1 au-delà.</w:t>
            </w:r>
          </w:p>
        </w:tc>
        <w:tc>
          <w:tcPr>
            <w:tcW w:type="dxa" w:w="3288"/>
          </w:tcPr>
          <w:p>
            <w:pPr>
              <w:spacing w:after="40"/>
            </w:pPr>
            <w:r/>
            <w:r>
              <w:rPr>
                <w:i w:val="0"/>
                <w:sz w:val="18"/>
              </w:rPr>
              <w:t>(10/N_c)^0,18, raccordé linéairement à 1 en Re = 100</w:t>
            </w:r>
          </w:p>
        </w:tc>
      </w:tr>
    </w:tbl>
    <w:p>
      <w:pPr>
        <w:spacing w:after="220"/>
        <w:jc w:val="left"/>
      </w:pPr>
      <w:r>
        <w:rPr>
          <w:b/>
          <w:sz w:val="18"/>
        </w:rPr>
        <w:t xml:space="preserve">Table 4.  </w:t>
      </w:r>
      <w:r>
        <w:rPr>
          <w:i w:val="0"/>
          <w:color w:val="5C6672"/>
          <w:sz w:val="18"/>
        </w:rPr>
        <w:t>Facteurs correctifs de Bell-Delaware. Ordres de grandeur typiques pour une coupe de chicane de 25 % : J_c ≈ 1,0, J_l ≈ 0,7–0,8, J_b ≈ 0,9, J_s ≈ 1 et J_r = 1 en turbulent.</w:t>
      </w:r>
    </w:p>
    <w:p>
      <w:pPr>
        <w:pStyle w:val="Heading2"/>
      </w:pPr>
      <w:r>
        <w:t>6.3  Perte de charge côté calandre</w:t>
      </w:r>
    </w:p>
    <w:p>
      <w:r>
        <w:rPr>
          <w:i w:val="0"/>
        </w:rPr>
        <w:t>La perte de charge est assemblée à partir de trois zones — les passages transversaux centraux, les fenêtres de chicane et les deux zones d'extrémité — chacune portant ses propres corrections de fuite et de contournement (R_l, R_b, R_s) :</w:t>
      </w:r>
    </w:p>
    <w:p>
      <w:pPr>
        <w:tabs>
          <w:tab w:pos="4365" w:val="center"/>
          <w:tab w:pos="9298" w:val="right"/>
        </w:tabs>
        <w:spacing w:before="140" w:after="140"/>
      </w:pPr>
      <w:r>
        <w:tab/>
      </w:r>
      <m:oMath>
        <m:r>
          <m:t xml:space="preserve">Δ</m:t>
        </m:r>
        <m:r>
          <m:rPr>
            <m:nor/>
          </m:rPr>
          <m:t xml:space="preserve"> </m:t>
        </m:r>
        <m:sSub>
          <m:e>
            <m:r>
              <m:t xml:space="preserve">p</m:t>
            </m:r>
          </m:e>
          <m:sub>
            <m:r>
              <m:t xml:space="preserve">ideal</m:t>
            </m:r>
          </m:sub>
        </m:sSub>
        <m:r>
          <m:rPr>
            <m:nor/>
          </m:rPr>
          <m:t xml:space="preserve"> = 2 </m:t>
        </m:r>
        <m:r>
          <m:t xml:space="preserve">f</m:t>
        </m:r>
        <m:r>
          <m:rPr>
            <m:nor/>
          </m:rPr>
          <m:t xml:space="preserve"> </m:t>
        </m:r>
        <m:f>
          <m:num>
            <m:sSubSup>
              <m:e>
                <m:r>
                  <m:t xml:space="preserve">G</m:t>
                </m:r>
              </m:e>
              <m:sub>
                <m:r>
                  <m:t xml:space="preserve">s</m:t>
                </m:r>
              </m:sub>
              <m:sup>
                <m:r>
                  <m:rPr>
                    <m:nor/>
                  </m:rPr>
                  <m:t xml:space="preserve">2</m:t>
                </m:r>
              </m:sup>
            </m:sSubSup>
          </m:num>
          <m:den>
            <m:r>
              <m:t xml:space="preserve">ρ</m:t>
            </m:r>
          </m:den>
        </m:f>
        <m:r>
          <m:rPr>
            <m:nor/>
          </m:rPr>
          <m:t xml:space="preserve"> </m:t>
        </m:r>
        <m:sSub>
          <m:e>
            <m:r>
              <m:t xml:space="preserve">N</m:t>
            </m:r>
          </m:e>
          <m:sub>
            <m:r>
              <m:t xml:space="preserve">tcc</m:t>
            </m:r>
          </m:sub>
        </m:sSub>
        <m:r>
          <m:rPr>
            <m:nor/>
          </m:rPr>
          <m:t xml:space="preserve"> </m:t>
        </m:r>
        <m:sSup>
          <m:e>
            <m:d>
              <m:dPr>
                <m:begChr m:val="("/>
                <m:endChr m:val=")"/>
              </m:dPr>
              <m:e>
                <m:r>
                  <m:rPr>
                    <m:nor/>
                  </m:rPr>
                  <m:t xml:space="preserve"> </m:t>
                </m:r>
                <m:f>
                  <m:num>
                    <m:sSub>
                      <m:e>
                        <m:r>
                          <m:t xml:space="preserve">μ</m:t>
                        </m:r>
                      </m:e>
                      <m:sub>
                        <m:r>
                          <m:t xml:space="preserve">b</m:t>
                        </m:r>
                      </m:sub>
                    </m:sSub>
                  </m:num>
                  <m:den>
                    <m:sSub>
                      <m:e>
                        <m:r>
                          <m:t xml:space="preserve">μ</m:t>
                        </m:r>
                      </m:e>
                      <m:sub>
                        <m:r>
                          <m:t xml:space="preserve">w</m:t>
                        </m:r>
                      </m:sub>
                    </m:sSub>
                  </m:den>
                </m:f>
                <m:r>
                  <m:rPr>
                    <m:nor/>
                  </m:rPr>
                  <m:t xml:space="preserve"> </m:t>
                </m:r>
              </m:e>
            </m:d>
          </m:e>
          <m:sup>
            <m:r>
              <m:rPr>
                <m:nor/>
              </m:rPr>
              <m:t xml:space="preserve">-0.14</m:t>
            </m:r>
          </m:sup>
        </m:sSup>
      </m:oMath>
      <w:r>
        <w:rPr>
          <w:color w:val="5C6672"/>
          <w:sz w:val="19"/>
        </w:rPr>
        <w:tab/>
        <w:t>(19)</w:t>
      </w:r>
    </w:p>
    <w:p>
      <w:pPr>
        <w:tabs>
          <w:tab w:pos="4365" w:val="center"/>
          <w:tab w:pos="9298" w:val="right"/>
        </w:tabs>
        <w:spacing w:before="140" w:after="140"/>
      </w:pPr>
      <w:r>
        <w:tab/>
      </w:r>
      <m:oMath>
        <m:r>
          <m:t xml:space="preserve">Δ</m:t>
        </m:r>
        <m:r>
          <m:rPr>
            <m:nor/>
          </m:rPr>
          <m:t xml:space="preserve"> </m:t>
        </m:r>
        <m:sSub>
          <m:e>
            <m:r>
              <m:t xml:space="preserve">p</m:t>
            </m:r>
          </m:e>
          <m:sub>
            <m:r>
              <m:t xml:space="preserve">cross</m:t>
            </m:r>
          </m:sub>
        </m:sSub>
        <m:r>
          <m:rPr>
            <m:nor/>
          </m:rPr>
          <m:t xml:space="preserve"> = </m:t>
        </m:r>
        <m:r>
          <m:t xml:space="preserve">Δ</m:t>
        </m:r>
        <m:r>
          <m:rPr>
            <m:nor/>
          </m:rPr>
          <m:t xml:space="preserve"> </m:t>
        </m:r>
        <m:sSub>
          <m:e>
            <m:r>
              <m:t xml:space="preserve">p</m:t>
            </m:r>
          </m:e>
          <m:sub>
            <m:r>
              <m:t xml:space="preserve">ideal</m:t>
            </m:r>
          </m:sub>
        </m:sSub>
        <m:r>
          <m:rPr>
            <m:nor/>
          </m:rPr>
          <m:t xml:space="preserve"> (</m:t>
        </m:r>
        <m:sSub>
          <m:e>
            <m:r>
              <m:t xml:space="preserve">N</m:t>
            </m:r>
          </m:e>
          <m:sub>
            <m:r>
              <m:t xml:space="preserve">b</m:t>
            </m:r>
          </m:sub>
        </m:sSub>
        <m:r>
          <m:rPr>
            <m:nor/>
          </m:rPr>
          <m:t xml:space="preserve"> - 1) </m:t>
        </m:r>
        <m:sSub>
          <m:e>
            <m:r>
              <m:t xml:space="preserve">R</m:t>
            </m:r>
          </m:e>
          <m:sub>
            <m:r>
              <m:t xml:space="preserve">b</m:t>
            </m:r>
          </m:sub>
        </m:sSub>
        <m:r>
          <m:rPr>
            <m:nor/>
          </m:rPr>
          <m:t xml:space="preserve"> </m:t>
        </m:r>
        <m:sSub>
          <m:e>
            <m:r>
              <m:t xml:space="preserve">R</m:t>
            </m:r>
          </m:e>
          <m:sub>
            <m:r>
              <m:t xml:space="preserve">l</m:t>
            </m:r>
          </m:sub>
        </m:sSub>
      </m:oMath>
    </w:p>
    <w:p>
      <w:pPr>
        <w:tabs>
          <w:tab w:pos="4365" w:val="center"/>
          <w:tab w:pos="9298" w:val="right"/>
        </w:tabs>
        <w:spacing w:before="140" w:after="140"/>
      </w:pPr>
      <w:r>
        <w:tab/>
      </w:r>
      <m:oMath>
        <m:r>
          <m:t xml:space="preserve">Δ</m:t>
        </m:r>
        <m:r>
          <m:rPr>
            <m:nor/>
          </m:rPr>
          <m:t xml:space="preserve"> </m:t>
        </m:r>
        <m:sSub>
          <m:e>
            <m:r>
              <m:t xml:space="preserve">p</m:t>
            </m:r>
          </m:e>
          <m:sub>
            <m:r>
              <m:t xml:space="preserve">window</m:t>
            </m:r>
          </m:sub>
        </m:sSub>
        <m:r>
          <m:rPr>
            <m:nor/>
          </m:rPr>
          <m:t xml:space="preserve"> = (2 + 0.6 </m:t>
        </m:r>
        <m:sSub>
          <m:e>
            <m:r>
              <m:t xml:space="preserve">N</m:t>
            </m:r>
          </m:e>
          <m:sub>
            <m:r>
              <m:t xml:space="preserve">tcw</m:t>
            </m:r>
          </m:sub>
        </m:sSub>
        <m:r>
          <m:rPr>
            <m:nor/>
          </m:rPr>
          <m:t xml:space="preserve">) </m:t>
        </m:r>
        <m:f>
          <m:num>
            <m:sSubSup>
              <m:e>
                <m:r>
                  <m:t xml:space="preserve">G</m:t>
                </m:r>
              </m:e>
              <m:sub>
                <m:r>
                  <m:t xml:space="preserve">w</m:t>
                </m:r>
              </m:sub>
              <m:sup>
                <m:r>
                  <m:rPr>
                    <m:nor/>
                  </m:rPr>
                  <m:t xml:space="preserve">2</m:t>
                </m:r>
              </m:sup>
            </m:sSubSup>
          </m:num>
          <m:den>
            <m:r>
              <m:rPr>
                <m:nor/>
              </m:rPr>
              <m:t xml:space="preserve">2</m:t>
            </m:r>
            <m:r>
              <m:t xml:space="preserve">ρ</m:t>
            </m:r>
          </m:den>
        </m:f>
        <m:r>
          <m:rPr>
            <m:nor/>
          </m:rPr>
          <m:t xml:space="preserve"> </m:t>
        </m:r>
        <m:sSub>
          <m:e>
            <m:r>
              <m:t xml:space="preserve">N</m:t>
            </m:r>
          </m:e>
          <m:sub>
            <m:r>
              <m:t xml:space="preserve">b</m:t>
            </m:r>
          </m:sub>
        </m:sSub>
        <m:r>
          <m:rPr>
            <m:nor/>
          </m:rPr>
          <m:t xml:space="preserve"> </m:t>
        </m:r>
        <m:sSub>
          <m:e>
            <m:r>
              <m:t xml:space="preserve">R</m:t>
            </m:r>
          </m:e>
          <m:sub>
            <m:r>
              <m:t xml:space="preserve">l</m:t>
            </m:r>
          </m:sub>
        </m:sSub>
        <m:r>
          <m:rPr>
            <m:nor/>
          </m:rPr>
          <m:t xml:space="preserve">,    </m:t>
        </m:r>
        <m:sSub>
          <m:e>
            <m:r>
              <m:t xml:space="preserve">G</m:t>
            </m:r>
          </m:e>
          <m:sub>
            <m:r>
              <m:t xml:space="preserve">w</m:t>
            </m:r>
          </m:sub>
        </m:sSub>
        <m:r>
          <m:rPr>
            <m:nor/>
          </m:rPr>
          <m:t xml:space="preserve"> = </m:t>
        </m:r>
        <m:f>
          <m:num>
            <m:sSub>
              <m:e>
                <m:acc>
                  <m:accPr>
                    <m:chr m:val="̇"/>
                  </m:accPr>
                  <m:e>
                    <m:r>
                      <m:t xml:space="preserve">m</m:t>
                    </m:r>
                  </m:e>
                </m:acc>
              </m:e>
              <m:sub>
                <m:r>
                  <m:t xml:space="preserve">c</m:t>
                </m:r>
              </m:sub>
            </m:sSub>
          </m:num>
          <m:den>
            <m:rad>
              <m:radPr>
                <m:degHide m:val="1"/>
              </m:radPr>
              <m:deg/>
              <m:e>
                <m:sSub>
                  <m:e>
                    <m:r>
                      <m:t xml:space="preserve">S</m:t>
                    </m:r>
                  </m:e>
                  <m:sub>
                    <m:r>
                      <m:t xml:space="preserve">m</m:t>
                    </m:r>
                  </m:sub>
                </m:sSub>
                <m:r>
                  <m:rPr>
                    <m:nor/>
                  </m:rPr>
                  <m:t xml:space="preserve"> </m:t>
                </m:r>
                <m:sSub>
                  <m:e>
                    <m:r>
                      <m:t xml:space="preserve">S</m:t>
                    </m:r>
                  </m:e>
                  <m:sub>
                    <m:r>
                      <m:t xml:space="preserve">w</m:t>
                    </m:r>
                  </m:sub>
                </m:sSub>
              </m:e>
            </m:rad>
          </m:den>
        </m:f>
      </m:oMath>
    </w:p>
    <w:p>
      <w:pPr>
        <w:tabs>
          <w:tab w:pos="4365" w:val="center"/>
          <w:tab w:pos="9298" w:val="right"/>
        </w:tabs>
        <w:spacing w:before="140" w:after="140"/>
      </w:pPr>
      <w:r>
        <w:tab/>
      </w:r>
      <m:oMath>
        <m:r>
          <m:t xml:space="preserve">Δ</m:t>
        </m:r>
        <m:r>
          <m:rPr>
            <m:nor/>
          </m:rPr>
          <m:t xml:space="preserve"> </m:t>
        </m:r>
        <m:sSub>
          <m:e>
            <m:r>
              <m:t xml:space="preserve">p</m:t>
            </m:r>
          </m:e>
          <m:sub>
            <m:r>
              <m:t xml:space="preserve">ends</m:t>
            </m:r>
          </m:sub>
        </m:sSub>
        <m:r>
          <m:rPr>
            <m:nor/>
          </m:rPr>
          <m:t xml:space="preserve"> = </m:t>
        </m:r>
        <m:r>
          <m:t xml:space="preserve">Δ</m:t>
        </m:r>
        <m:r>
          <m:rPr>
            <m:nor/>
          </m:rPr>
          <m:t xml:space="preserve"> </m:t>
        </m:r>
        <m:sSub>
          <m:e>
            <m:r>
              <m:t xml:space="preserve">p</m:t>
            </m:r>
          </m:e>
          <m:sub>
            <m:r>
              <m:t xml:space="preserve">ideal</m:t>
            </m:r>
          </m:sub>
        </m:sSub>
        <m:r>
          <m:rPr>
            <m:nor/>
          </m:rPr>
          <m:t xml:space="preserve"> </m:t>
        </m:r>
        <m:d>
          <m:dPr>
            <m:begChr m:val="("/>
            <m:endChr m:val=")"/>
          </m:dPr>
          <m:e>
            <m:r>
              <m:rPr>
                <m:nor/>
              </m:rPr>
              <m:t xml:space="preserve"> 1 + </m:t>
            </m:r>
            <m:f>
              <m:num>
                <m:sSub>
                  <m:e>
                    <m:r>
                      <m:t xml:space="preserve">N</m:t>
                    </m:r>
                  </m:e>
                  <m:sub>
                    <m:r>
                      <m:t xml:space="preserve">tcw</m:t>
                    </m:r>
                  </m:sub>
                </m:sSub>
              </m:num>
              <m:den>
                <m:sSub>
                  <m:e>
                    <m:r>
                      <m:t xml:space="preserve">N</m:t>
                    </m:r>
                  </m:e>
                  <m:sub>
                    <m:r>
                      <m:t xml:space="preserve">tcc</m:t>
                    </m:r>
                  </m:sub>
                </m:sSub>
              </m:den>
            </m:f>
            <m:r>
              <m:rPr>
                <m:nor/>
              </m:rPr>
              <m:t xml:space="preserve"> </m:t>
            </m:r>
          </m:e>
        </m:d>
        <m:r>
          <m:rPr>
            <m:nor/>
          </m:rPr>
          <m:t xml:space="preserve"> </m:t>
        </m:r>
        <m:sSub>
          <m:e>
            <m:r>
              <m:t xml:space="preserve">R</m:t>
            </m:r>
          </m:e>
          <m:sub>
            <m:r>
              <m:t xml:space="preserve">b</m:t>
            </m:r>
          </m:sub>
        </m:sSub>
        <m:r>
          <m:rPr>
            <m:nor/>
          </m:rPr>
          <m:t xml:space="preserve"> </m:t>
        </m:r>
        <m:sSub>
          <m:e>
            <m:r>
              <m:t xml:space="preserve">R</m:t>
            </m:r>
          </m:e>
          <m:sub>
            <m:r>
              <m:t xml:space="preserve">s</m:t>
            </m:r>
          </m:sub>
        </m:sSub>
      </m:oMath>
    </w:p>
    <w:p>
      <w:pPr>
        <w:tabs>
          <w:tab w:pos="4365" w:val="center"/>
          <w:tab w:pos="9298" w:val="right"/>
        </w:tabs>
        <w:spacing w:before="140" w:after="140"/>
      </w:pPr>
      <w:r>
        <w:tab/>
      </w:r>
      <m:oMath>
        <m:r>
          <m:t xml:space="preserve">Δ</m:t>
        </m:r>
        <m:r>
          <m:rPr>
            <m:nor/>
          </m:rPr>
          <m:t xml:space="preserve"> </m:t>
        </m:r>
        <m:sSub>
          <m:e>
            <m:r>
              <m:t xml:space="preserve">p</m:t>
            </m:r>
          </m:e>
          <m:sub>
            <m:r>
              <m:t xml:space="preserve">shell</m:t>
            </m:r>
          </m:sub>
        </m:sSub>
        <m:r>
          <m:rPr>
            <m:nor/>
          </m:rPr>
          <m:t xml:space="preserve"> = </m:t>
        </m:r>
        <m:r>
          <m:t xml:space="preserve">Δ</m:t>
        </m:r>
        <m:r>
          <m:rPr>
            <m:nor/>
          </m:rPr>
          <m:t xml:space="preserve"> </m:t>
        </m:r>
        <m:sSub>
          <m:e>
            <m:r>
              <m:t xml:space="preserve">p</m:t>
            </m:r>
          </m:e>
          <m:sub>
            <m:r>
              <m:t xml:space="preserve">cross</m:t>
            </m:r>
          </m:sub>
        </m:sSub>
        <m:r>
          <m:rPr>
            <m:nor/>
          </m:rPr>
          <m:t xml:space="preserve"> + </m:t>
        </m:r>
        <m:r>
          <m:t xml:space="preserve">Δ</m:t>
        </m:r>
        <m:r>
          <m:rPr>
            <m:nor/>
          </m:rPr>
          <m:t xml:space="preserve"> </m:t>
        </m:r>
        <m:sSub>
          <m:e>
            <m:r>
              <m:t xml:space="preserve">p</m:t>
            </m:r>
          </m:e>
          <m:sub>
            <m:r>
              <m:t xml:space="preserve">window</m:t>
            </m:r>
          </m:sub>
        </m:sSub>
        <m:r>
          <m:rPr>
            <m:nor/>
          </m:rPr>
          <m:t xml:space="preserve"> + </m:t>
        </m:r>
        <m:r>
          <m:t xml:space="preserve">Δ</m:t>
        </m:r>
        <m:r>
          <m:rPr>
            <m:nor/>
          </m:rPr>
          <m:t xml:space="preserve"> </m:t>
        </m:r>
        <m:sSub>
          <m:e>
            <m:r>
              <m:t xml:space="preserve">p</m:t>
            </m:r>
          </m:e>
          <m:sub>
            <m:r>
              <m:t xml:space="preserve">ends</m:t>
            </m:r>
          </m:sub>
        </m:sSub>
      </m:oMath>
    </w:p>
    <w:p>
      <w:pPr>
        <w:pStyle w:val="Heading3"/>
      </w:pPr>
      <w:r>
        <w:t>6.3.1  Perte de charge diphasique</w:t>
      </w:r>
    </w:p>
    <w:p>
      <w:r>
        <w:rPr>
          <w:i w:val="0"/>
        </w:rPr>
        <w:t>À l'intérieur du dôme, la perte de charge est rapportée à la valeur Bell-Delaware TOUT LIQUIDE puis mise à l'échelle par le multiplicateur diphasique de Chisholm, plutôt que d'évaluer Bell-Delaware à la masse volumique homogène du mélange. Le multiplicateur restitue exactement les deux limites — l'unité en x=0 et Γ² en x=1 :</w:t>
      </w:r>
    </w:p>
    <w:p>
      <w:pPr>
        <w:tabs>
          <w:tab w:pos="4365" w:val="center"/>
          <w:tab w:pos="9298" w:val="right"/>
        </w:tabs>
        <w:spacing w:before="140" w:after="140"/>
      </w:pPr>
      <w:r>
        <w:tab/>
      </w:r>
      <m:oMath>
        <m:r>
          <m:t xml:space="preserve">Γ</m:t>
        </m:r>
        <m:r>
          <m:rPr>
            <m:nor/>
          </m:rPr>
          <m:t xml:space="preserve"> = </m:t>
        </m:r>
        <m:rad>
          <m:radPr>
            <m:degHide m:val="1"/>
          </m:radPr>
          <m:deg/>
          <m:e>
            <m:f>
              <m:num>
                <m:sSub>
                  <m:e>
                    <m:r>
                      <m:t xml:space="preserve">ρ</m:t>
                    </m:r>
                  </m:e>
                  <m:sub>
                    <m:r>
                      <m:t xml:space="preserve">l</m:t>
                    </m:r>
                  </m:sub>
                </m:sSub>
              </m:num>
              <m:den>
                <m:sSub>
                  <m:e>
                    <m:r>
                      <m:t xml:space="preserve">ρ</m:t>
                    </m:r>
                  </m:e>
                  <m:sub>
                    <m:r>
                      <m:t xml:space="preserve">v</m:t>
                    </m:r>
                  </m:sub>
                </m:sSub>
              </m:den>
            </m:f>
          </m:e>
        </m:rad>
        <m:r>
          <m:rPr>
            <m:nor/>
          </m:rPr>
          <m:t xml:space="preserve"> </m:t>
        </m:r>
        <m:sSup>
          <m:e>
            <m:d>
              <m:dPr>
                <m:begChr m:val="("/>
                <m:endChr m:val=")"/>
              </m:dPr>
              <m:e>
                <m:r>
                  <m:rPr>
                    <m:nor/>
                  </m:rPr>
                  <m:t xml:space="preserve"> </m:t>
                </m:r>
                <m:f>
                  <m:num>
                    <m:sSub>
                      <m:e>
                        <m:r>
                          <m:t xml:space="preserve">μ</m:t>
                        </m:r>
                      </m:e>
                      <m:sub>
                        <m:r>
                          <m:t xml:space="preserve">v</m:t>
                        </m:r>
                      </m:sub>
                    </m:sSub>
                  </m:num>
                  <m:den>
                    <m:sSub>
                      <m:e>
                        <m:r>
                          <m:t xml:space="preserve">μ</m:t>
                        </m:r>
                      </m:e>
                      <m:sub>
                        <m:r>
                          <m:t xml:space="preserve">l</m:t>
                        </m:r>
                      </m:sub>
                    </m:sSub>
                  </m:den>
                </m:f>
                <m:r>
                  <m:rPr>
                    <m:nor/>
                  </m:rPr>
                  <m:t xml:space="preserve"> </m:t>
                </m:r>
              </m:e>
            </m:d>
          </m:e>
          <m:sup>
            <m:r>
              <m:rPr>
                <m:nor/>
              </m:rPr>
              <m:t xml:space="preserve">0.1</m:t>
            </m:r>
          </m:sup>
        </m:sSup>
      </m:oMath>
      <w:r>
        <w:rPr>
          <w:color w:val="5C6672"/>
          <w:sz w:val="19"/>
        </w:rPr>
        <w:tab/>
        <w:t>(20)</w:t>
      </w:r>
    </w:p>
    <w:p>
      <w:pPr>
        <w:tabs>
          <w:tab w:pos="4365" w:val="center"/>
          <w:tab w:pos="9298" w:val="right"/>
        </w:tabs>
        <w:spacing w:before="140" w:after="140"/>
      </w:pPr>
      <w:r>
        <w:tab/>
      </w:r>
      <m:oMath>
        <m:sSup>
          <m:e>
            <m:r>
              <m:t xml:space="preserve">φ</m:t>
            </m:r>
          </m:e>
          <m:sup>
            <m:r>
              <m:rPr>
                <m:nor/>
              </m:rPr>
              <m:t xml:space="preserve">2</m:t>
            </m:r>
          </m:sup>
        </m:sSup>
        <m:r>
          <m:rPr>
            <m:nor/>
          </m:rPr>
          <m:t xml:space="preserve"> = 1 + (</m:t>
        </m:r>
        <m:sSup>
          <m:e>
            <m:r>
              <m:t xml:space="preserve">Γ</m:t>
            </m:r>
          </m:e>
          <m:sup>
            <m:r>
              <m:rPr>
                <m:nor/>
              </m:rPr>
              <m:t xml:space="preserve">2</m:t>
            </m:r>
          </m:sup>
        </m:sSup>
        <m:r>
          <m:rPr>
            <m:nor/>
          </m:rPr>
          <m:t xml:space="preserve"> - 1) </m:t>
        </m:r>
        <m:d>
          <m:dPr>
            <m:begChr m:val="["/>
            <m:endChr m:val="]"/>
          </m:dPr>
          <m:e>
            <m:r>
              <m:rPr>
                <m:nor/>
              </m:rPr>
              <m:t xml:space="preserve"> </m:t>
            </m:r>
            <m:r>
              <m:t xml:space="preserve">B</m:t>
            </m:r>
            <m:r>
              <m:rPr>
                <m:nor/>
              </m:rPr>
              <m:t xml:space="preserve">  </m:t>
            </m:r>
            <m:sSup>
              <m:e>
                <m:r>
                  <m:t xml:space="preserve">x</m:t>
                </m:r>
              </m:e>
              <m:sup>
                <m:r>
                  <m:rPr>
                    <m:nor/>
                  </m:rPr>
                  <m:t xml:space="preserve">(2-</m:t>
                </m:r>
                <m:r>
                  <m:t xml:space="preserve">n</m:t>
                </m:r>
                <m:r>
                  <m:rPr>
                    <m:nor/>
                  </m:rPr>
                  <m:t xml:space="preserve">)/2</m:t>
                </m:r>
              </m:sup>
            </m:sSup>
            <m:r>
              <m:rPr>
                <m:nor/>
              </m:rPr>
              <m:t xml:space="preserve"> (1-</m:t>
            </m:r>
            <m:r>
              <m:t xml:space="preserve">x</m:t>
            </m:r>
            <m:sSup>
              <m:e>
                <m:r>
                  <m:rPr>
                    <m:nor/>
                  </m:rPr>
                  <m:t xml:space="preserve">)</m:t>
                </m:r>
              </m:e>
              <m:sup>
                <m:r>
                  <m:rPr>
                    <m:nor/>
                  </m:rPr>
                  <m:t xml:space="preserve">(2-</m:t>
                </m:r>
                <m:r>
                  <m:t xml:space="preserve">n</m:t>
                </m:r>
                <m:r>
                  <m:rPr>
                    <m:nor/>
                  </m:rPr>
                  <m:t xml:space="preserve">)/2</m:t>
                </m:r>
              </m:sup>
            </m:sSup>
            <m:r>
              <m:rPr>
                <m:nor/>
              </m:rPr>
              <m:t xml:space="preserve"> + </m:t>
            </m:r>
            <m:sSup>
              <m:e>
                <m:r>
                  <m:t xml:space="preserve">x</m:t>
                </m:r>
              </m:e>
              <m:sup>
                <m:r>
                  <m:rPr>
                    <m:nor/>
                  </m:rPr>
                  <m:t xml:space="preserve">2-</m:t>
                </m:r>
                <m:r>
                  <m:t xml:space="preserve">n</m:t>
                </m:r>
              </m:sup>
            </m:sSup>
            <m:r>
              <m:rPr>
                <m:nor/>
              </m:rPr>
              <m:t xml:space="preserve"> </m:t>
            </m:r>
          </m:e>
        </m:d>
      </m:oMath>
    </w:p>
    <w:p>
      <w:pPr>
        <w:tabs>
          <w:tab w:pos="4365" w:val="center"/>
          <w:tab w:pos="9298" w:val="right"/>
        </w:tabs>
        <w:spacing w:before="140" w:after="140"/>
      </w:pPr>
      <w:r>
        <w:tab/>
      </w:r>
      <m:oMath>
        <m:r>
          <m:t xml:space="preserve">Δ</m:t>
        </m:r>
        <m:r>
          <m:rPr>
            <m:nor/>
          </m:rPr>
          <m:t xml:space="preserve"> </m:t>
        </m:r>
        <m:sSub>
          <m:e>
            <m:r>
              <m:t xml:space="preserve">p</m:t>
            </m:r>
          </m:e>
          <m:sub>
            <m:r>
              <m:t xml:space="preserve">TP</m:t>
            </m:r>
          </m:sub>
        </m:sSub>
        <m:r>
          <m:rPr>
            <m:nor/>
          </m:rPr>
          <m:t xml:space="preserve"> = </m:t>
        </m:r>
        <m:sSup>
          <m:e>
            <m:r>
              <m:t xml:space="preserve">φ</m:t>
            </m:r>
          </m:e>
          <m:sup>
            <m:r>
              <m:rPr>
                <m:nor/>
              </m:rPr>
              <m:t xml:space="preserve">2</m:t>
            </m:r>
          </m:sup>
        </m:sSup>
        <m:r>
          <m:rPr>
            <m:nor/>
          </m:rPr>
          <m:t xml:space="preserve">  </m:t>
        </m:r>
        <m:r>
          <m:t xml:space="preserve">Δ</m:t>
        </m:r>
        <m:r>
          <m:rPr>
            <m:nor/>
          </m:rPr>
          <m:t xml:space="preserve"> </m:t>
        </m:r>
        <m:sSub>
          <m:e>
            <m:r>
              <m:t xml:space="preserve">p</m:t>
            </m:r>
          </m:e>
          <m:sub>
            <m:r>
              <m:t xml:space="preserve">liquide</m:t>
            </m:r>
          </m:sub>
        </m:sSub>
      </m:oMath>
    </w:p>
    <w:p>
      <w:r>
        <w:rPr>
          <w:i w:val="0"/>
        </w:rPr>
        <w:t>avec n = 0,2 en régime turbulent. B est sélectionné selon (Γ, flux massique) ; au point de fonctionnement Eau de cet échangeur, Γ = 3,60 et G ≈ 3000 kg/m²·s, d'où B ≈ 1,01.</w:t>
      </w:r>
    </w:p>
    <w:p>
      <w:pPr>
        <w:spacing w:before="160" w:after="160"/>
        <w:ind w:left="283"/>
        <w:pBdr>
          <w:left w:val="single" w:sz="18" w:space="10" w:color="9A5B12"/>
        </w:pBdr>
      </w:pPr>
      <w:r>
        <w:rPr>
          <w:rFonts w:ascii="Calibri Light" w:hAnsi="Calibri Light"/>
          <w:b/>
          <w:color w:val="9A5B12"/>
          <w:sz w:val="17"/>
        </w:rPr>
        <w:t xml:space="preserve">B EST RECONSTITUÉ, NON TRANSCRIT  </w:t>
      </w:r>
      <w:r>
        <w:rPr>
          <w:i w:val="0"/>
          <w:sz w:val="19"/>
        </w:rPr>
        <w:t>Chisholm (1973) et Grant &amp; Chisholm (1979) n'étaient pas disponibles lors de l'implémentation. La table de B n'est corroborée qu'en un seul point : Hellborg (2017) éq. 137 code en dur B = 21/Γ, valeur qui tombe précisément dans la branche 9,5 &lt; Γ &lt; 28. C'est encourageant, ce n'est pas une vérification. Noter en outre que la branche codée en dur par Hellborg est FAUSSE pour cet échangeur : à Γ = 3,60 la branche correcte donne B ≈ 1,01 et non 5,83, de sorte que recopier cette équation telle quelle gonflerait le multiplicateur d'un facteur six environ.</w:t>
      </w:r>
    </w:p>
    <w:p>
      <w:pPr>
        <w:pStyle w:val="Heading3"/>
      </w:pPr>
      <w:r>
        <w:t>6.3.2  Perte de charge par accélération</w:t>
      </w:r>
    </w:p>
    <w:p>
      <w:r>
        <w:rPr>
          <w:i w:val="0"/>
        </w:rPr>
        <w:t>À mesure que le réfrigérant se vaporise, sa masse volumique s'effondre et l'écoulement doit accélérer, ce qui coûte une pression supplémentaire au-delà du frottement pariétal. Sur une maille :</w:t>
      </w:r>
    </w:p>
    <w:p>
      <w:pPr>
        <w:tabs>
          <w:tab w:pos="4365" w:val="center"/>
          <w:tab w:pos="9298" w:val="right"/>
        </w:tabs>
        <w:spacing w:before="140" w:after="140"/>
      </w:pPr>
      <w:r>
        <w:tab/>
      </w:r>
      <m:oMath>
        <m:r>
          <m:t xml:space="preserve">Δ</m:t>
        </m:r>
        <m:r>
          <m:rPr>
            <m:nor/>
          </m:rPr>
          <m:t xml:space="preserve"> </m:t>
        </m:r>
        <m:sSub>
          <m:e>
            <m:r>
              <m:t xml:space="preserve">p</m:t>
            </m:r>
          </m:e>
          <m:sub>
            <m:r>
              <m:t xml:space="preserve">acc</m:t>
            </m:r>
          </m:sub>
        </m:sSub>
        <m:r>
          <m:rPr>
            <m:nor/>
          </m:rPr>
          <m:t xml:space="preserve"> = </m:t>
        </m:r>
        <m:sSup>
          <m:e>
            <m:r>
              <m:t xml:space="preserve">G</m:t>
            </m:r>
          </m:e>
          <m:sup>
            <m:r>
              <m:rPr>
                <m:nor/>
              </m:rPr>
              <m:t xml:space="preserve">2</m:t>
            </m:r>
          </m:sup>
        </m:sSup>
        <m:r>
          <m:rPr>
            <m:nor/>
          </m:rPr>
          <m:t xml:space="preserve"> </m:t>
        </m:r>
        <m:d>
          <m:dPr>
            <m:begChr m:val="["/>
            <m:endChr m:val="]"/>
          </m:dPr>
          <m:e>
            <m:r>
              <m:rPr>
                <m:nor/>
              </m:rPr>
              <m:t xml:space="preserve"> </m:t>
            </m:r>
            <m:sSub>
              <m:e>
                <m:d>
                  <m:dPr>
                    <m:begChr m:val="("/>
                    <m:endChr m:val=")"/>
                  </m:dPr>
                  <m:e>
                    <m:r>
                      <m:rPr>
                        <m:nor/>
                      </m:rPr>
                      <m:t xml:space="preserve"> </m:t>
                    </m:r>
                    <m:f>
                      <m:num>
                        <m:r>
                          <m:rPr>
                            <m:nor/>
                          </m:rPr>
                          <m:t xml:space="preserve">1</m:t>
                        </m:r>
                      </m:num>
                      <m:den>
                        <m:r>
                          <m:t xml:space="preserve">ρ</m:t>
                        </m:r>
                      </m:den>
                    </m:f>
                    <m:r>
                      <m:rPr>
                        <m:nor/>
                      </m:rPr>
                      <m:t xml:space="preserve"> </m:t>
                    </m:r>
                  </m:e>
                </m:d>
              </m:e>
              <m:sub>
                <m:r>
                  <m:t xml:space="preserve">i</m:t>
                </m:r>
                <m:r>
                  <m:rPr>
                    <m:nor/>
                  </m:rPr>
                  <m:t xml:space="preserve">+1</m:t>
                </m:r>
              </m:sub>
            </m:sSub>
            <m:r>
              <m:rPr>
                <m:nor/>
              </m:rPr>
              <m:t xml:space="preserve"> - </m:t>
            </m:r>
            <m:sSub>
              <m:e>
                <m:d>
                  <m:dPr>
                    <m:begChr m:val="("/>
                    <m:endChr m:val=")"/>
                  </m:dPr>
                  <m:e>
                    <m:r>
                      <m:rPr>
                        <m:nor/>
                      </m:rPr>
                      <m:t xml:space="preserve"> </m:t>
                    </m:r>
                    <m:f>
                      <m:num>
                        <m:r>
                          <m:rPr>
                            <m:nor/>
                          </m:rPr>
                          <m:t xml:space="preserve">1</m:t>
                        </m:r>
                      </m:num>
                      <m:den>
                        <m:r>
                          <m:t xml:space="preserve">ρ</m:t>
                        </m:r>
                      </m:den>
                    </m:f>
                    <m:r>
                      <m:rPr>
                        <m:nor/>
                      </m:rPr>
                      <m:t xml:space="preserve"> </m:t>
                    </m:r>
                  </m:e>
                </m:d>
              </m:e>
              <m:sub>
                <m:r>
                  <m:t xml:space="preserve">i</m:t>
                </m:r>
              </m:sub>
            </m:sSub>
            <m:r>
              <m:rPr>
                <m:nor/>
              </m:rPr>
              <m:t xml:space="preserve"> </m:t>
            </m:r>
          </m:e>
        </m:d>
      </m:oMath>
      <w:r>
        <w:rPr>
          <w:color w:val="5C6672"/>
          <w:sz w:val="19"/>
        </w:rPr>
        <w:tab/>
        <w:t>(21)</w:t>
      </w:r>
    </w:p>
    <w:p>
      <w:r>
        <w:rPr>
          <w:i w:val="0"/>
        </w:rPr>
        <w:t>Il s'agit de la forme homogène : le terme de quantité de mouvement en écoulement séparé x²/(α·ρ_v) + (1−x)²/((1−α)·ρ_l) se réduit à 1/ρ pour le taux de vide homogène que restitue la fermeture d'état ; aller au-delà exigerait un α issu d'un modèle à dérive. Ce terme était purement et simplement omis ; il représente 26 % de la perte de charge totale côté calandre au point Eau (2,99 bar sur 11,05, la masse volumique passant de 1000 à 29 kg/m³) et 23 % au point N₂.</w:t>
      </w:r>
    </w:p>
    <w:p>
      <w:pPr>
        <w:spacing w:before="160" w:after="160"/>
        <w:ind w:left="283"/>
        <w:pBdr>
          <w:left w:val="single" w:sz="18" w:space="10" w:color="146C7E"/>
        </w:pBdr>
      </w:pPr>
      <w:r>
        <w:rPr>
          <w:rFonts w:ascii="Calibri Light" w:hAnsi="Calibri Light"/>
          <w:b/>
          <w:color w:val="146C7E"/>
          <w:sz w:val="17"/>
        </w:rPr>
        <w:t xml:space="preserve">UN JEU DE CORRÉLATIONS SOLIDAIRE  </w:t>
      </w:r>
      <w:r>
        <w:rPr>
          <w:i w:val="0"/>
          <w:sz w:val="19"/>
        </w:rPr>
        <w:t>Les tables de coefficients j et f du faisceau idéal et les facteurs correctifs J/R ont été calés les uns contre les autres. Substituer une autre corrélation de faisceau sans redériver les corrections invalide le calage, même si chaque composant est individuellement défendable.</w:t>
      </w:r>
    </w:p>
    <w:p>
      <w:pPr>
        <w:pStyle w:val="Heading2"/>
      </w:pPr>
      <w:r>
        <w:t>6.4  Sélection du régime</w:t>
      </w:r>
    </w:p>
    <w:p>
      <w:r>
        <w:rPr>
          <w:i w:val="0"/>
        </w:rPr>
        <w:t>Bell-Delaware ne contient aucune physique de l'ébullition : à l'intérieur du dôme diphasique, elle doit donc être abandonnée purement et simplement. À pression supercritique, la situation est plus subtile : ce que corrigent les fermetures à rapport de propriétés, c'est la forte variation des propriétés au voisinage de la température pseudo-critique T_pc(p) — vestige étalé du pic de chaleur latente. Loin de cette région, un fluide supercritique est un fluide monophasique ordinaire, et la corrélation de Bell-Delaware, calée sur l'écoulement transversal, est le modèle le mieux adapté à un faisceau chicané. La sélection s'opère donc sur l'état local :</w:t>
      </w:r>
    </w:p>
    <w:tbl>
      <w:tblPr>
        <w:tblStyle w:val="TableGrid"/>
        <w:tblW w:type="auto" w:w="0"/>
        <w:jc w:val="center"/>
        <w:tblLook w:firstColumn="1" w:firstRow="1" w:lastColumn="0" w:lastRow="0" w:noHBand="0" w:noVBand="1" w:val="04A0"/>
      </w:tblPr>
      <w:tblGrid>
        <w:gridCol w:w="3099"/>
        <w:gridCol w:w="3099"/>
        <w:gridCol w:w="3099"/>
      </w:tblGrid>
      <w:tr>
        <w:tc>
          <w:tcPr>
            <w:tcW w:type="dxa" w:w="3628"/>
            <w:shd w:val="clear" w:color="auto" w:fill="EDEFF2"/>
          </w:tcPr>
          <w:p>
            <w:pPr>
              <w:spacing w:after="40"/>
            </w:pPr>
            <w:r/>
            <w:r>
              <w:rPr>
                <w:rFonts w:ascii="Calibri Light" w:hAnsi="Calibri Light"/>
                <w:b/>
                <w:sz w:val="17"/>
              </w:rPr>
              <w:t>Régime local du réfrigérant</w:t>
            </w:r>
          </w:p>
        </w:tc>
        <w:tc>
          <w:tcPr>
            <w:tcW w:type="dxa" w:w="3515"/>
            <w:shd w:val="clear" w:color="auto" w:fill="EDEFF2"/>
          </w:tcPr>
          <w:p>
            <w:pPr>
              <w:spacing w:after="40"/>
            </w:pPr>
            <w:r/>
            <w:r>
              <w:rPr>
                <w:rFonts w:ascii="Calibri Light" w:hAnsi="Calibri Light"/>
                <w:b/>
                <w:sz w:val="17"/>
              </w:rPr>
              <w:t>Fermeture d'échange thermique</w:t>
            </w:r>
          </w:p>
        </w:tc>
        <w:tc>
          <w:tcPr>
            <w:tcW w:type="dxa" w:w="2154"/>
            <w:shd w:val="clear" w:color="auto" w:fill="EDEFF2"/>
          </w:tcPr>
          <w:p>
            <w:pPr>
              <w:spacing w:after="40"/>
            </w:pPr>
            <w:r/>
            <w:r>
              <w:rPr>
                <w:rFonts w:ascii="Calibri Light" w:hAnsi="Calibri Light"/>
                <w:b/>
                <w:sz w:val="17"/>
              </w:rPr>
              <w:t>Fermeture de frottement</w:t>
            </w:r>
          </w:p>
        </w:tc>
      </w:tr>
      <w:tr>
        <w:tc>
          <w:tcPr>
            <w:tcW w:type="dxa" w:w="3628"/>
          </w:tcPr>
          <w:p>
            <w:pPr>
              <w:spacing w:after="40"/>
            </w:pPr>
            <w:r/>
            <w:r>
              <w:rPr>
                <w:i w:val="0"/>
                <w:sz w:val="18"/>
              </w:rPr>
              <w:t>Liquide sous-refroidi ou vapeur surchauffée (monophasique, sous-critique)</w:t>
            </w:r>
          </w:p>
        </w:tc>
        <w:tc>
          <w:tcPr>
            <w:tcW w:type="dxa" w:w="3515"/>
          </w:tcPr>
          <w:p>
            <w:pPr>
              <w:spacing w:after="40"/>
            </w:pPr>
            <w:r/>
            <w:r>
              <w:rPr>
                <w:i w:val="0"/>
                <w:sz w:val="18"/>
              </w:rPr>
              <w:t>Bell-Delaware, Eq. 18</w:t>
            </w:r>
          </w:p>
        </w:tc>
        <w:tc>
          <w:tcPr>
            <w:tcW w:type="dxa" w:w="2154"/>
          </w:tcPr>
          <w:p>
            <w:pPr>
              <w:spacing w:after="40"/>
            </w:pPr>
            <w:r/>
            <w:r>
              <w:rPr>
                <w:i w:val="0"/>
                <w:sz w:val="18"/>
              </w:rPr>
              <w:t>Bell-Delaware, Eq. 19</w:t>
            </w:r>
          </w:p>
        </w:tc>
      </w:tr>
      <w:tr>
        <w:tc>
          <w:tcPr>
            <w:tcW w:type="dxa" w:w="3628"/>
          </w:tcPr>
          <w:p>
            <w:pPr>
              <w:spacing w:after="40"/>
            </w:pPr>
            <w:r/>
            <w:r>
              <w:rPr>
                <w:i w:val="0"/>
                <w:sz w:val="18"/>
              </w:rPr>
              <w:t>Diphasique saturé, 0 ≤ x ≤ 1</w:t>
            </w:r>
          </w:p>
        </w:tc>
        <w:tc>
          <w:tcPr>
            <w:tcW w:type="dxa" w:w="3515"/>
          </w:tcPr>
          <w:p>
            <w:pPr>
              <w:spacing w:after="40"/>
            </w:pPr>
            <w:r/>
            <w:r>
              <w:rPr>
                <w:i w:val="0"/>
                <w:sz w:val="18"/>
              </w:rPr>
              <w:t>Gungor-Winterton, Eq. 22</w:t>
            </w:r>
          </w:p>
        </w:tc>
        <w:tc>
          <w:tcPr>
            <w:tcW w:type="dxa" w:w="2154"/>
          </w:tcPr>
          <w:p>
            <w:pPr>
              <w:spacing w:after="40"/>
            </w:pPr>
            <w:r/>
            <w:r>
              <w:rPr>
                <w:i w:val="0"/>
                <w:sz w:val="18"/>
              </w:rPr>
              <w:t>Müller-Steinhagen &amp; Heck, Eq. 23</w:t>
            </w:r>
          </w:p>
        </w:tc>
      </w:tr>
      <w:tr>
        <w:tc>
          <w:tcPr>
            <w:tcW w:type="dxa" w:w="3628"/>
          </w:tcPr>
          <w:p>
            <w:pPr>
              <w:spacing w:after="40"/>
            </w:pPr>
            <w:r/>
            <w:r>
              <w:rPr>
                <w:i w:val="0"/>
                <w:sz w:val="18"/>
              </w:rPr>
              <w:t>Supercritique, intervalle mélange-paroi atteignant la bande pseudo-critique autour de T_pc(p)</w:t>
            </w:r>
          </w:p>
        </w:tc>
        <w:tc>
          <w:tcPr>
            <w:tcW w:type="dxa" w:w="3515"/>
          </w:tcPr>
          <w:p>
            <w:pPr>
              <w:spacing w:after="40"/>
            </w:pPr>
            <w:r/>
            <w:r>
              <w:rPr>
                <w:i w:val="0"/>
                <w:sz w:val="18"/>
              </w:rPr>
              <w:t>Fermeture à rapport de propriétés (McCarthy-Wolf / Taylor)</w:t>
            </w:r>
          </w:p>
        </w:tc>
        <w:tc>
          <w:tcPr>
            <w:tcW w:type="dxa" w:w="2154"/>
          </w:tcPr>
          <w:p>
            <w:pPr>
              <w:spacing w:after="40"/>
            </w:pPr>
            <w:r/>
            <w:r>
              <w:rPr>
                <w:i w:val="0"/>
                <w:sz w:val="18"/>
              </w:rPr>
              <w:t>Gradient de frottement de la fermeture</w:t>
            </w:r>
          </w:p>
        </w:tc>
      </w:tr>
      <w:tr>
        <w:tc>
          <w:tcPr>
            <w:tcW w:type="dxa" w:w="3628"/>
          </w:tcPr>
          <w:p>
            <w:pPr>
              <w:spacing w:after="40"/>
            </w:pPr>
            <w:r/>
            <w:r>
              <w:rPr>
                <w:i w:val="0"/>
                <w:sz w:val="18"/>
              </w:rPr>
              <w:t>Supercritique, mais loin de T_pc — aucune correction de propriétés justifiée</w:t>
            </w:r>
          </w:p>
        </w:tc>
        <w:tc>
          <w:tcPr>
            <w:tcW w:type="dxa" w:w="3515"/>
          </w:tcPr>
          <w:p>
            <w:pPr>
              <w:spacing w:after="40"/>
            </w:pPr>
            <w:r/>
            <w:r>
              <w:rPr>
                <w:i w:val="0"/>
                <w:sz w:val="18"/>
              </w:rPr>
              <w:t>Bell-Delaware, Eq. 18</w:t>
            </w:r>
          </w:p>
        </w:tc>
        <w:tc>
          <w:tcPr>
            <w:tcW w:type="dxa" w:w="2154"/>
          </w:tcPr>
          <w:p>
            <w:pPr>
              <w:spacing w:after="40"/>
            </w:pPr>
            <w:r/>
            <w:r>
              <w:rPr>
                <w:i w:val="0"/>
                <w:sz w:val="18"/>
              </w:rPr>
              <w:t>Gradient de frottement de la fermeture</w:t>
            </w:r>
          </w:p>
        </w:tc>
      </w:tr>
    </w:tbl>
    <w:p>
      <w:pPr>
        <w:spacing w:after="220"/>
        <w:jc w:val="left"/>
      </w:pPr>
      <w:r>
        <w:rPr>
          <w:b/>
          <w:sz w:val="18"/>
        </w:rPr>
        <w:t xml:space="preserve">Table 5.  </w:t>
      </w:r>
      <w:r>
        <w:rPr>
          <w:i w:val="0"/>
          <w:color w:val="5C6672"/>
          <w:sz w:val="18"/>
        </w:rPr>
        <w:t>Sélection de la fermeture côté calandre. Le régime est évalué par nœud et par balayage, à partir de l'état (p, h) courant du réfrigérant et de la température de paroi retardée. Noter la dernière ligne : la fermeture d'échange thermique bascule vers Bell-Delaware tandis que le modèle de frottement, lui, ne bascule pas — voir ci-dessous.</w:t>
      </w:r>
    </w:p>
    <w:p>
      <w:pPr>
        <w:spacing w:before="160" w:after="160"/>
        <w:ind w:left="283"/>
        <w:pBdr>
          <w:left w:val="single" w:sz="18" w:space="10" w:color="9A5B12"/>
        </w:pBdr>
      </w:pPr>
      <w:r>
        <w:rPr>
          <w:rFonts w:ascii="Calibri Light" w:hAnsi="Calibri Light"/>
          <w:b/>
          <w:color w:val="9A5B12"/>
          <w:sz w:val="17"/>
        </w:rPr>
        <w:t xml:space="preserve">LA PRESSION SUPERCRITIQUE N'EST PAS À ELLE SEULE LE CRITÈRE  </w:t>
      </w:r>
      <w:r>
        <w:rPr>
          <w:i w:val="0"/>
          <w:sz w:val="19"/>
        </w:rPr>
        <w:t xml:space="preserve">La sélection était auparavant conditionnée uniquement par la chaîne de caractères coolantProp.coolant_model : la fermeture attribuée à un fluide relevait donc d'un artefact de configuration plutôt que d'un constat sur son état. Hélium et N₂ sont tous deux supercritiques mais se situent en des points entièrement différents : l'Hélium à 80 bar a T_pc = 11,4 K face à une marche de 300 à 1400 K — soit 26 à 120 fois au-dessus de toute anomalie critique, avec un cp plat à 0,1 % près — tandis que le N₂ à 88 bar a T_pc = 147,8 K, un mélange à 100-124 K et une paroi atteignant 164 K, ce qui place la transition pseudo-critique </w:t>
      </w:r>
      <w:r>
        <w:rPr>
          <w:b/>
          <w:i w:val="0"/>
          <w:sz w:val="19"/>
        </w:rPr>
        <w:t>à l'intérieur de la couche limite thermique</w:t>
      </w:r>
      <w:r>
        <w:rPr>
          <w:i w:val="0"/>
          <w:sz w:val="19"/>
        </w:rPr>
        <w:t>. Au point de fonctionnement N₂, 97 nœuds sur 200 satisfont le critère. La sélection est verrouillée par nœud, de façon irréversible, afin qu'elle ne puisse osciller pendant que la température de paroi retardée s'élève encore depuis son amorce froide.</w:t>
      </w:r>
    </w:p>
    <w:p>
      <w:pPr>
        <w:spacing w:before="160" w:after="160"/>
        <w:ind w:left="283"/>
        <w:pBdr>
          <w:left w:val="single" w:sz="18" w:space="10" w:color="146C7E"/>
        </w:pBdr>
      </w:pPr>
      <w:r>
        <w:rPr>
          <w:rFonts w:ascii="Calibri Light" w:hAnsi="Calibri Light"/>
          <w:b/>
          <w:color w:val="146C7E"/>
          <w:sz w:val="17"/>
        </w:rPr>
        <w:t xml:space="preserve">LA MARCHE EN PRESSION RESTE SUR UN SEUL MODÈLE DE FROTTEMENT  </w:t>
      </w:r>
      <w:r>
        <w:rPr>
          <w:i w:val="0"/>
          <w:sz w:val="19"/>
        </w:rPr>
        <w:t xml:space="preserve">Bell-Delaware restitue une perte de charge </w:t>
      </w:r>
      <w:r>
        <w:rPr>
          <w:b/>
          <w:i w:val="0"/>
          <w:sz w:val="19"/>
        </w:rPr>
        <w:t>globale</w:t>
      </w:r>
      <w:r>
        <w:rPr>
          <w:i w:val="0"/>
          <w:sz w:val="19"/>
        </w:rPr>
        <w:t xml:space="preserve"> de faisceau, répartie en dp_shell/N, alors que la fermeture restitue un </w:t>
      </w:r>
      <w:r>
        <w:rPr>
          <w:b/>
          <w:i w:val="0"/>
          <w:sz w:val="19"/>
        </w:rPr>
        <w:t>gradient local</w:t>
      </w:r>
      <w:r>
        <w:rPr>
          <w:i w:val="0"/>
          <w:sz w:val="19"/>
        </w:rPr>
        <w:t>. Mélanger les deux d'un nœud à l'autre revient à compter deux fois, chaque nœud Bell-Delaware apportant une quote-part d'une perte de charge globale que les autres nœuds ne prennent pas en charge. Un nœud supercritique qui bascule vers Bell-Delaware pour son coefficient d'échange conserve donc un gradient de pression issu du modèle local. Sur cette géométrie, la perte de charge de Bell-Delaware est de toute façon inutilisable — voir section 11.</w:t>
      </w:r>
    </w:p>
    <w:p>
      <w:pPr>
        <w:pStyle w:val="Heading2"/>
      </w:pPr>
      <w:r>
        <w:t>6.5  Ébullition convective saturée</w:t>
      </w:r>
    </w:p>
    <w:p>
      <w:r>
        <w:rPr>
          <w:i w:val="0"/>
        </w:rPr>
        <w:t>À l'intérieur du dôme diphasique, la corrélation de Gungor-Winterton (1986) est employée. Sa structure à deux termes porte la physique : la convection forcée est amplifiée par l'accélération de la vapeur, tandis que l'ébullition nucléée est supprimée à mesure que cette convection amincit la couche surchauffée pariétale.</w:t>
      </w:r>
    </w:p>
    <w:p>
      <w:pPr>
        <w:tabs>
          <w:tab w:pos="4365" w:val="center"/>
          <w:tab w:pos="9298" w:val="right"/>
        </w:tabs>
        <w:spacing w:before="140" w:after="140"/>
      </w:pPr>
      <w:r>
        <w:tab/>
      </w:r>
      <m:oMath>
        <m:r>
          <m:t xml:space="preserve">R</m:t>
        </m:r>
        <m:sSub>
          <m:e>
            <m:r>
              <m:t xml:space="preserve">e</m:t>
            </m:r>
          </m:e>
          <m:sub>
            <m:r>
              <m:t xml:space="preserve">l</m:t>
            </m:r>
          </m:sub>
        </m:sSub>
        <m:r>
          <m:rPr>
            <m:nor/>
          </m:rPr>
          <m:t xml:space="preserve"> = </m:t>
        </m:r>
        <m:f>
          <m:num>
            <m:r>
              <m:t xml:space="preserve">G</m:t>
            </m:r>
            <m:r>
              <m:rPr>
                <m:nor/>
              </m:rPr>
              <m:t xml:space="preserve">(1-</m:t>
            </m:r>
            <m:r>
              <m:t xml:space="preserve">x</m:t>
            </m:r>
            <m:r>
              <m:rPr>
                <m:nor/>
              </m:rPr>
              <m:t xml:space="preserve">)</m:t>
            </m:r>
            <m:r>
              <m:t xml:space="preserve">D</m:t>
            </m:r>
          </m:num>
          <m:den>
            <m:sSub>
              <m:e>
                <m:r>
                  <m:t xml:space="preserve">μ</m:t>
                </m:r>
              </m:e>
              <m:sub>
                <m:r>
                  <m:t xml:space="preserve">l</m:t>
                </m:r>
              </m:sub>
            </m:sSub>
          </m:den>
        </m:f>
        <m:r>
          <m:rPr>
            <m:nor/>
          </m:rPr>
          <m:t xml:space="preserve">,    </m:t>
        </m:r>
        <m:sSub>
          <m:e>
            <m:r>
              <m:t xml:space="preserve">h</m:t>
            </m:r>
          </m:e>
          <m:sub>
            <m:r>
              <m:t xml:space="preserve">l</m:t>
            </m:r>
          </m:sub>
        </m:sSub>
        <m:r>
          <m:rPr>
            <m:nor/>
          </m:rPr>
          <m:t xml:space="preserve"> = 0.023  </m:t>
        </m:r>
        <m:r>
          <m:t xml:space="preserve">R</m:t>
        </m:r>
        <m:sSubSup>
          <m:e>
            <m:r>
              <m:t xml:space="preserve">e</m:t>
            </m:r>
          </m:e>
          <m:sub>
            <m:r>
              <m:t xml:space="preserve">l</m:t>
            </m:r>
          </m:sub>
          <m:sup>
            <m:r>
              <m:rPr>
                <m:nor/>
              </m:rPr>
              <m:t xml:space="preserve">0.8</m:t>
            </m:r>
          </m:sup>
        </m:sSubSup>
        <m:r>
          <m:rPr>
            <m:nor/>
          </m:rPr>
          <m:t xml:space="preserve"> </m:t>
        </m:r>
        <m:r>
          <m:t xml:space="preserve">P</m:t>
        </m:r>
        <m:sSubSup>
          <m:e>
            <m:r>
              <m:t xml:space="preserve">r</m:t>
            </m:r>
          </m:e>
          <m:sub>
            <m:r>
              <m:t xml:space="preserve">l</m:t>
            </m:r>
          </m:sub>
          <m:sup>
            <m:r>
              <m:rPr>
                <m:nor/>
              </m:rPr>
              <m:t xml:space="preserve">0.4</m:t>
            </m:r>
          </m:sup>
        </m:sSubSup>
        <m:r>
          <m:rPr>
            <m:nor/>
          </m:rPr>
          <m:t xml:space="preserve"> </m:t>
        </m:r>
        <m:f>
          <m:num>
            <m:sSub>
              <m:e>
                <m:r>
                  <m:t xml:space="preserve">k</m:t>
                </m:r>
              </m:e>
              <m:sub>
                <m:r>
                  <m:t xml:space="preserve">l</m:t>
                </m:r>
              </m:sub>
            </m:sSub>
          </m:num>
          <m:den>
            <m:r>
              <m:t xml:space="preserve">D</m:t>
            </m:r>
          </m:den>
        </m:f>
      </m:oMath>
      <w:r>
        <w:rPr>
          <w:color w:val="5C6672"/>
          <w:sz w:val="19"/>
        </w:rPr>
        <w:tab/>
        <w:t>(22)</w:t>
      </w:r>
    </w:p>
    <w:p>
      <w:pPr>
        <w:tabs>
          <w:tab w:pos="4365" w:val="center"/>
          <w:tab w:pos="9298" w:val="right"/>
        </w:tabs>
        <w:spacing w:before="140" w:after="140"/>
      </w:pPr>
      <w:r>
        <w:tab/>
      </w:r>
      <m:oMath>
        <m:sSub>
          <m:e>
            <m:r>
              <m:t xml:space="preserve">X</m:t>
            </m:r>
          </m:e>
          <m:sub>
            <m:r>
              <m:t xml:space="preserve">tt</m:t>
            </m:r>
          </m:sub>
        </m:sSub>
        <m:r>
          <m:rPr>
            <m:nor/>
          </m:rPr>
          <m:t xml:space="preserve"> = </m:t>
        </m:r>
        <m:sSup>
          <m:e>
            <m:d>
              <m:dPr>
                <m:begChr m:val="("/>
                <m:endChr m:val=")"/>
              </m:dPr>
              <m:e>
                <m:r>
                  <m:rPr>
                    <m:nor/>
                  </m:rPr>
                  <m:t xml:space="preserve"> </m:t>
                </m:r>
                <m:f>
                  <m:num>
                    <m:r>
                      <m:rPr>
                        <m:nor/>
                      </m:rPr>
                      <m:t xml:space="preserve">1-</m:t>
                    </m:r>
                    <m:r>
                      <m:t xml:space="preserve">x</m:t>
                    </m:r>
                  </m:num>
                  <m:den>
                    <m:r>
                      <m:t xml:space="preserve">x</m:t>
                    </m:r>
                  </m:den>
                </m:f>
                <m:r>
                  <m:rPr>
                    <m:nor/>
                  </m:rPr>
                  <m:t xml:space="preserve"> </m:t>
                </m:r>
              </m:e>
            </m:d>
          </m:e>
          <m:sup>
            <m:r>
              <m:rPr>
                <m:nor/>
              </m:rPr>
              <m:t xml:space="preserve">0.9</m:t>
            </m:r>
          </m:sup>
        </m:sSup>
        <m:r>
          <m:rPr>
            <m:nor/>
          </m:rPr>
          <m:t xml:space="preserve"> </m:t>
        </m:r>
        <m:sSup>
          <m:e>
            <m:d>
              <m:dPr>
                <m:begChr m:val="("/>
                <m:endChr m:val=")"/>
              </m:dPr>
              <m:e>
                <m:r>
                  <m:rPr>
                    <m:nor/>
                  </m:rPr>
                  <m:t xml:space="preserve"> </m:t>
                </m:r>
                <m:f>
                  <m:num>
                    <m:sSub>
                      <m:e>
                        <m:r>
                          <m:t xml:space="preserve">ρ</m:t>
                        </m:r>
                      </m:e>
                      <m:sub>
                        <m:r>
                          <m:t xml:space="preserve">v</m:t>
                        </m:r>
                      </m:sub>
                    </m:sSub>
                  </m:num>
                  <m:den>
                    <m:sSub>
                      <m:e>
                        <m:r>
                          <m:t xml:space="preserve">ρ</m:t>
                        </m:r>
                      </m:e>
                      <m:sub>
                        <m:r>
                          <m:t xml:space="preserve">l</m:t>
                        </m:r>
                      </m:sub>
                    </m:sSub>
                  </m:den>
                </m:f>
                <m:r>
                  <m:rPr>
                    <m:nor/>
                  </m:rPr>
                  <m:t xml:space="preserve"> </m:t>
                </m:r>
              </m:e>
            </m:d>
          </m:e>
          <m:sup>
            <m:r>
              <m:rPr>
                <m:nor/>
              </m:rPr>
              <m:t xml:space="preserve">0.5</m:t>
            </m:r>
          </m:sup>
        </m:sSup>
        <m:r>
          <m:rPr>
            <m:nor/>
          </m:rPr>
          <m:t xml:space="preserve"> </m:t>
        </m:r>
        <m:sSup>
          <m:e>
            <m:d>
              <m:dPr>
                <m:begChr m:val="("/>
                <m:endChr m:val=")"/>
              </m:dPr>
              <m:e>
                <m:r>
                  <m:rPr>
                    <m:nor/>
                  </m:rPr>
                  <m:t xml:space="preserve"> </m:t>
                </m:r>
                <m:f>
                  <m:num>
                    <m:sSub>
                      <m:e>
                        <m:r>
                          <m:t xml:space="preserve">μ</m:t>
                        </m:r>
                      </m:e>
                      <m:sub>
                        <m:r>
                          <m:t xml:space="preserve">l</m:t>
                        </m:r>
                      </m:sub>
                    </m:sSub>
                  </m:num>
                  <m:den>
                    <m:sSub>
                      <m:e>
                        <m:r>
                          <m:t xml:space="preserve">μ</m:t>
                        </m:r>
                      </m:e>
                      <m:sub>
                        <m:r>
                          <m:t xml:space="preserve">v</m:t>
                        </m:r>
                      </m:sub>
                    </m:sSub>
                  </m:den>
                </m:f>
                <m:r>
                  <m:rPr>
                    <m:nor/>
                  </m:rPr>
                  <m:t xml:space="preserve"> </m:t>
                </m:r>
              </m:e>
            </m:d>
          </m:e>
          <m:sup>
            <m:r>
              <m:rPr>
                <m:nor/>
              </m:rPr>
              <m:t xml:space="preserve">0.1</m:t>
            </m:r>
          </m:sup>
        </m:sSup>
      </m:oMath>
    </w:p>
    <w:p>
      <w:pPr>
        <w:tabs>
          <w:tab w:pos="4365" w:val="center"/>
          <w:tab w:pos="9298" w:val="right"/>
        </w:tabs>
        <w:spacing w:before="140" w:after="140"/>
      </w:pPr>
      <w:r>
        <w:tab/>
      </w:r>
      <m:oMath>
        <m:r>
          <m:t xml:space="preserve">Bo</m:t>
        </m:r>
        <m:r>
          <m:rPr>
            <m:nor/>
          </m:rPr>
          <m:t xml:space="preserve"> = </m:t>
        </m:r>
        <m:f>
          <m:num>
            <m:r>
              <m:t xml:space="preserve">q</m:t>
            </m:r>
            <m:r>
              <m:rPr>
                <m:nor/>
              </m:rPr>
              <m:t xml:space="preserve">''</m:t>
            </m:r>
          </m:num>
          <m:den>
            <m:r>
              <m:t xml:space="preserve">G</m:t>
            </m:r>
            <m:r>
              <m:rPr>
                <m:nor/>
              </m:rPr>
              <m:t xml:space="preserve">  </m:t>
            </m:r>
            <m:sSub>
              <m:e>
                <m:r>
                  <m:t xml:space="preserve">h</m:t>
                </m:r>
              </m:e>
              <m:sub>
                <m:r>
                  <m:t xml:space="preserve">fg</m:t>
                </m:r>
              </m:sub>
            </m:sSub>
          </m:den>
        </m:f>
      </m:oMath>
    </w:p>
    <w:p>
      <w:pPr>
        <w:tabs>
          <w:tab w:pos="4365" w:val="center"/>
          <w:tab w:pos="9298" w:val="right"/>
        </w:tabs>
        <w:spacing w:before="140" w:after="140"/>
      </w:pPr>
      <w:r>
        <w:tab/>
      </w:r>
      <m:oMath>
        <m:r>
          <m:t xml:space="preserve">E</m:t>
        </m:r>
        <m:r>
          <m:rPr>
            <m:nor/>
          </m:rPr>
          <m:t xml:space="preserve"> = 1 + 24000  </m:t>
        </m:r>
        <m:r>
          <m:t xml:space="preserve">B</m:t>
        </m:r>
        <m:sSup>
          <m:e>
            <m:r>
              <m:t xml:space="preserve">o</m:t>
            </m:r>
          </m:e>
          <m:sup>
            <m:r>
              <m:rPr>
                <m:nor/>
              </m:rPr>
              <m:t xml:space="preserve">1.16</m:t>
            </m:r>
          </m:sup>
        </m:sSup>
        <m:r>
          <m:rPr>
            <m:nor/>
          </m:rPr>
          <m:t xml:space="preserve"> + 1.37 </m:t>
        </m:r>
        <m:sSup>
          <m:e>
            <m:d>
              <m:dPr>
                <m:begChr m:val="("/>
                <m:endChr m:val=")"/>
              </m:dPr>
              <m:e>
                <m:r>
                  <m:rPr>
                    <m:nor/>
                  </m:rPr>
                  <m:t xml:space="preserve"> </m:t>
                </m:r>
                <m:f>
                  <m:num>
                    <m:r>
                      <m:rPr>
                        <m:nor/>
                      </m:rPr>
                      <m:t xml:space="preserve">1</m:t>
                    </m:r>
                  </m:num>
                  <m:den>
                    <m:sSub>
                      <m:e>
                        <m:r>
                          <m:t xml:space="preserve">X</m:t>
                        </m:r>
                      </m:e>
                      <m:sub>
                        <m:r>
                          <m:t xml:space="preserve">tt</m:t>
                        </m:r>
                      </m:sub>
                    </m:sSub>
                  </m:den>
                </m:f>
                <m:r>
                  <m:rPr>
                    <m:nor/>
                  </m:rPr>
                  <m:t xml:space="preserve"> </m:t>
                </m:r>
              </m:e>
            </m:d>
          </m:e>
          <m:sup>
            <m:r>
              <m:rPr>
                <m:nor/>
              </m:rPr>
              <m:t xml:space="preserve">0.86</m:t>
            </m:r>
          </m:sup>
        </m:sSup>
      </m:oMath>
    </w:p>
    <w:p>
      <w:pPr>
        <w:tabs>
          <w:tab w:pos="4365" w:val="center"/>
          <w:tab w:pos="9298" w:val="right"/>
        </w:tabs>
        <w:spacing w:before="140" w:after="140"/>
      </w:pPr>
      <w:r>
        <w:tab/>
      </w:r>
      <m:oMath>
        <m:r>
          <m:t xml:space="preserve">S</m:t>
        </m:r>
        <m:r>
          <m:rPr>
            <m:nor/>
          </m:rPr>
          <m:t xml:space="preserve"> = </m:t>
        </m:r>
        <m:f>
          <m:num>
            <m:r>
              <m:rPr>
                <m:nor/>
              </m:rPr>
              <m:t xml:space="preserve">1</m:t>
            </m:r>
          </m:num>
          <m:den>
            <m:r>
              <m:rPr>
                <m:nor/>
              </m:rPr>
              <m:t xml:space="preserve">1 + 1.15 · 1</m:t>
            </m:r>
            <m:sSup>
              <m:e>
                <m:r>
                  <m:rPr>
                    <m:nor/>
                  </m:rPr>
                  <m:t xml:space="preserve">0</m:t>
                </m:r>
              </m:e>
              <m:sup>
                <m:r>
                  <m:rPr>
                    <m:nor/>
                  </m:rPr>
                  <m:t xml:space="preserve">-6</m:t>
                </m:r>
              </m:sup>
            </m:sSup>
            <m:r>
              <m:rPr>
                <m:nor/>
              </m:rPr>
              <m:t xml:space="preserve"> </m:t>
            </m:r>
            <m:sSup>
              <m:e>
                <m:r>
                  <m:t xml:space="preserve">E</m:t>
                </m:r>
              </m:e>
              <m:sup>
                <m:r>
                  <m:rPr>
                    <m:nor/>
                  </m:rPr>
                  <m:t xml:space="preserve">2</m:t>
                </m:r>
              </m:sup>
            </m:sSup>
            <m:r>
              <m:rPr>
                <m:nor/>
              </m:rPr>
              <m:t xml:space="preserve"> </m:t>
            </m:r>
            <m:r>
              <m:t xml:space="preserve">R</m:t>
            </m:r>
            <m:sSubSup>
              <m:e>
                <m:r>
                  <m:t xml:space="preserve">e</m:t>
                </m:r>
              </m:e>
              <m:sub>
                <m:r>
                  <m:t xml:space="preserve">l</m:t>
                </m:r>
              </m:sub>
              <m:sup>
                <m:r>
                  <m:rPr>
                    <m:nor/>
                  </m:rPr>
                  <m:t xml:space="preserve">1.17</m:t>
                </m:r>
              </m:sup>
            </m:sSubSup>
          </m:den>
        </m:f>
      </m:oMath>
    </w:p>
    <w:p>
      <w:pPr>
        <w:tabs>
          <w:tab w:pos="4365" w:val="center"/>
          <w:tab w:pos="9298" w:val="right"/>
        </w:tabs>
        <w:spacing w:before="140" w:after="140"/>
      </w:pPr>
      <w:r>
        <w:tab/>
      </w:r>
      <m:oMath>
        <m:sSub>
          <m:e>
            <m:r>
              <m:t xml:space="preserve">h</m:t>
            </m:r>
          </m:e>
          <m:sub>
            <m:r>
              <m:t xml:space="preserve">pool</m:t>
            </m:r>
          </m:sub>
        </m:sSub>
        <m:r>
          <m:rPr>
            <m:nor/>
          </m:rPr>
          <m:t xml:space="preserve"> = 55  </m:t>
        </m:r>
        <m:sSubSup>
          <m:e>
            <m:r>
              <m:t xml:space="preserve">p</m:t>
            </m:r>
          </m:e>
          <m:sub>
            <m:r>
              <m:t xml:space="preserve">r</m:t>
            </m:r>
          </m:sub>
          <m:sup>
            <m:r>
              <m:rPr>
                <m:nor/>
              </m:rPr>
              <m:t xml:space="preserve">0.12</m:t>
            </m:r>
          </m:sup>
        </m:sSubSup>
        <m:r>
          <m:rPr>
            <m:nor/>
          </m:rPr>
          <m:t xml:space="preserve"> (-</m:t>
        </m:r>
        <m:sSub>
          <m:e>
            <m:r>
              <m:rPr>
                <m:nor/>
              </m:rPr>
              <m:t xml:space="preserve">log</m:t>
            </m:r>
          </m:e>
          <m:sub>
            <m:r>
              <m:rPr>
                <m:nor/>
              </m:rPr>
              <m:t xml:space="preserve">10</m:t>
            </m:r>
          </m:sub>
        </m:sSub>
        <m:r>
          <m:rPr>
            <m:nor/>
          </m:rPr>
          <m:t xml:space="preserve"> </m:t>
        </m:r>
        <m:sSub>
          <m:e>
            <m:r>
              <m:t xml:space="preserve">p</m:t>
            </m:r>
          </m:e>
          <m:sub>
            <m:r>
              <m:t xml:space="preserve">r</m:t>
            </m:r>
          </m:sub>
        </m:sSub>
        <m:sSup>
          <m:e>
            <m:r>
              <m:rPr>
                <m:nor/>
              </m:rPr>
              <m:t xml:space="preserve">)</m:t>
            </m:r>
          </m:e>
          <m:sup>
            <m:r>
              <m:rPr>
                <m:nor/>
              </m:rPr>
              <m:t xml:space="preserve">-0.55</m:t>
            </m:r>
          </m:sup>
        </m:sSup>
        <m:r>
          <m:rPr>
            <m:nor/>
          </m:rPr>
          <m:t xml:space="preserve"> </m:t>
        </m:r>
        <m:sSup>
          <m:e>
            <m:r>
              <m:t xml:space="preserve">M</m:t>
            </m:r>
          </m:e>
          <m:sup>
            <m:r>
              <m:rPr>
                <m:nor/>
              </m:rPr>
              <m:t xml:space="preserve">-0.5</m:t>
            </m:r>
          </m:sup>
        </m:sSup>
        <m:r>
          <m:rPr>
            <m:nor/>
          </m:rPr>
          <m:t xml:space="preserve"> </m:t>
        </m:r>
        <m:r>
          <m:t xml:space="preserve">q</m:t>
        </m:r>
        <m:r>
          <m:rPr>
            <m:nor/>
          </m:rPr>
          <m:t xml:space="preserve">'</m:t>
        </m:r>
        <m:sSup>
          <m:e>
            <m:r>
              <m:rPr>
                <m:nor/>
              </m:rPr>
              <m:t xml:space="preserve">'</m:t>
            </m:r>
          </m:e>
          <m:sup>
            <m:r>
              <m:rPr>
                <m:nor/>
              </m:rPr>
              <m:t xml:space="preserve">0.67</m:t>
            </m:r>
          </m:sup>
        </m:sSup>
      </m:oMath>
    </w:p>
    <w:p>
      <w:pPr>
        <w:tabs>
          <w:tab w:pos="4365" w:val="center"/>
          <w:tab w:pos="9298" w:val="right"/>
        </w:tabs>
        <w:spacing w:before="140" w:after="140"/>
      </w:pPr>
      <w:r>
        <w:tab/>
      </w:r>
      <m:oMath>
        <m:r>
          <m:t xml:space="preserve">h</m:t>
        </m:r>
        <m:r>
          <m:rPr>
            <m:nor/>
          </m:rPr>
          <m:t xml:space="preserve"> = </m:t>
        </m:r>
        <m:r>
          <m:t xml:space="preserve">E</m:t>
        </m:r>
        <m:r>
          <m:rPr>
            <m:nor/>
          </m:rPr>
          <m:t xml:space="preserve">  </m:t>
        </m:r>
        <m:sSub>
          <m:e>
            <m:r>
              <m:t xml:space="preserve">h</m:t>
            </m:r>
          </m:e>
          <m:sub>
            <m:r>
              <m:t xml:space="preserve">l</m:t>
            </m:r>
          </m:sub>
        </m:sSub>
        <m:r>
          <m:rPr>
            <m:nor/>
          </m:rPr>
          <m:t xml:space="preserve"> + </m:t>
        </m:r>
        <m:r>
          <m:t xml:space="preserve">S</m:t>
        </m:r>
        <m:r>
          <m:rPr>
            <m:nor/>
          </m:rPr>
          <m:t xml:space="preserve">  </m:t>
        </m:r>
        <m:sSub>
          <m:e>
            <m:r>
              <m:t xml:space="preserve">h</m:t>
            </m:r>
          </m:e>
          <m:sub>
            <m:r>
              <m:t xml:space="preserve">pool</m:t>
            </m:r>
          </m:sub>
        </m:sSub>
      </m:oMath>
    </w:p>
    <w:p>
      <w:r>
        <w:rPr>
          <w:i w:val="0"/>
        </w:rPr>
        <w:t>Le terme d'ébullition en vase est la corrélation de Cooper, M désignant la masse molaire en kg/kmol. La correction pour faible nombre de Froude en tube horizontal, présente dans la référence originale, n'est pas appliquée : la corrélation est employée ici sous sa forme verticale / à Froude élevé.</w:t>
      </w:r>
    </w:p>
    <w:p>
      <w:pPr>
        <w:pStyle w:val="Heading2"/>
      </w:pPr>
      <w:r>
        <w:t>6.6  Frottement diphasique</w:t>
      </w:r>
    </w:p>
    <w:p>
      <w:r>
        <w:rPr>
          <w:i w:val="0"/>
        </w:rPr>
        <w:t>La corrélation de Müller-Steinhagen et Heck interpole empiriquement entre les limites tout liquide et tout vapeur, en restituant correctement chacune en x = 0 et x = 1 :</w:t>
      </w:r>
    </w:p>
    <w:p>
      <w:pPr>
        <w:tabs>
          <w:tab w:pos="4365" w:val="center"/>
          <w:tab w:pos="9298" w:val="right"/>
        </w:tabs>
        <w:spacing w:before="140" w:after="140"/>
      </w:pPr>
      <w:r>
        <w:tab/>
      </w:r>
      <m:oMath>
        <m:r>
          <m:t xml:space="preserve">A</m:t>
        </m:r>
        <m:r>
          <m:rPr>
            <m:nor/>
          </m:rPr>
          <m:t xml:space="preserve"> = </m:t>
        </m:r>
        <m:f>
          <m:num>
            <m:sSub>
              <m:e>
                <m:r>
                  <m:t xml:space="preserve">f</m:t>
                </m:r>
              </m:e>
              <m:sub>
                <m:r>
                  <m:t xml:space="preserve">l</m:t>
                </m:r>
                <m:r>
                  <m:rPr>
                    <m:nor/>
                  </m:rPr>
                  <m:t xml:space="preserve">0</m:t>
                </m:r>
              </m:sub>
            </m:sSub>
            <m:r>
              <m:rPr>
                <m:nor/>
              </m:rPr>
              <m:t xml:space="preserve"> </m:t>
            </m:r>
            <m:sSup>
              <m:e>
                <m:r>
                  <m:t xml:space="preserve">G</m:t>
                </m:r>
              </m:e>
              <m:sup>
                <m:r>
                  <m:rPr>
                    <m:nor/>
                  </m:rPr>
                  <m:t xml:space="preserve">2</m:t>
                </m:r>
              </m:sup>
            </m:sSup>
          </m:num>
          <m:den>
            <m:r>
              <m:rPr>
                <m:nor/>
              </m:rPr>
              <m:t xml:space="preserve">2 </m:t>
            </m:r>
            <m:r>
              <m:t xml:space="preserve">D</m:t>
            </m:r>
            <m:r>
              <m:rPr>
                <m:nor/>
              </m:rPr>
              <m:t xml:space="preserve"> </m:t>
            </m:r>
            <m:sSub>
              <m:e>
                <m:r>
                  <m:t xml:space="preserve">ρ</m:t>
                </m:r>
              </m:e>
              <m:sub>
                <m:r>
                  <m:t xml:space="preserve">l</m:t>
                </m:r>
              </m:sub>
            </m:sSub>
          </m:den>
        </m:f>
        <m:r>
          <m:rPr>
            <m:nor/>
          </m:rPr>
          <m:t xml:space="preserve">,    </m:t>
        </m:r>
        <m:r>
          <m:t xml:space="preserve">B</m:t>
        </m:r>
        <m:r>
          <m:rPr>
            <m:nor/>
          </m:rPr>
          <m:t xml:space="preserve"> = </m:t>
        </m:r>
        <m:f>
          <m:num>
            <m:sSub>
              <m:e>
                <m:r>
                  <m:t xml:space="preserve">f</m:t>
                </m:r>
              </m:e>
              <m:sub>
                <m:r>
                  <m:t xml:space="preserve">v</m:t>
                </m:r>
                <m:r>
                  <m:rPr>
                    <m:nor/>
                  </m:rPr>
                  <m:t xml:space="preserve">0</m:t>
                </m:r>
              </m:sub>
            </m:sSub>
            <m:r>
              <m:rPr>
                <m:nor/>
              </m:rPr>
              <m:t xml:space="preserve"> </m:t>
            </m:r>
            <m:sSup>
              <m:e>
                <m:r>
                  <m:t xml:space="preserve">G</m:t>
                </m:r>
              </m:e>
              <m:sup>
                <m:r>
                  <m:rPr>
                    <m:nor/>
                  </m:rPr>
                  <m:t xml:space="preserve">2</m:t>
                </m:r>
              </m:sup>
            </m:sSup>
          </m:num>
          <m:den>
            <m:r>
              <m:rPr>
                <m:nor/>
              </m:rPr>
              <m:t xml:space="preserve">2 </m:t>
            </m:r>
            <m:r>
              <m:t xml:space="preserve">D</m:t>
            </m:r>
            <m:r>
              <m:rPr>
                <m:nor/>
              </m:rPr>
              <m:t xml:space="preserve"> </m:t>
            </m:r>
            <m:sSub>
              <m:e>
                <m:r>
                  <m:t xml:space="preserve">ρ</m:t>
                </m:r>
              </m:e>
              <m:sub>
                <m:r>
                  <m:t xml:space="preserve">v</m:t>
                </m:r>
              </m:sub>
            </m:sSub>
          </m:den>
        </m:f>
      </m:oMath>
      <w:r>
        <w:rPr>
          <w:color w:val="5C6672"/>
          <w:sz w:val="19"/>
        </w:rPr>
        <w:tab/>
        <w:t>(23)</w:t>
      </w:r>
    </w:p>
    <w:p>
      <w:pPr>
        <w:tabs>
          <w:tab w:pos="4365" w:val="center"/>
          <w:tab w:pos="9298" w:val="right"/>
        </w:tabs>
        <w:spacing w:before="140" w:after="140"/>
      </w:pPr>
      <w:r>
        <w:tab/>
      </w:r>
      <m:oMath>
        <m:r>
          <m:rPr>
            <m:nor/>
          </m:rPr>
          <m:t xml:space="preserve">-</m:t>
        </m:r>
        <m:f>
          <m:num>
            <m:r>
              <m:t xml:space="preserve">dp</m:t>
            </m:r>
          </m:num>
          <m:den>
            <m:r>
              <m:t xml:space="preserve">dz</m:t>
            </m:r>
          </m:den>
        </m:f>
        <m:r>
          <m:rPr>
            <m:nor/>
          </m:rPr>
          <m:t xml:space="preserve"> = </m:t>
        </m:r>
        <m:d>
          <m:dPr>
            <m:begChr m:val="["/>
            <m:endChr m:val="]"/>
          </m:dPr>
          <m:e>
            <m:r>
              <m:rPr>
                <m:nor/>
              </m:rPr>
              <m:t xml:space="preserve"> </m:t>
            </m:r>
            <m:r>
              <m:t xml:space="preserve">A</m:t>
            </m:r>
            <m:r>
              <m:rPr>
                <m:nor/>
              </m:rPr>
              <m:t xml:space="preserve"> + 2(</m:t>
            </m:r>
            <m:r>
              <m:t xml:space="preserve">B</m:t>
            </m:r>
            <m:r>
              <m:rPr>
                <m:nor/>
              </m:rPr>
              <m:t xml:space="preserve">-</m:t>
            </m:r>
            <m:r>
              <m:t xml:space="preserve">A</m:t>
            </m:r>
            <m:r>
              <m:rPr>
                <m:nor/>
              </m:rPr>
              <m:t xml:space="preserve">)</m:t>
            </m:r>
            <m:r>
              <m:t xml:space="preserve">x</m:t>
            </m:r>
            <m:r>
              <m:rPr>
                <m:nor/>
              </m:rPr>
              <m:t xml:space="preserve"> </m:t>
            </m:r>
          </m:e>
        </m:d>
        <m:r>
          <m:rPr>
            <m:nor/>
          </m:rPr>
          <m:t xml:space="preserve"> (1-</m:t>
        </m:r>
        <m:r>
          <m:t xml:space="preserve">x</m:t>
        </m:r>
        <m:sSup>
          <m:e>
            <m:r>
              <m:rPr>
                <m:nor/>
              </m:rPr>
              <m:t xml:space="preserve">)</m:t>
            </m:r>
          </m:e>
          <m:sup>
            <m:r>
              <m:rPr>
                <m:nor/>
              </m:rPr>
              <m:t xml:space="preserve">1/3</m:t>
            </m:r>
          </m:sup>
        </m:sSup>
        <m:r>
          <m:rPr>
            <m:nor/>
          </m:rPr>
          <m:t xml:space="preserve"> + </m:t>
        </m:r>
        <m:r>
          <m:t xml:space="preserve">B</m:t>
        </m:r>
        <m:r>
          <m:rPr>
            <m:nor/>
          </m:rPr>
          <m:t xml:space="preserve"> </m:t>
        </m:r>
        <m:sSup>
          <m:e>
            <m:r>
              <m:t xml:space="preserve">x</m:t>
            </m:r>
          </m:e>
          <m:sup>
            <m:r>
              <m:rPr>
                <m:nor/>
              </m:rPr>
              <m:t xml:space="preserve">3</m:t>
            </m:r>
          </m:sup>
        </m:sSup>
      </m:oMath>
    </w:p>
    <w:p>
      <w:pPr>
        <w:pStyle w:val="Heading2"/>
      </w:pPr>
      <w:r>
        <w:t>6.7  Flux critique et déclenchement de l'ébullition nucléée</w:t>
      </w:r>
    </w:p>
    <w:p>
      <w:r>
        <w:rPr>
          <w:i w:val="0"/>
        </w:rPr>
        <w:t>L'écart à l'ébullition nucléée est surveillé au moyen d'un flux thermique critique tabulé (Groeneveld 2006), restitué sous forme de marge :</w:t>
      </w:r>
    </w:p>
    <w:p>
      <w:pPr>
        <w:tabs>
          <w:tab w:pos="4365" w:val="center"/>
          <w:tab w:pos="9298" w:val="right"/>
        </w:tabs>
        <w:spacing w:before="140" w:after="140"/>
      </w:pPr>
      <w:r>
        <w:tab/>
      </w:r>
      <m:oMath>
        <m:r>
          <m:rPr>
            <m:nor/>
          </m:rPr>
          <m:t xml:space="preserve">marge CHF</m:t>
        </m:r>
        <m:r>
          <m:rPr>
            <m:nor/>
          </m:rPr>
          <m:t xml:space="preserve"> = </m:t>
        </m:r>
        <m:f>
          <m:num>
            <m:r>
              <m:t xml:space="preserve">q</m:t>
            </m:r>
            <m:r>
              <m:rPr>
                <m:nor/>
              </m:rPr>
              <m:t xml:space="preserve">'</m:t>
            </m:r>
            <m:sSub>
              <m:e>
                <m:r>
                  <m:rPr>
                    <m:nor/>
                  </m:rPr>
                  <m:t xml:space="preserve">'</m:t>
                </m:r>
              </m:e>
              <m:sub>
                <m:r>
                  <m:t xml:space="preserve">CHF</m:t>
                </m:r>
              </m:sub>
            </m:sSub>
          </m:num>
          <m:den>
            <m:r>
              <m:t xml:space="preserve">q</m:t>
            </m:r>
            <m:r>
              <m:rPr>
                <m:nor/>
              </m:rPr>
              <m:t xml:space="preserve">'</m:t>
            </m:r>
            <m:sSub>
              <m:e>
                <m:r>
                  <m:rPr>
                    <m:nor/>
                  </m:rPr>
                  <m:t xml:space="preserve">'</m:t>
                </m:r>
              </m:e>
              <m:sub>
                <m:r>
                  <m:t xml:space="preserve">w</m:t>
                </m:r>
              </m:sub>
            </m:sSub>
          </m:den>
        </m:f>
      </m:oMath>
      <w:r>
        <w:rPr>
          <w:color w:val="5C6672"/>
          <w:sz w:val="19"/>
        </w:rPr>
        <w:tab/>
        <w:t>(24)</w:t>
      </w:r>
    </w:p>
    <w:p>
      <w:pPr>
        <w:spacing w:before="160" w:after="160"/>
        <w:ind w:left="283"/>
        <w:pBdr>
          <w:left w:val="single" w:sz="18" w:space="10" w:color="146C7E"/>
        </w:pBdr>
      </w:pPr>
      <w:r>
        <w:rPr>
          <w:rFonts w:ascii="Calibri Light" w:hAnsi="Calibri Light"/>
          <w:b/>
          <w:color w:val="146C7E"/>
          <w:sz w:val="17"/>
        </w:rPr>
        <w:t xml:space="preserve">NON DÉFINIE HORS DU DÔME  </w:t>
      </w:r>
      <w:r>
        <w:rPr>
          <w:i w:val="0"/>
          <w:sz w:val="19"/>
        </w:rPr>
        <w:t>La marge de flux critique est restituée comme NaN pour les états liquide sous-refroidi, vapeur surchauffée et supercritique. Il s'agit d'une véritable frontière de régime — la notion de flux thermique critique n'y existe pas — et non d'une donnée manquante. Une marge qui s'annule exactement en x → 1 traduit la transition d'assèchement vers la vaporisation complète, comportement recherché pour un dimensionnement qui surchauffe délibérément son réfrigérant.</w:t>
      </w:r>
    </w:p>
    <w:p>
      <w:r>
        <w:rPr>
          <w:i w:val="0"/>
        </w:rPr>
        <w:t xml:space="preserve">Deux mécanismes distincts encadrent la transition sous-refroidi/ébullition et ne doivent pas être confondus. Le premier est une </w:t>
      </w:r>
      <w:r>
        <w:rPr>
          <w:b/>
          <w:i w:val="0"/>
        </w:rPr>
        <w:t>fenêtre de raccordement numérique</w:t>
      </w:r>
      <w:r>
        <w:rPr>
          <w:i w:val="0"/>
        </w:rPr>
        <w:t xml:space="preserve"> de demi-largeur 0,02 en titre, centrée sur x = 0, qui lisse une variation autrement abrupte du coefficient d'échange entre les branches monophasique et diphasique. C'est un dispositif de lissage sans contenu physique. Le second est le critère </w:t>
      </w:r>
      <w:r>
        <w:rPr>
          <w:b/>
          <w:i w:val="0"/>
        </w:rPr>
        <w:t>physique</w:t>
      </w:r>
      <w:r>
        <w:rPr>
          <w:i w:val="0"/>
        </w:rPr>
        <w:t xml:space="preserve"> de Bergles-Rohsenow (1964), surchauffe pariétale de déclenchement de l'ébullition nucléée, évaluée comme diagnostic et signalée lorsqu'elle est dépassée :</w:t>
      </w:r>
    </w:p>
    <w:p>
      <w:pPr>
        <w:tabs>
          <w:tab w:pos="4365" w:val="center"/>
          <w:tab w:pos="9298" w:val="right"/>
        </w:tabs>
        <w:spacing w:before="140" w:after="140"/>
      </w:pPr>
      <w:r>
        <w:tab/>
      </w:r>
      <m:oMath>
        <m:r>
          <m:t xml:space="preserve">q</m:t>
        </m:r>
        <m:r>
          <m:rPr>
            <m:nor/>
          </m:rPr>
          <m:t xml:space="preserve">'</m:t>
        </m:r>
        <m:sSub>
          <m:e>
            <m:r>
              <m:rPr>
                <m:nor/>
              </m:rPr>
              <m:t xml:space="preserve">'</m:t>
            </m:r>
          </m:e>
          <m:sub>
            <m:r>
              <m:t xml:space="preserve">ONB</m:t>
            </m:r>
          </m:sub>
        </m:sSub>
        <m:r>
          <m:rPr>
            <m:nor/>
          </m:rPr>
          <m:t xml:space="preserve"> = 1082  </m:t>
        </m:r>
        <m:sSup>
          <m:e>
            <m:r>
              <m:t xml:space="preserve">p</m:t>
            </m:r>
          </m:e>
          <m:sup>
            <m:r>
              <m:rPr>
                <m:nor/>
              </m:rPr>
              <m:t xml:space="preserve">1.156</m:t>
            </m:r>
          </m:sup>
        </m:sSup>
        <m:r>
          <m:rPr>
            <m:nor/>
          </m:rPr>
          <m:t xml:space="preserve"> </m:t>
        </m:r>
        <m:sSup>
          <m:e>
            <m:d>
              <m:dPr>
                <m:begChr m:val="("/>
                <m:endChr m:val=")"/>
              </m:dPr>
              <m:e>
                <m:r>
                  <m:rPr>
                    <m:nor/>
                  </m:rPr>
                  <m:t xml:space="preserve"> 1.8  </m:t>
                </m:r>
                <m:r>
                  <m:t xml:space="preserve">Δ</m:t>
                </m:r>
                <m:r>
                  <m:rPr>
                    <m:nor/>
                  </m:rPr>
                  <m:t xml:space="preserve"> </m:t>
                </m:r>
                <m:sSub>
                  <m:e>
                    <m:r>
                      <m:t xml:space="preserve">T</m:t>
                    </m:r>
                  </m:e>
                  <m:sub>
                    <m:r>
                      <m:t xml:space="preserve">ONB</m:t>
                    </m:r>
                  </m:sub>
                </m:sSub>
                <m:r>
                  <m:rPr>
                    <m:nor/>
                  </m:rPr>
                  <m:t xml:space="preserve"> </m:t>
                </m:r>
              </m:e>
            </m:d>
          </m:e>
          <m:sup>
            <m:r>
              <m:rPr>
                <m:nor/>
              </m:rPr>
              <m:t xml:space="preserve">2.16/</m:t>
            </m:r>
            <m:sSup>
              <m:e>
                <m:r>
                  <m:t xml:space="preserve">p</m:t>
                </m:r>
              </m:e>
              <m:sup>
                <m:r>
                  <m:rPr>
                    <m:nor/>
                  </m:rPr>
                  <m:t xml:space="preserve">0.0234</m:t>
                </m:r>
              </m:sup>
            </m:sSup>
          </m:sup>
        </m:sSup>
      </m:oMath>
      <w:r>
        <w:rPr>
          <w:color w:val="5C6672"/>
          <w:sz w:val="19"/>
        </w:rPr>
        <w:tab/>
        <w:t>(25)</w:t>
      </w:r>
    </w:p>
    <w:p>
      <w:r>
        <w:rPr>
          <w:i w:val="0"/>
        </w:rPr>
        <w:t>avec p en bar, inversée pour ΔT_ONB et comparée à la surchauffe pariétale estimée. L'ébullition nucléée sous-refroidie peut débuter bien avant que le fluide de mélange n'atteigne la saturation si la paroi est suffisamment chaude ; lorsque le solveur signale un dépassement ONB, il indique que le raccordement numérique lisse tient lieu d'une ébullition que la physique dit déjà amorcée.</w:t>
      </w:r>
    </w:p>
    <w:p>
      <w:pPr>
        <w:pStyle w:val="Heading1"/>
      </w:pPr>
      <w:r>
        <w:t>7.  Marche énergétique côté calandre</w:t>
      </w:r>
    </w:p>
    <w:p>
      <w:r>
        <w:rPr>
          <w:i w:val="0"/>
        </w:rPr>
        <w:t>La puissance nodale calculée par tube représentatif est portée au faisceau complet une seule fois, ici :</w:t>
      </w:r>
    </w:p>
    <w:p>
      <w:pPr>
        <w:tabs>
          <w:tab w:pos="4365" w:val="center"/>
          <w:tab w:pos="9298" w:val="right"/>
        </w:tabs>
        <w:spacing w:before="140" w:after="140"/>
      </w:pPr>
      <w:r>
        <w:tab/>
      </w:r>
      <m:oMath>
        <m:r>
          <m:t xml:space="preserve">d</m:t>
        </m:r>
        <m:sSub>
          <m:e>
            <m:r>
              <m:t xml:space="preserve">Q</m:t>
            </m:r>
          </m:e>
          <m:sub>
            <m:r>
              <m:t xml:space="preserve">total</m:t>
            </m:r>
            <m:r>
              <m:rPr>
                <m:nor/>
              </m:rPr>
              <m:t xml:space="preserve">,</m:t>
            </m:r>
            <m:r>
              <m:t xml:space="preserve">i</m:t>
            </m:r>
          </m:sub>
        </m:sSub>
        <m:r>
          <m:rPr>
            <m:nor/>
          </m:rPr>
          <m:t xml:space="preserve"> = </m:t>
        </m:r>
        <m:r>
          <m:t xml:space="preserve">d</m:t>
        </m:r>
        <m:sSub>
          <m:e>
            <m:r>
              <m:t xml:space="preserve">Q</m:t>
            </m:r>
          </m:e>
          <m:sub>
            <m:r>
              <m:t xml:space="preserve">i</m:t>
            </m:r>
          </m:sub>
        </m:sSub>
        <m:r>
          <m:rPr>
            <m:nor/>
          </m:rPr>
          <m:t xml:space="preserve">  </m:t>
        </m:r>
        <m:sSub>
          <m:e>
            <m:r>
              <m:t xml:space="preserve">N</m:t>
            </m:r>
          </m:e>
          <m:sub>
            <m:r>
              <m:t xml:space="preserve">tubes</m:t>
            </m:r>
          </m:sub>
        </m:sSub>
      </m:oMath>
      <w:r>
        <w:rPr>
          <w:color w:val="5C6672"/>
          <w:sz w:val="19"/>
        </w:rPr>
        <w:tab/>
        <w:t>(26)</w:t>
      </w:r>
    </w:p>
    <w:p>
      <w:pPr>
        <w:pStyle w:val="Heading2"/>
      </w:pPr>
      <w:r>
        <w:t>7.1  Marche monophasique (en température)</w:t>
      </w:r>
    </w:p>
    <w:p>
      <w:pPr>
        <w:tabs>
          <w:tab w:pos="4365" w:val="center"/>
          <w:tab w:pos="9298" w:val="right"/>
        </w:tabs>
        <w:spacing w:before="140" w:after="140"/>
      </w:pPr>
      <w:r>
        <w:tab/>
      </w:r>
      <m:oMath>
        <m:sSub>
          <m:e>
            <m:r>
              <m:t xml:space="preserve">T</m:t>
            </m:r>
          </m:e>
          <m:sub>
            <m:r>
              <m:t xml:space="preserve">i</m:t>
            </m:r>
            <m:r>
              <m:rPr>
                <m:nor/>
              </m:rPr>
              <m:t xml:space="preserve">+1</m:t>
            </m:r>
          </m:sub>
        </m:sSub>
        <m:r>
          <m:rPr>
            <m:nor/>
          </m:rPr>
          <m:t xml:space="preserve"> = </m:t>
        </m:r>
        <m:sSub>
          <m:e>
            <m:r>
              <m:t xml:space="preserve">T</m:t>
            </m:r>
          </m:e>
          <m:sub>
            <m:r>
              <m:t xml:space="preserve">i</m:t>
            </m:r>
          </m:sub>
        </m:sSub>
        <m:r>
          <m:rPr>
            <m:nor/>
          </m:rPr>
          <m:t xml:space="preserve"> + </m:t>
        </m:r>
        <m:f>
          <m:num>
            <m:r>
              <m:t xml:space="preserve">d</m:t>
            </m:r>
            <m:sSub>
              <m:e>
                <m:r>
                  <m:t xml:space="preserve">Q</m:t>
                </m:r>
              </m:e>
              <m:sub>
                <m:r>
                  <m:t xml:space="preserve">total</m:t>
                </m:r>
                <m:r>
                  <m:rPr>
                    <m:nor/>
                  </m:rPr>
                  <m:t xml:space="preserve">,</m:t>
                </m:r>
                <m:r>
                  <m:t xml:space="preserve">i</m:t>
                </m:r>
              </m:sub>
            </m:sSub>
          </m:num>
          <m:den>
            <m:sSub>
              <m:e>
                <m:acc>
                  <m:accPr>
                    <m:chr m:val="̇"/>
                  </m:accPr>
                  <m:e>
                    <m:r>
                      <m:t xml:space="preserve">m</m:t>
                    </m:r>
                  </m:e>
                </m:acc>
              </m:e>
              <m:sub>
                <m:r>
                  <m:t xml:space="preserve">c</m:t>
                </m:r>
              </m:sub>
            </m:sSub>
            <m:r>
              <m:rPr>
                <m:nor/>
              </m:rPr>
              <m:t xml:space="preserve">  </m:t>
            </m:r>
            <m:sSub>
              <m:e>
                <m:r>
                  <m:t xml:space="preserve">c</m:t>
                </m:r>
              </m:e>
              <m:sub>
                <m:r>
                  <m:t xml:space="preserve">p</m:t>
                </m:r>
                <m:r>
                  <m:rPr>
                    <m:nor/>
                  </m:rPr>
                  <m:t xml:space="preserve">,</m:t>
                </m:r>
                <m:r>
                  <m:t xml:space="preserve">c</m:t>
                </m:r>
              </m:sub>
            </m:sSub>
            <m:r>
              <m:rPr>
                <m:nor/>
              </m:rPr>
              <m:t xml:space="preserve">(</m:t>
            </m:r>
            <m:sSub>
              <m:e>
                <m:r>
                  <m:t xml:space="preserve">T</m:t>
                </m:r>
              </m:e>
              <m:sub>
                <m:r>
                  <m:t xml:space="preserve">i</m:t>
                </m:r>
              </m:sub>
            </m:sSub>
            <m:r>
              <m:rPr>
                <m:nor/>
              </m:rPr>
              <m:t xml:space="preserve">)</m:t>
            </m:r>
          </m:den>
        </m:f>
      </m:oMath>
      <w:r>
        <w:rPr>
          <w:color w:val="5C6672"/>
          <w:sz w:val="19"/>
        </w:rPr>
        <w:tab/>
        <w:t>(27)</w:t>
      </w:r>
    </w:p>
    <w:p>
      <w:pPr>
        <w:pStyle w:val="Heading2"/>
      </w:pPr>
      <w:r>
        <w:t>7.2  Marche fluide réel (en enthalpie)</w:t>
      </w:r>
    </w:p>
    <w:p>
      <w:pPr>
        <w:tabs>
          <w:tab w:pos="4365" w:val="center"/>
          <w:tab w:pos="9298" w:val="right"/>
        </w:tabs>
        <w:spacing w:before="140" w:after="140"/>
      </w:pPr>
      <w:r>
        <w:tab/>
      </w:r>
      <m:oMath>
        <m:sSub>
          <m:e>
            <m:r>
              <m:t xml:space="preserve">h</m:t>
            </m:r>
          </m:e>
          <m:sub>
            <m:r>
              <m:t xml:space="preserve">i</m:t>
            </m:r>
            <m:r>
              <m:rPr>
                <m:nor/>
              </m:rPr>
              <m:t xml:space="preserve">+1</m:t>
            </m:r>
          </m:sub>
        </m:sSub>
        <m:r>
          <m:rPr>
            <m:nor/>
          </m:rPr>
          <m:t xml:space="preserve"> = </m:t>
        </m:r>
        <m:sSub>
          <m:e>
            <m:r>
              <m:t xml:space="preserve">h</m:t>
            </m:r>
          </m:e>
          <m:sub>
            <m:r>
              <m:t xml:space="preserve">i</m:t>
            </m:r>
          </m:sub>
        </m:sSub>
        <m:r>
          <m:rPr>
            <m:nor/>
          </m:rPr>
          <m:t xml:space="preserve"> + </m:t>
        </m:r>
        <m:f>
          <m:num>
            <m:r>
              <m:t xml:space="preserve">d</m:t>
            </m:r>
            <m:sSub>
              <m:e>
                <m:r>
                  <m:t xml:space="preserve">Q</m:t>
                </m:r>
              </m:e>
              <m:sub>
                <m:r>
                  <m:t xml:space="preserve">total</m:t>
                </m:r>
                <m:r>
                  <m:rPr>
                    <m:nor/>
                  </m:rPr>
                  <m:t xml:space="preserve">,</m:t>
                </m:r>
                <m:r>
                  <m:t xml:space="preserve">i</m:t>
                </m:r>
              </m:sub>
            </m:sSub>
          </m:num>
          <m:den>
            <m:sSub>
              <m:e>
                <m:acc>
                  <m:accPr>
                    <m:chr m:val="̇"/>
                  </m:accPr>
                  <m:e>
                    <m:r>
                      <m:t xml:space="preserve">m</m:t>
                    </m:r>
                  </m:e>
                </m:acc>
              </m:e>
              <m:sub>
                <m:r>
                  <m:t xml:space="preserve">c</m:t>
                </m:r>
              </m:sub>
            </m:sSub>
          </m:den>
        </m:f>
      </m:oMath>
      <w:r>
        <w:rPr>
          <w:color w:val="5C6672"/>
          <w:sz w:val="19"/>
        </w:rPr>
        <w:tab/>
        <w:t>(28)</w:t>
      </w:r>
    </w:p>
    <w:p>
      <w:pPr>
        <w:tabs>
          <w:tab w:pos="4365" w:val="center"/>
          <w:tab w:pos="9298" w:val="right"/>
        </w:tabs>
        <w:spacing w:before="140" w:after="140"/>
      </w:pPr>
      <w:r>
        <w:tab/>
      </w:r>
      <m:oMath>
        <m:sSub>
          <m:e>
            <m:r>
              <m:t xml:space="preserve">p</m:t>
            </m:r>
          </m:e>
          <m:sub>
            <m:r>
              <m:t xml:space="preserve">i</m:t>
            </m:r>
            <m:r>
              <m:rPr>
                <m:nor/>
              </m:rPr>
              <m:t xml:space="preserve">+1</m:t>
            </m:r>
          </m:sub>
        </m:sSub>
        <m:r>
          <m:rPr>
            <m:nor/>
          </m:rPr>
          <m:t xml:space="preserve"> = </m:t>
        </m:r>
        <m:r>
          <m:rPr>
            <m:nor/>
          </m:rPr>
          <m:t xml:space="preserve">max</m:t>
        </m:r>
        <m:r>
          <m:rPr>
            <m:nor/>
          </m:rPr>
          <m:t xml:space="preserve"> </m:t>
        </m:r>
        <m:d>
          <m:dPr>
            <m:begChr m:val="("/>
            <m:endChr m:val=")"/>
          </m:dPr>
          <m:e>
            <m:r>
              <m:rPr>
                <m:nor/>
              </m:rPr>
              <m:t xml:space="preserve"> </m:t>
            </m:r>
            <m:sSub>
              <m:e>
                <m:r>
                  <m:t xml:space="preserve">p</m:t>
                </m:r>
              </m:e>
              <m:sub>
                <m:r>
                  <m:t xml:space="preserve">i</m:t>
                </m:r>
              </m:sub>
            </m:sSub>
            <m:r>
              <m:rPr>
                <m:nor/>
              </m:rPr>
              <m:t xml:space="preserve"> - </m:t>
            </m:r>
            <m:r>
              <m:t xml:space="preserve">Δ</m:t>
            </m:r>
            <m:r>
              <m:rPr>
                <m:nor/>
              </m:rPr>
              <m:t xml:space="preserve"> </m:t>
            </m:r>
            <m:sSubSup>
              <m:e>
                <m:r>
                  <m:t xml:space="preserve">p</m:t>
                </m:r>
              </m:e>
              <m:sub>
                <m:r>
                  <m:t xml:space="preserve">i</m:t>
                </m:r>
              </m:sub>
              <m:sup>
                <m:r>
                  <m:t xml:space="preserve">lagged</m:t>
                </m:r>
              </m:sup>
            </m:sSubSup>
            <m:r>
              <m:rPr>
                <m:nor/>
              </m:rPr>
              <m:t xml:space="preserve">,  1 </m:t>
            </m:r>
          </m:e>
        </m:d>
      </m:oMath>
    </w:p>
    <w:p>
      <w:pPr>
        <w:tabs>
          <w:tab w:pos="4365" w:val="center"/>
          <w:tab w:pos="9298" w:val="right"/>
        </w:tabs>
        <w:spacing w:before="140" w:after="140"/>
      </w:pPr>
      <w:r>
        <w:tab/>
      </w:r>
      <m:oMath>
        <m:r>
          <m:rPr>
            <m:nor/>
          </m:rPr>
          <m:t xml:space="preserve">(</m:t>
        </m:r>
        <m:r>
          <m:t xml:space="preserve">T</m:t>
        </m:r>
        <m:r>
          <m:rPr>
            <m:nor/>
          </m:rPr>
          <m:t xml:space="preserve">, </m:t>
        </m:r>
        <m:r>
          <m:t xml:space="preserve">x</m:t>
        </m:r>
        <m:r>
          <m:rPr>
            <m:nor/>
          </m:rPr>
          <m:t xml:space="preserve">, </m:t>
        </m:r>
        <m:r>
          <m:t xml:space="preserve">α</m:t>
        </m:r>
        <m:sSub>
          <m:e>
            <m:r>
              <m:rPr>
                <m:nor/>
              </m:rPr>
              <m:t xml:space="preserve">)</m:t>
            </m:r>
          </m:e>
          <m:sub>
            <m:r>
              <m:t xml:space="preserve">i</m:t>
            </m:r>
          </m:sub>
        </m:sSub>
        <m:r>
          <m:rPr>
            <m:nor/>
          </m:rPr>
          <m:t xml:space="preserve"> = </m:t>
        </m:r>
        <m:sSub>
          <m:e>
            <m:r>
              <m:rPr>
                <m:nor/>
              </m:rPr>
              <m:t xml:space="preserve">flash</m:t>
            </m:r>
          </m:e>
          <m:sub>
            <m:r>
              <m:t xml:space="preserve">ph</m:t>
            </m:r>
          </m:sub>
        </m:sSub>
        <m:r>
          <m:rPr>
            <m:nor/>
          </m:rPr>
          <m:t xml:space="preserve">(</m:t>
        </m:r>
        <m:sSub>
          <m:e>
            <m:r>
              <m:t xml:space="preserve">p</m:t>
            </m:r>
          </m:e>
          <m:sub>
            <m:r>
              <m:t xml:space="preserve">i</m:t>
            </m:r>
          </m:sub>
        </m:sSub>
        <m:r>
          <m:rPr>
            <m:nor/>
          </m:rPr>
          <m:t xml:space="preserve">, </m:t>
        </m:r>
        <m:sSub>
          <m:e>
            <m:r>
              <m:t xml:space="preserve">h</m:t>
            </m:r>
          </m:e>
          <m:sub>
            <m:r>
              <m:t xml:space="preserve">i</m:t>
            </m:r>
          </m:sub>
        </m:sSub>
        <m:r>
          <m:rPr>
            <m:nor/>
          </m:rPr>
          <m:t xml:space="preserve">)</m:t>
        </m:r>
      </m:oMath>
    </w:p>
    <w:p>
      <w:pPr>
        <w:spacing w:before="160" w:after="160"/>
        <w:ind w:left="283"/>
        <w:pBdr>
          <w:left w:val="single" w:sz="18" w:space="10" w:color="9A5B12"/>
        </w:pBdr>
      </w:pPr>
      <w:r>
        <w:rPr>
          <w:rFonts w:ascii="Calibri Light" w:hAnsi="Calibri Light"/>
          <w:b/>
          <w:color w:val="9A5B12"/>
          <w:sz w:val="17"/>
        </w:rPr>
        <w:t xml:space="preserve">POURQUOI L'ENTHALPIE PLUTÔT QUE LA TEMPÉRATURE  </w:t>
      </w:r>
      <w:r>
        <w:rPr>
          <w:i w:val="0"/>
          <w:sz w:val="19"/>
        </w:rPr>
        <w:t xml:space="preserve">Une mise à jour en cp·ΔT n'a nulle part où placer la chaleur latente. Intégré en température, un réfrigérant en ébullition continuerait de monter au-delà de 1000 K au lieu de se bloquer près de la saturation le temps de se vaporiser. La distinction de fond porte sur la variable qui détermine l'état thermodynamique : en écoulement monophasique à pression fixée, h = h(T) est monotone et inversible, de sorte que les deux marches portent la même information. À l'intérieur du dôme, T = T_sat(p) est </w:t>
      </w:r>
      <w:r>
        <w:rPr>
          <w:b/>
          <w:i w:val="0"/>
          <w:sz w:val="19"/>
        </w:rPr>
        <w:t>dégénérée</w:t>
      </w:r>
      <w:r>
        <w:rPr>
          <w:i w:val="0"/>
          <w:sz w:val="19"/>
        </w:rPr>
        <w:t xml:space="preserve"> — identique en x = 0,1 et en x = 0,9 — si bien que la température ne peut plus représenter l'état, alors que le couple (p, h) le peut encore.</w:t>
      </w:r>
    </w:p>
    <w:p>
      <w:r>
        <w:rPr>
          <w:i w:val="0"/>
        </w:rPr>
        <w:t>La marche monophasique est une approximation d'Euler explicite de la marche en enthalpie, cp étant évalué à la température de début de maille. Elle est exacte à cp constant et d'ordre un sinon, l'erreur décroissant en 1/N. Pour l'Hélium, monoatomique et dont le cp est plat à environ 0,1 % près entre 300 K et 1400 K sous 80 bar, l'erreur sur la température de sortie qui en résulte est indécelable. La section 10 quantifie ce point par fluide.</w:t>
      </w:r>
    </w:p>
    <w:p>
      <w:pPr>
        <w:pStyle w:val="Heading2"/>
      </w:pPr>
      <w:r>
        <w:t>7.3  Marche en pression et retard d'une itération</w:t>
      </w:r>
    </w:p>
    <w:p>
      <w:r>
        <w:rPr>
          <w:i w:val="0"/>
        </w:rPr>
        <w:t xml:space="preserve">La perte de charge nodale employée en Eq. 28 provient du balayage </w:t>
      </w:r>
      <w:r>
        <w:rPr>
          <w:b/>
          <w:i w:val="0"/>
        </w:rPr>
        <w:t>précédent</w:t>
      </w:r>
      <w:r>
        <w:rPr>
          <w:i w:val="0"/>
        </w:rPr>
        <w:t>. Ce retard est inévitable : le profil de pression dépend du profil d'enthalpie par la masse volumique et le titre locaux, tandis que le profil d'enthalpie dépend du profil de pression par la température de saturation locale. Retarder l'un des deux brise la dépendance circulaire à l'ordre un dans l'itération de balayage, et le retard s'annule à convergence.</w:t>
      </w:r>
    </w:p>
    <w:p>
      <w:pPr>
        <w:pStyle w:val="Heading2"/>
      </w:pPr>
      <w:r>
        <w:t>7.4  Traitement de la limite de validité de l'équation d'état</w:t>
      </w:r>
    </w:p>
    <w:p>
      <w:r>
        <w:rPr>
          <w:i w:val="0"/>
        </w:rPr>
        <w:t>Un débit de réfrigérant très faible face à une forte puissance peut surchauffer le fluide au-delà du domaine de validité de la bibliothèque de propriétés. Il s'agit d'un cas physique limite réel et non d'une défaillance numérique. En cas d'échec du calcul d'état, le dernier triplet (état, enthalpie, pression) valide est figé pour le reste de la marche. Les trois doivent être figés ensemble : ne figer que l'état en laissant dériver enthalpie et pression provoquerait le même échec au balayage suivant, lorsque ces valeurs dérivées sont relues.</w:t>
      </w:r>
    </w:p>
    <w:p>
      <w:pPr>
        <w:pStyle w:val="Heading1"/>
      </w:pPr>
      <w:r>
        <w:t>8.  Itération externe (balayage prédictif)</w:t>
      </w:r>
    </w:p>
    <w:p>
      <w:pPr>
        <w:spacing w:before="160" w:after="80"/>
        <w:jc w:val="center"/>
      </w:pPr>
      <w:r>
        <w:drawing>
          <wp:inline xmlns:a="http://schemas.openxmlformats.org/drawingml/2006/main" xmlns:pic="http://schemas.openxmlformats.org/drawingml/2006/picture">
            <wp:extent cx="5832000" cy="2062111"/>
            <wp:docPr id="2" name="Picture 2"/>
            <wp:cNvGraphicFramePr>
              <a:graphicFrameLocks noChangeAspect="1"/>
            </wp:cNvGraphicFramePr>
            <a:graphic>
              <a:graphicData uri="http://schemas.openxmlformats.org/drawingml/2006/picture">
                <pic:pic>
                  <pic:nvPicPr>
                    <pic:cNvPr id="0" name="fig_sweep.png"/>
                    <pic:cNvPicPr/>
                  </pic:nvPicPr>
                  <pic:blipFill>
                    <a:blip r:embed="rId10"/>
                    <a:stretch>
                      <a:fillRect/>
                    </a:stretch>
                  </pic:blipFill>
                  <pic:spPr>
                    <a:xfrm>
                      <a:off x="0" y="0"/>
                      <a:ext cx="5832000" cy="2062111"/>
                    </a:xfrm>
                    <a:prstGeom prst="rect"/>
                  </pic:spPr>
                </pic:pic>
              </a:graphicData>
            </a:graphic>
          </wp:inline>
        </w:drawing>
      </w:r>
    </w:p>
    <w:p>
      <w:pPr>
        <w:spacing w:after="220"/>
        <w:jc w:val="left"/>
      </w:pPr>
      <w:r>
        <w:rPr>
          <w:b/>
          <w:sz w:val="18"/>
        </w:rPr>
        <w:t xml:space="preserve">Figure 2.  </w:t>
      </w:r>
      <w:r>
        <w:rPr>
          <w:i w:val="0"/>
          <w:color w:val="5C6672"/>
          <w:sz w:val="18"/>
        </w:rPr>
        <w:t>Le balayage prédictif. Les deux marches échangent un champ de puissance vers l'aval et un champ de température vers l'amont. Trois entrées de fermeture ne peuvent être évaluées avant la marche qui les produit et sont donc consommées avec un balayage de retard.</w:t>
      </w:r>
    </w:p>
    <w:p>
      <w:r>
        <w:rPr>
          <w:i w:val="0"/>
        </w:rPr>
        <w:t>Les deux marches sont refermées par une itération de point fixe (Picard) sous-relaxée :</w:t>
      </w:r>
    </w:p>
    <w:p>
      <w:pPr>
        <w:tabs>
          <w:tab w:pos="4365" w:val="center"/>
          <w:tab w:pos="9298" w:val="right"/>
        </w:tabs>
        <w:spacing w:before="140" w:after="140"/>
      </w:pPr>
      <w:r>
        <w:tab/>
      </w:r>
      <m:oMath>
        <m:r>
          <m:t xml:space="preserve">tube</m:t>
        </m:r>
        <m:r>
          <m:rPr>
            <m:nor/>
          </m:rPr>
          <m:t xml:space="preserve"> ← </m:t>
        </m:r>
        <m:r>
          <m:rPr>
            <m:nor/>
          </m:rPr>
          <m:t xml:space="preserve">march</m:t>
        </m:r>
        <m:r>
          <m:rPr>
            <m:nor/>
          </m:rPr>
          <m:t xml:space="preserve">(</m:t>
        </m:r>
        <m:sSubSup>
          <m:e>
            <m:r>
              <m:t xml:space="preserve">T</m:t>
            </m:r>
          </m:e>
          <m:sub>
            <m:r>
              <m:t xml:space="preserve">shell</m:t>
            </m:r>
          </m:sub>
          <m:sup>
            <m:r>
              <m:rPr>
                <m:nor/>
              </m:rPr>
              <m:t xml:space="preserve">(</m:t>
            </m:r>
            <m:r>
              <m:t xml:space="preserve">k</m:t>
            </m:r>
            <m:r>
              <m:rPr>
                <m:nor/>
              </m:rPr>
              <m:t xml:space="preserve">)</m:t>
            </m:r>
          </m:sup>
        </m:sSubSup>
        <m:r>
          <m:rPr>
            <m:nor/>
          </m:rPr>
          <m:t xml:space="preserve">)</m:t>
        </m:r>
      </m:oMath>
      <w:r>
        <w:rPr>
          <w:color w:val="5C6672"/>
          <w:sz w:val="19"/>
        </w:rPr>
        <w:tab/>
        <w:t>(29)</w:t>
      </w:r>
    </w:p>
    <w:p>
      <w:pPr>
        <w:tabs>
          <w:tab w:pos="4365" w:val="center"/>
          <w:tab w:pos="9298" w:val="right"/>
        </w:tabs>
        <w:spacing w:before="140" w:after="140"/>
      </w:pPr>
      <w:r>
        <w:tab/>
      </w:r>
      <m:oMath>
        <m:sSub>
          <m:e>
            <m:r>
              <m:t xml:space="preserve">T</m:t>
            </m:r>
          </m:e>
          <m:sub>
            <m:r>
              <m:t xml:space="preserve">new</m:t>
            </m:r>
          </m:sub>
        </m:sSub>
        <m:r>
          <m:rPr>
            <m:nor/>
          </m:rPr>
          <m:t xml:space="preserve"> ← </m:t>
        </m:r>
        <m:r>
          <m:rPr>
            <m:nor/>
          </m:rPr>
          <m:t xml:space="preserve">shell march</m:t>
        </m:r>
        <m:r>
          <m:rPr>
            <m:nor/>
          </m:rPr>
          <m:t xml:space="preserve">(</m:t>
        </m:r>
        <m:r>
          <m:t xml:space="preserve">dQ</m:t>
        </m:r>
        <m:r>
          <m:rPr>
            <m:nor/>
          </m:rPr>
          <m:t xml:space="preserve">)</m:t>
        </m:r>
      </m:oMath>
    </w:p>
    <w:p>
      <w:pPr>
        <w:tabs>
          <w:tab w:pos="4365" w:val="center"/>
          <w:tab w:pos="9298" w:val="right"/>
        </w:tabs>
        <w:spacing w:before="140" w:after="140"/>
      </w:pPr>
      <w:r>
        <w:tab/>
      </w:r>
      <m:oMath>
        <m:r>
          <m:t xml:space="preserve">δ</m:t>
        </m:r>
        <m:r>
          <m:rPr>
            <m:nor/>
          </m:rPr>
          <m:t xml:space="preserve"> = </m:t>
        </m:r>
        <m:r>
          <m:rPr>
            <m:nor/>
          </m:rPr>
          <m:t xml:space="preserve">max</m:t>
        </m:r>
        <m:r>
          <m:rPr>
            <m:nor/>
          </m:rPr>
          <m:t xml:space="preserve"> </m:t>
        </m:r>
        <m:d>
          <m:dPr>
            <m:begChr m:val="|"/>
            <m:endChr m:val="|"/>
          </m:dPr>
          <m:e>
            <m:r>
              <m:rPr>
                <m:nor/>
              </m:rPr>
              <m:t xml:space="preserve"> </m:t>
            </m:r>
            <m:sSub>
              <m:e>
                <m:r>
                  <m:t xml:space="preserve">T</m:t>
                </m:r>
              </m:e>
              <m:sub>
                <m:r>
                  <m:t xml:space="preserve">new</m:t>
                </m:r>
              </m:sub>
            </m:sSub>
            <m:r>
              <m:rPr>
                <m:nor/>
              </m:rPr>
              <m:t xml:space="preserve"> - </m:t>
            </m:r>
            <m:sSubSup>
              <m:e>
                <m:r>
                  <m:t xml:space="preserve">T</m:t>
                </m:r>
              </m:e>
              <m:sub>
                <m:r>
                  <m:t xml:space="preserve">shell</m:t>
                </m:r>
              </m:sub>
              <m:sup>
                <m:r>
                  <m:rPr>
                    <m:nor/>
                  </m:rPr>
                  <m:t xml:space="preserve">(</m:t>
                </m:r>
                <m:r>
                  <m:t xml:space="preserve">k</m:t>
                </m:r>
                <m:r>
                  <m:rPr>
                    <m:nor/>
                  </m:rPr>
                  <m:t xml:space="preserve">)</m:t>
                </m:r>
              </m:sup>
            </m:sSubSup>
            <m:r>
              <m:rPr>
                <m:nor/>
              </m:rPr>
              <m:t xml:space="preserve"> </m:t>
            </m:r>
          </m:e>
        </m:d>
      </m:oMath>
    </w:p>
    <w:p>
      <w:pPr>
        <w:tabs>
          <w:tab w:pos="4365" w:val="center"/>
          <w:tab w:pos="9298" w:val="right"/>
        </w:tabs>
        <w:spacing w:before="140" w:after="140"/>
      </w:pPr>
      <w:r>
        <w:tab/>
      </w:r>
      <m:oMath>
        <m:sSubSup>
          <m:e>
            <m:r>
              <m:t xml:space="preserve">T</m:t>
            </m:r>
          </m:e>
          <m:sub>
            <m:r>
              <m:t xml:space="preserve">shell</m:t>
            </m:r>
          </m:sub>
          <m:sup>
            <m:r>
              <m:rPr>
                <m:nor/>
              </m:rPr>
              <m:t xml:space="preserve">(</m:t>
            </m:r>
            <m:r>
              <m:t xml:space="preserve">k</m:t>
            </m:r>
            <m:r>
              <m:rPr>
                <m:nor/>
              </m:rPr>
              <m:t xml:space="preserve">+1)</m:t>
            </m:r>
          </m:sup>
        </m:sSubSup>
        <m:r>
          <m:rPr>
            <m:nor/>
          </m:rPr>
          <m:t xml:space="preserve"> = (1-</m:t>
        </m:r>
        <m:r>
          <m:t xml:space="preserve">ω</m:t>
        </m:r>
        <m:r>
          <m:rPr>
            <m:nor/>
          </m:rPr>
          <m:t xml:space="preserve">) </m:t>
        </m:r>
        <m:sSubSup>
          <m:e>
            <m:r>
              <m:t xml:space="preserve">T</m:t>
            </m:r>
          </m:e>
          <m:sub>
            <m:r>
              <m:t xml:space="preserve">shell</m:t>
            </m:r>
          </m:sub>
          <m:sup>
            <m:r>
              <m:rPr>
                <m:nor/>
              </m:rPr>
              <m:t xml:space="preserve">(</m:t>
            </m:r>
            <m:r>
              <m:t xml:space="preserve">k</m:t>
            </m:r>
            <m:r>
              <m:rPr>
                <m:nor/>
              </m:rPr>
              <m:t xml:space="preserve">)</m:t>
            </m:r>
          </m:sup>
        </m:sSubSup>
        <m:r>
          <m:rPr>
            <m:nor/>
          </m:rPr>
          <m:t xml:space="preserve"> + </m:t>
        </m:r>
        <m:r>
          <m:t xml:space="preserve">ω</m:t>
        </m:r>
        <m:r>
          <m:rPr>
            <m:nor/>
          </m:rPr>
          <m:t xml:space="preserve">  </m:t>
        </m:r>
        <m:sSub>
          <m:e>
            <m:r>
              <m:t xml:space="preserve">T</m:t>
            </m:r>
          </m:e>
          <m:sub>
            <m:r>
              <m:t xml:space="preserve">new</m:t>
            </m:r>
          </m:sub>
        </m:sSub>
      </m:oMath>
    </w:p>
    <w:p>
      <w:r>
        <w:rPr>
          <w:i w:val="0"/>
        </w:rPr>
        <w:t>L'itération se poursuit jusqu'à δ &lt; 0,05 K, dans la limite de 25 balayages. La sous-relaxation à ω = 0,5 est fonctionnellement nécessaire et non cosmétique : le couplage est raide, le coefficient d'échange côté réfrigérant dépendant de la température de calandre, qui dépend de la puissance, qui dépend à son tour du coefficient d'échange. Une mise à jour non relaxée oscille ou diverge, en particulier au passage de la transition d'ébullition où la sensibilité du coefficient d'échange à la température de calandre est maximale.</w:t>
      </w:r>
    </w:p>
    <w:p>
      <w:pPr>
        <w:pStyle w:val="Heading2"/>
      </w:pPr>
      <w:r>
        <w:t>8.1  Grandeurs de fermeture retardées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color="auto" w:fill="EDEFF2"/>
          </w:tcPr>
          <w:p>
            <w:pPr>
              <w:spacing w:after="40"/>
            </w:pPr>
            <w:r/>
            <w:r>
              <w:rPr>
                <w:rFonts w:ascii="Calibri Light" w:hAnsi="Calibri Light"/>
                <w:b/>
                <w:sz w:val="17"/>
              </w:rPr>
              <w:t>Grandeur</w:t>
            </w:r>
          </w:p>
        </w:tc>
        <w:tc>
          <w:tcPr>
            <w:tcW w:type="dxa" w:w="3061"/>
            <w:shd w:val="clear" w:color="auto" w:fill="EDEFF2"/>
          </w:tcPr>
          <w:p>
            <w:pPr>
              <w:spacing w:after="40"/>
            </w:pPr>
            <w:r/>
            <w:r>
              <w:rPr>
                <w:rFonts w:ascii="Calibri Light" w:hAnsi="Calibri Light"/>
                <w:b/>
                <w:sz w:val="17"/>
              </w:rPr>
              <w:t>Consommée par</w:t>
            </w:r>
          </w:p>
        </w:tc>
        <w:tc>
          <w:tcPr>
            <w:tcW w:type="dxa" w:w="1474"/>
            <w:shd w:val="clear" w:color="auto" w:fill="EDEFF2"/>
          </w:tcPr>
          <w:p>
            <w:pPr>
              <w:spacing w:after="40"/>
            </w:pPr>
            <w:r/>
            <w:r>
              <w:rPr>
                <w:rFonts w:ascii="Calibri Light" w:hAnsi="Calibri Light"/>
                <w:b/>
                <w:sz w:val="17"/>
              </w:rPr>
              <w:t>Amorcée à</w:t>
            </w:r>
          </w:p>
        </w:tc>
        <w:tc>
          <w:tcPr>
            <w:tcW w:type="dxa" w:w="3288"/>
            <w:shd w:val="clear" w:color="auto" w:fill="EDEFF2"/>
          </w:tcPr>
          <w:p>
            <w:pPr>
              <w:spacing w:after="40"/>
            </w:pPr>
            <w:r/>
            <w:r>
              <w:rPr>
                <w:rFonts w:ascii="Calibri Light" w:hAnsi="Calibri Light"/>
                <w:b/>
                <w:sz w:val="17"/>
              </w:rPr>
              <w:t>Raison du retard</w:t>
            </w:r>
          </w:p>
        </w:tc>
      </w:tr>
      <w:tr>
        <w:tc>
          <w:tcPr>
            <w:tcW w:type="dxa" w:w="1474"/>
          </w:tcPr>
          <w:p>
            <w:pPr>
              <w:spacing w:after="40"/>
            </w:pPr>
            <w:r/>
            <w:r>
              <w:rPr>
                <w:rFonts w:ascii="Consolas" w:hAnsi="Consolas"/>
                <w:sz w:val="17"/>
              </w:rPr>
              <w:t>q″_w</w:t>
            </w:r>
          </w:p>
        </w:tc>
        <w:tc>
          <w:tcPr>
            <w:tcW w:type="dxa" w:w="3061"/>
          </w:tcPr>
          <w:p>
            <w:pPr>
              <w:spacing w:after="40"/>
            </w:pPr>
            <w:r/>
            <w:r>
              <w:rPr>
                <w:i w:val="0"/>
                <w:sz w:val="18"/>
              </w:rPr>
              <w:t>Terme en nombre d'ébullition de Gungor-Winterton</w:t>
            </w:r>
          </w:p>
        </w:tc>
        <w:tc>
          <w:tcPr>
            <w:tcW w:type="dxa" w:w="1474"/>
          </w:tcPr>
          <w:p>
            <w:pPr>
              <w:spacing w:after="40"/>
            </w:pPr>
            <w:r/>
            <w:r>
              <w:rPr>
                <w:i w:val="0"/>
                <w:sz w:val="18"/>
              </w:rPr>
              <w:t>0</w:t>
            </w:r>
          </w:p>
        </w:tc>
        <w:tc>
          <w:tcPr>
            <w:tcW w:type="dxa" w:w="3288"/>
          </w:tcPr>
          <w:p>
            <w:pPr>
              <w:spacing w:after="40"/>
            </w:pPr>
            <w:r/>
            <w:r>
              <w:rPr>
                <w:i w:val="0"/>
                <w:sz w:val="18"/>
              </w:rPr>
              <w:t>Le flux pariétal est une sortie de la marche côté tubes dont la fermeture côté calandre a besoin en entrée</w:t>
            </w:r>
          </w:p>
        </w:tc>
      </w:tr>
      <w:tr>
        <w:tc>
          <w:tcPr>
            <w:tcW w:type="dxa" w:w="1474"/>
          </w:tcPr>
          <w:p>
            <w:pPr>
              <w:spacing w:after="40"/>
            </w:pPr>
            <w:r/>
            <w:r>
              <w:rPr>
                <w:rFonts w:ascii="Consolas" w:hAnsi="Consolas"/>
                <w:sz w:val="17"/>
              </w:rPr>
              <w:t>Δp par nœud</w:t>
            </w:r>
          </w:p>
        </w:tc>
        <w:tc>
          <w:tcPr>
            <w:tcW w:type="dxa" w:w="3061"/>
          </w:tcPr>
          <w:p>
            <w:pPr>
              <w:spacing w:after="40"/>
            </w:pPr>
            <w:r/>
            <w:r>
              <w:rPr>
                <w:i w:val="0"/>
                <w:sz w:val="18"/>
              </w:rPr>
              <w:t>Marche en pression côté calandre</w:t>
            </w:r>
          </w:p>
        </w:tc>
        <w:tc>
          <w:tcPr>
            <w:tcW w:type="dxa" w:w="1474"/>
          </w:tcPr>
          <w:p>
            <w:pPr>
              <w:spacing w:after="40"/>
            </w:pPr>
            <w:r/>
            <w:r>
              <w:rPr>
                <w:i w:val="0"/>
                <w:sz w:val="18"/>
              </w:rPr>
              <w:t>0</w:t>
            </w:r>
          </w:p>
        </w:tc>
        <w:tc>
          <w:tcPr>
            <w:tcW w:type="dxa" w:w="3288"/>
          </w:tcPr>
          <w:p>
            <w:pPr>
              <w:spacing w:after="40"/>
            </w:pPr>
            <w:r/>
            <w:r>
              <w:rPr>
                <w:i w:val="0"/>
                <w:sz w:val="18"/>
              </w:rPr>
              <w:t>Les profils de pression et d'enthalpie sont mutuellement dépendants</w:t>
            </w:r>
          </w:p>
        </w:tc>
      </w:tr>
      <w:tr>
        <w:tc>
          <w:tcPr>
            <w:tcW w:type="dxa" w:w="1474"/>
          </w:tcPr>
          <w:p>
            <w:pPr>
              <w:spacing w:after="40"/>
            </w:pPr>
            <w:r/>
            <w:r>
              <w:rPr>
                <w:rFonts w:ascii="Consolas" w:hAnsi="Consolas"/>
                <w:sz w:val="17"/>
              </w:rPr>
              <w:t>T_wc</w:t>
            </w:r>
          </w:p>
        </w:tc>
        <w:tc>
          <w:tcPr>
            <w:tcW w:type="dxa" w:w="3061"/>
          </w:tcPr>
          <w:p>
            <w:pPr>
              <w:spacing w:after="40"/>
            </w:pPr>
            <w:r/>
            <w:r>
              <w:rPr>
                <w:i w:val="0"/>
                <w:sz w:val="18"/>
              </w:rPr>
              <w:t>Rapport de propriétés des fermetures supercritiques ; terme de Sieder-Tate de Bell-Delaware</w:t>
            </w:r>
          </w:p>
        </w:tc>
        <w:tc>
          <w:tcPr>
            <w:tcW w:type="dxa" w:w="1474"/>
          </w:tcPr>
          <w:p>
            <w:pPr>
              <w:spacing w:after="40"/>
            </w:pPr>
            <w:r/>
            <w:r>
              <w:rPr>
                <w:i w:val="0"/>
                <w:sz w:val="18"/>
              </w:rPr>
              <w:t>T d'entrée réfrigérant</w:t>
            </w:r>
          </w:p>
        </w:tc>
        <w:tc>
          <w:tcPr>
            <w:tcW w:type="dxa" w:w="3288"/>
          </w:tcPr>
          <w:p>
            <w:pPr>
              <w:spacing w:after="40"/>
            </w:pPr>
            <w:r/>
            <w:r>
              <w:rPr>
                <w:i w:val="0"/>
                <w:sz w:val="18"/>
              </w:rPr>
              <w:t>La température de paroi côté réfrigérant est une sortie de la résolution de paroi</w:t>
            </w:r>
          </w:p>
        </w:tc>
      </w:tr>
    </w:tbl>
    <w:p>
      <w:pPr>
        <w:spacing w:after="220"/>
        <w:jc w:val="left"/>
      </w:pPr>
      <w:r>
        <w:rPr>
          <w:b/>
          <w:sz w:val="18"/>
        </w:rPr>
        <w:t xml:space="preserve">Table 6.  </w:t>
      </w:r>
      <w:r>
        <w:rPr>
          <w:i w:val="0"/>
          <w:color w:val="5C6672"/>
          <w:sz w:val="18"/>
        </w:rPr>
        <w:t>Grandeurs retardées d'un balayage. Toutes sont amorcées de façon neutre et convergent vers la cohérence lorsque δ → 0.</w:t>
      </w:r>
    </w:p>
    <w:p>
      <w:pPr>
        <w:pStyle w:val="Heading2"/>
      </w:pPr>
      <w:r>
        <w:t>8.2  Initialisation</w:t>
      </w:r>
    </w:p>
    <w:p>
      <w:pPr>
        <w:spacing w:before="160" w:after="160"/>
        <w:ind w:left="283"/>
        <w:pBdr>
          <w:left w:val="single" w:sz="18" w:space="10" w:color="146C7E"/>
        </w:pBdr>
      </w:pPr>
      <w:r>
        <w:rPr>
          <w:rFonts w:ascii="Calibri Light" w:hAnsi="Calibri Light"/>
          <w:b/>
          <w:color w:val="146C7E"/>
          <w:sz w:val="17"/>
        </w:rPr>
        <w:t xml:space="preserve">L'AMORÇAGE DIFFÈRE SELON LE MODÈLE DE RÉFRIGÉRANT  </w:t>
      </w:r>
      <w:r>
        <w:rPr>
          <w:i w:val="0"/>
          <w:sz w:val="19"/>
        </w:rPr>
        <w:t>Le mode monophasique peut amorcer le champ de calandre par un profil linéaire entre les deux entrées imposées. Le mode fluide réel ne le peut pas : une température de sortie réfrigérant imposée n'a pas de sens lorsque le fluide peut être diphasique, car à l'intérieur du dôme T et p ne sont pas indépendantes et un unique couple (T, p) ne peut représenter l'état. Le mode fluide réel amorce donc uniformément à la condition d'entrée sous-refroidie physique.</w:t>
      </w:r>
    </w:p>
    <w:p>
      <w:pPr>
        <w:pStyle w:val="Heading2"/>
      </w:pPr>
      <w:r>
        <w:t>8.3  Comportement en convergence</w:t>
      </w:r>
    </w:p>
    <w:p>
      <w:r>
        <w:rPr>
          <w:i w:val="0"/>
        </w:rPr>
        <w:t>La convergence est monotone pour les cas monophasiques bien conditionnés. Au voisinage d'une transition d'ébullition, l'itération peut au contraire s'installer dans un cycle limite d'amplitude de l'ordre de 0,5 à 1 K sans amener δ sous la tolérance. La valeur de sortie restituée est stable à l'intérieur de cette bande, mais il s'agit d'une véritable non-convergence, signalée comme telle plutôt qu'acceptée silencieusement. Lorsqu'un point de fonctionnement présente ce comportement, il convient de le consigner avec le résultat.</w:t>
      </w:r>
    </w:p>
    <w:p>
      <w:pPr>
        <w:pStyle w:val="Heading2"/>
      </w:pPr>
      <w:r>
        <w:t>8.4  Bilan énergétique global</w:t>
      </w:r>
    </w:p>
    <w:p>
      <w:pPr>
        <w:tabs>
          <w:tab w:pos="4365" w:val="center"/>
          <w:tab w:pos="9298" w:val="right"/>
        </w:tabs>
        <w:spacing w:before="140" w:after="140"/>
      </w:pPr>
      <w:r>
        <w:tab/>
      </w:r>
      <m:oMath>
        <m:sSub>
          <m:e>
            <m:r>
              <m:t xml:space="preserve">Q</m:t>
            </m:r>
          </m:e>
          <m:sub>
            <m:r>
              <m:t xml:space="preserve">tot</m:t>
            </m:r>
          </m:sub>
        </m:sSub>
        <m:r>
          <m:rPr>
            <m:nor/>
          </m:rPr>
          <m:t xml:space="preserve"> = </m:t>
        </m:r>
        <m:nary>
          <m:naryPr>
            <m:chr m:val="∑"/>
            <m:limLoc m:val="undOvr"/>
            <m:supHide m:val="1"/>
          </m:naryPr>
          <m:sub>
            <m:r>
              <m:t xml:space="preserve">i</m:t>
            </m:r>
          </m:sub>
          <m:sup/>
          <m:e>
            <m:r>
              <m:rPr>
                <m:nor/>
              </m:rPr>
              <m:t xml:space="preserve"> </m:t>
            </m:r>
            <m:r>
              <m:t xml:space="preserve">d</m:t>
            </m:r>
            <m:sSub>
              <m:e>
                <m:r>
                  <m:t xml:space="preserve">Q</m:t>
                </m:r>
              </m:e>
              <m:sub>
                <m:r>
                  <m:t xml:space="preserve">i</m:t>
                </m:r>
              </m:sub>
            </m:sSub>
            <m:r>
              <m:rPr>
                <m:nor/>
              </m:rPr>
              <m:t xml:space="preserve">  </m:t>
            </m:r>
            <m:sSub>
              <m:e>
                <m:r>
                  <m:t xml:space="preserve">N</m:t>
                </m:r>
              </m:e>
              <m:sub>
                <m:r>
                  <m:t xml:space="preserve">tubes</m:t>
                </m:r>
              </m:sub>
            </m:sSub>
            <m:r>
              <m:rPr>
                <m:nor/>
              </m:rPr>
              <m:t xml:space="preserve"> </m:t>
            </m:r>
          </m:e>
        </m:nary>
      </m:oMath>
      <w:r>
        <w:rPr>
          <w:color w:val="5C6672"/>
          <w:sz w:val="19"/>
        </w:rPr>
        <w:tab/>
        <w:t>(30)</w:t>
      </w:r>
    </w:p>
    <w:p>
      <w:r>
        <w:rPr>
          <w:i w:val="0"/>
        </w:rPr>
        <w:t>Le côté gaz est toujours intégré en enthalpie : la puissance retranchée à son bilan est donc exactement celle qui traverse la paroi. Que le côté réfrigérant se referme exactement dépend de la marche de la section 7 employée :</w:t>
      </w:r>
    </w:p>
    <w:p>
      <w:pPr>
        <w:pStyle w:val="ListBullet"/>
        <w:spacing w:after="60"/>
        <w:ind w:left="397"/>
      </w:pPr>
      <w:r>
        <w:rPr>
          <w:b/>
          <w:i w:val="0"/>
        </w:rPr>
        <w:t>Mode fluide réel (enthalpie) — exact par construction.</w:t>
      </w:r>
      <w:r>
        <w:rPr>
          <w:i w:val="0"/>
        </w:rPr>
        <w:t xml:space="preserve"> L'enthalpie étant la variable intégrée, le réfrigérant absorbe précisément la puissance sommée, par définition. Aucune erreur de fermeture n'existe à surveiller.</w:t>
      </w:r>
    </w:p>
    <w:p>
      <w:pPr>
        <w:pStyle w:val="ListBullet"/>
        <w:spacing w:after="60"/>
        <w:ind w:left="397"/>
      </w:pPr>
      <w:r>
        <w:rPr>
          <w:b/>
          <w:i w:val="0"/>
        </w:rPr>
        <w:t>Mode monophasique (température) — d'ordre un.</w:t>
      </w:r>
      <w:r>
        <w:rPr>
          <w:i w:val="0"/>
        </w:rPr>
        <w:t xml:space="preserve"> La température est accumulée avec cp évalué en début de maille : l'élévation d'enthalpie vraie et la puissance sommée diffèrent donc en général. L'écart est nul à cp constant et décroît en 1/N.</w:t>
      </w:r>
    </w:p>
    <w:p>
      <w:r>
        <w:rPr>
          <w:i w:val="0"/>
        </w:rPr>
        <w:t>Dans aucun des deux cas il n'y a de dérive d'intégration temporelle à accumuler, ce qui explique que le solveur stationnaire ne porte pas de diagnostic de résidu énergétique, contrairement aux solveurs transitoires où un tel diagnostic est indispensable.</w:t>
      </w:r>
    </w:p>
    <w:p>
      <w:pPr>
        <w:pStyle w:val="Heading1"/>
      </w:pPr>
      <w:r>
        <w:t>9.  Vérification mécanique</w:t>
      </w:r>
    </w:p>
    <w:p>
      <w:r>
        <w:rPr>
          <w:i w:val="0"/>
        </w:rPr>
        <w:t xml:space="preserve">Le chargement des tubes dans cette configuration est l'inverse de celui d'un canal régénératif : le réfrigérant haute pression entoure les tubes tandis que le gaz, à pression comparativement basse, circule à l'intérieur. Les tubes sont donc sous pression </w:t>
      </w:r>
      <w:r>
        <w:rPr>
          <w:b/>
          <w:i w:val="0"/>
        </w:rPr>
        <w:t>externe</w:t>
      </w:r>
      <w:r>
        <w:rPr>
          <w:i w:val="0"/>
        </w:rPr>
        <w:t xml:space="preserve"> et le mode de ruine considéré est le flambage élastique et non l'éclatement. Cette vérification est appelée séparément du calcul thermique.</w:t>
      </w:r>
    </w:p>
    <w:p>
      <w:pPr>
        <w:tabs>
          <w:tab w:pos="4365" w:val="center"/>
          <w:tab w:pos="9298" w:val="right"/>
        </w:tabs>
        <w:spacing w:before="140" w:after="140"/>
      </w:pPr>
      <w:r>
        <w:tab/>
      </w:r>
      <m:oMath>
        <m:r>
          <m:t xml:space="preserve">Δ</m:t>
        </m:r>
        <m:r>
          <m:rPr>
            <m:nor/>
          </m:rPr>
          <m:t xml:space="preserve"> </m:t>
        </m:r>
        <m:sSub>
          <m:e>
            <m:r>
              <m:t xml:space="preserve">P</m:t>
            </m:r>
          </m:e>
          <m:sub>
            <m:r>
              <m:t xml:space="preserve">ext</m:t>
            </m:r>
          </m:sub>
        </m:sSub>
        <m:r>
          <m:rPr>
            <m:nor/>
          </m:rPr>
          <m:t xml:space="preserve"> = </m:t>
        </m:r>
        <m:sSub>
          <m:e>
            <m:r>
              <m:t xml:space="preserve">p</m:t>
            </m:r>
          </m:e>
          <m:sub>
            <m:r>
              <m:t xml:space="preserve">c</m:t>
            </m:r>
            <m:r>
              <m:rPr>
                <m:nor/>
              </m:rPr>
              <m:t xml:space="preserve">,</m:t>
            </m:r>
            <m:r>
              <m:t xml:space="preserve">in</m:t>
            </m:r>
          </m:sub>
        </m:sSub>
        <m:r>
          <m:rPr>
            <m:nor/>
          </m:rPr>
          <m:t xml:space="preserve"> - </m:t>
        </m:r>
        <m:sSub>
          <m:e>
            <m:r>
              <m:t xml:space="preserve">p</m:t>
            </m:r>
          </m:e>
          <m:sub>
            <m:r>
              <m:rPr>
                <m:nor/>
              </m:rPr>
              <m:t xml:space="preserve">0</m:t>
            </m:r>
          </m:sub>
        </m:sSub>
      </m:oMath>
      <w:r>
        <w:rPr>
          <w:color w:val="5C6672"/>
          <w:sz w:val="19"/>
        </w:rPr>
        <w:tab/>
        <w:t>(31)</w:t>
      </w:r>
    </w:p>
    <w:p>
      <w:pPr>
        <w:tabs>
          <w:tab w:pos="4365" w:val="center"/>
          <w:tab w:pos="9298" w:val="right"/>
        </w:tabs>
        <w:spacing w:before="140" w:after="140"/>
      </w:pPr>
      <w:r>
        <w:tab/>
      </w:r>
      <m:oMath>
        <m:sSub>
          <m:e>
            <m:r>
              <m:t xml:space="preserve">σ</m:t>
            </m:r>
          </m:e>
          <m:sub>
            <m:r>
              <m:t xml:space="preserve">ext</m:t>
            </m:r>
          </m:sub>
        </m:sSub>
        <m:r>
          <m:rPr>
            <m:nor/>
          </m:rPr>
          <m:t xml:space="preserve"> = </m:t>
        </m:r>
        <m:sSub>
          <m:e>
            <m:r>
              <m:t xml:space="preserve">σ</m:t>
            </m:r>
          </m:e>
          <m:sub>
            <m:r>
              <m:t xml:space="preserve">ext</m:t>
            </m:r>
          </m:sub>
        </m:sSub>
        <m:r>
          <m:rPr>
            <m:nor/>
          </m:rPr>
          <m:t xml:space="preserve">(</m:t>
        </m:r>
        <m:r>
          <m:t xml:space="preserve">Δ</m:t>
        </m:r>
        <m:r>
          <m:rPr>
            <m:nor/>
          </m:rPr>
          <m:t xml:space="preserve"> </m:t>
        </m:r>
        <m:sSub>
          <m:e>
            <m:r>
              <m:t xml:space="preserve">P</m:t>
            </m:r>
          </m:e>
          <m:sub>
            <m:r>
              <m:t xml:space="preserve">ext</m:t>
            </m:r>
          </m:sub>
        </m:sSub>
        <m:r>
          <m:rPr>
            <m:nor/>
          </m:rPr>
          <m:t xml:space="preserve">, </m:t>
        </m:r>
        <m:sSub>
          <m:e>
            <m:r>
              <m:t xml:space="preserve">s</m:t>
            </m:r>
          </m:e>
          <m:sub>
            <m:r>
              <m:t xml:space="preserve">w</m:t>
            </m:r>
          </m:sub>
        </m:sSub>
        <m:r>
          <m:rPr>
            <m:nor/>
          </m:rPr>
          <m:t xml:space="preserve">, </m:t>
        </m:r>
        <m:sSub>
          <m:e>
            <m:r>
              <m:t xml:space="preserve">D</m:t>
            </m:r>
          </m:e>
          <m:sub>
            <m:r>
              <m:t xml:space="preserve">i</m:t>
            </m:r>
          </m:sub>
        </m:sSub>
        <m:r>
          <m:rPr>
            <m:nor/>
          </m:rPr>
          <m:t xml:space="preserve">)</m:t>
        </m:r>
      </m:oMath>
    </w:p>
    <w:p>
      <w:pPr>
        <w:tabs>
          <w:tab w:pos="4365" w:val="center"/>
          <w:tab w:pos="9298" w:val="right"/>
        </w:tabs>
        <w:spacing w:before="140" w:after="140"/>
      </w:pPr>
      <w:r>
        <w:tab/>
      </w:r>
      <m:oMath>
        <m:sSub>
          <m:e>
            <m:r>
              <m:t xml:space="preserve">P</m:t>
            </m:r>
          </m:e>
          <m:sub>
            <m:r>
              <m:t xml:space="preserve">cr</m:t>
            </m:r>
          </m:sub>
        </m:sSub>
        <m:r>
          <m:rPr>
            <m:nor/>
          </m:rPr>
          <m:t xml:space="preserve"> = </m:t>
        </m:r>
        <m:sSub>
          <m:e>
            <m:r>
              <m:t xml:space="preserve">P</m:t>
            </m:r>
          </m:e>
          <m:sub>
            <m:r>
              <m:t xml:space="preserve">cr</m:t>
            </m:r>
          </m:sub>
        </m:sSub>
        <m:r>
          <m:rPr>
            <m:nor/>
          </m:rPr>
          <m:t xml:space="preserve">(</m:t>
        </m:r>
        <m:r>
          <m:t xml:space="preserve">E</m:t>
        </m:r>
        <m:r>
          <m:rPr>
            <m:nor/>
          </m:rPr>
          <m:t xml:space="preserve">(</m:t>
        </m:r>
        <m:bar>
          <m:barPr>
            <m:pos m:val="top"/>
          </m:barPr>
          <m:e>
            <m:r>
              <m:t xml:space="preserve">T</m:t>
            </m:r>
          </m:e>
        </m:bar>
        <m:r>
          <m:rPr>
            <m:nor/>
          </m:rPr>
          <m:t xml:space="preserve">), </m:t>
        </m:r>
        <m:sSub>
          <m:e>
            <m:r>
              <m:t xml:space="preserve">s</m:t>
            </m:r>
          </m:e>
          <m:sub>
            <m:r>
              <m:t xml:space="preserve">w</m:t>
            </m:r>
          </m:sub>
        </m:sSub>
        <m:r>
          <m:rPr>
            <m:nor/>
          </m:rPr>
          <m:t xml:space="preserve">, </m:t>
        </m:r>
        <m:sSub>
          <m:e>
            <m:r>
              <m:t xml:space="preserve">D</m:t>
            </m:r>
          </m:e>
          <m:sub>
            <m:r>
              <m:t xml:space="preserve">i</m:t>
            </m:r>
          </m:sub>
        </m:sSub>
        <m:r>
          <m:rPr>
            <m:nor/>
          </m:rPr>
          <m:t xml:space="preserve">, </m:t>
        </m:r>
        <m:r>
          <m:t xml:space="preserve">ν</m:t>
        </m:r>
        <m:r>
          <m:rPr>
            <m:nor/>
          </m:rPr>
          <m:t xml:space="preserve">)</m:t>
        </m:r>
      </m:oMath>
    </w:p>
    <w:p>
      <w:pPr>
        <w:tabs>
          <w:tab w:pos="4365" w:val="center"/>
          <w:tab w:pos="9298" w:val="right"/>
        </w:tabs>
        <w:spacing w:before="140" w:after="140"/>
      </w:pPr>
      <w:r>
        <w:tab/>
      </w:r>
      <m:oMath>
        <m:r>
          <m:rPr>
            <m:nor/>
          </m:rPr>
          <m:t xml:space="preserve">marge de flambage</m:t>
        </m:r>
        <m:r>
          <m:rPr>
            <m:nor/>
          </m:rPr>
          <m:t xml:space="preserve"> = </m:t>
        </m:r>
        <m:f>
          <m:num>
            <m:d>
              <m:dPr>
                <m:begChr m:val="|"/>
                <m:endChr m:val="|"/>
              </m:dPr>
              <m:e>
                <m:r>
                  <m:rPr>
                    <m:nor/>
                  </m:rPr>
                  <m:t xml:space="preserve"> </m:t>
                </m:r>
                <m:r>
                  <m:t xml:space="preserve">Δ</m:t>
                </m:r>
                <m:r>
                  <m:rPr>
                    <m:nor/>
                  </m:rPr>
                  <m:t xml:space="preserve"> </m:t>
                </m:r>
                <m:sSub>
                  <m:e>
                    <m:r>
                      <m:t xml:space="preserve">P</m:t>
                    </m:r>
                  </m:e>
                  <m:sub>
                    <m:r>
                      <m:t xml:space="preserve">ext</m:t>
                    </m:r>
                  </m:sub>
                </m:sSub>
                <m:r>
                  <m:rPr>
                    <m:nor/>
                  </m:rPr>
                  <m:t xml:space="preserve"> </m:t>
                </m:r>
              </m:e>
            </m:d>
          </m:num>
          <m:den>
            <m:sSub>
              <m:e>
                <m:r>
                  <m:t xml:space="preserve">P</m:t>
                </m:r>
              </m:e>
              <m:sub>
                <m:r>
                  <m:t xml:space="preserve">cr</m:t>
                </m:r>
              </m:sub>
            </m:sSub>
          </m:den>
        </m:f>
        <m:r>
          <m:rPr>
            <m:nor/>
          </m:rPr>
          <m:t xml:space="preserve">   &lt; 1  </m:t>
        </m:r>
        <m:r>
          <m:rPr>
            <m:nor/>
          </m:rPr>
          <m:t xml:space="preserve"> pour la sécurité</m:t>
        </m:r>
      </m:oMath>
    </w:p>
    <w:p>
      <w:r>
        <w:rPr>
          <w:i w:val="0"/>
        </w:rPr>
        <w:t>Le module d'Young est évalué à la moyenne de la température de paroi côté gaz maximale et de la température de paroi côté réfrigérant minimale, converties en degrés Celsius, les tables de propriétés matériaux étant en °C alors que le solveur est par ailleurs entièrement en unités SI.</w:t>
      </w:r>
    </w:p>
    <w:p>
      <w:pPr>
        <w:spacing w:before="160" w:after="160"/>
        <w:ind w:left="283"/>
        <w:pBdr>
          <w:left w:val="single" w:sz="18" w:space="10" w:color="9A5B12"/>
        </w:pBdr>
      </w:pPr>
      <w:r>
        <w:rPr>
          <w:rFonts w:ascii="Calibri Light" w:hAnsi="Calibri Light"/>
          <w:b/>
          <w:color w:val="9A5B12"/>
          <w:sz w:val="17"/>
        </w:rPr>
        <w:t xml:space="preserve">EXTRAPOLATION AU-DELÀ DU DOMAINE CARACTÉRISÉ  </w:t>
      </w:r>
      <w:r>
        <w:rPr>
          <w:i w:val="0"/>
          <w:sz w:val="19"/>
        </w:rPr>
        <w:t>Les données de l'Inconel 718 couvrent −240 °C à 760 °C (1033,15 K). Au-delà, la courbe de limite d'élasticité est écrêtée à plat plutôt qu'extrapolée par une loi matériau physique : un rapport de contrainte calculé à 1100 K, par exemple, est arithmétiquement bien formé mais physiquement non étayé. La température de paroi maximale doit toujours être restituée à côté de la marge de flambage afin que cette condition reste visible.</w:t>
      </w:r>
    </w:p>
    <w:p>
      <w:pPr>
        <w:pStyle w:val="Heading1"/>
      </w:pPr>
      <w:r>
        <w:t>10.  Application à l'Hélium, au LN₂/N₂ et à l'Eau</w:t>
      </w:r>
    </w:p>
    <w:p>
      <w:r>
        <w:rPr>
          <w:i w:val="0"/>
        </w:rPr>
        <w:t>Les trois réfrigérants considérés sollicitent des branches différentes du modèle. La structure côté gaz, la paroi et l'itération sont identiques dans les trois cas ; seules la fermeture côté calandre et la variable d'intégration énergétique diffèrent. Cette section fait le lien entre le cadre exposé ci-dessus et les résultats restitués.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247"/>
            <w:shd w:val="clear" w:color="auto" w:fill="EDEFF2"/>
          </w:tcPr>
          <w:p>
            <w:pPr>
              <w:spacing w:after="40"/>
            </w:pPr>
            <w:r/>
            <w:r>
              <w:rPr>
                <w:rFonts w:ascii="Calibri Light" w:hAnsi="Calibri Light"/>
                <w:b/>
                <w:sz w:val="17"/>
              </w:rPr>
              <w:t>Réfrigérant</w:t>
            </w:r>
          </w:p>
        </w:tc>
        <w:tc>
          <w:tcPr>
            <w:tcW w:type="dxa" w:w="2494"/>
            <w:shd w:val="clear" w:color="auto" w:fill="EDEFF2"/>
          </w:tcPr>
          <w:p>
            <w:pPr>
              <w:spacing w:after="40"/>
            </w:pPr>
            <w:r/>
            <w:r>
              <w:rPr>
                <w:rFonts w:ascii="Calibri Light" w:hAnsi="Calibri Light"/>
                <w:b/>
                <w:sz w:val="17"/>
              </w:rPr>
              <w:t>Régime typique au point de fonctionnement</w:t>
            </w:r>
          </w:p>
        </w:tc>
        <w:tc>
          <w:tcPr>
            <w:tcW w:type="dxa" w:w="1928"/>
            <w:shd w:val="clear" w:color="auto" w:fill="EDEFF2"/>
          </w:tcPr>
          <w:p>
            <w:pPr>
              <w:spacing w:after="40"/>
            </w:pPr>
            <w:r/>
            <w:r>
              <w:rPr>
                <w:rFonts w:ascii="Calibri Light" w:hAnsi="Calibri Light"/>
                <w:b/>
                <w:sz w:val="17"/>
              </w:rPr>
              <w:t>Fermeture côté calandre</w:t>
            </w:r>
          </w:p>
        </w:tc>
        <w:tc>
          <w:tcPr>
            <w:tcW w:type="dxa" w:w="1247"/>
            <w:shd w:val="clear" w:color="auto" w:fill="EDEFF2"/>
          </w:tcPr>
          <w:p>
            <w:pPr>
              <w:spacing w:after="40"/>
            </w:pPr>
            <w:r/>
            <w:r>
              <w:rPr>
                <w:rFonts w:ascii="Calibri Light" w:hAnsi="Calibri Light"/>
                <w:b/>
                <w:sz w:val="17"/>
              </w:rPr>
              <w:t>Marche énergétique</w:t>
            </w:r>
          </w:p>
        </w:tc>
        <w:tc>
          <w:tcPr>
            <w:tcW w:type="dxa" w:w="2381"/>
            <w:shd w:val="clear" w:color="auto" w:fill="EDEFF2"/>
          </w:tcPr>
          <w:p>
            <w:pPr>
              <w:spacing w:after="40"/>
            </w:pPr>
            <w:r/>
            <w:r>
              <w:rPr>
                <w:rFonts w:ascii="Calibri Light" w:hAnsi="Calibri Light"/>
                <w:b/>
                <w:sz w:val="17"/>
              </w:rPr>
              <w:t>Statut</w:t>
            </w:r>
          </w:p>
        </w:tc>
      </w:tr>
      <w:tr>
        <w:tc>
          <w:tcPr>
            <w:tcW w:type="dxa" w:w="1247"/>
          </w:tcPr>
          <w:p>
            <w:pPr>
              <w:spacing w:after="40"/>
            </w:pPr>
            <w:r/>
            <w:r>
              <w:rPr>
                <w:i w:val="0"/>
                <w:sz w:val="18"/>
              </w:rPr>
              <w:t>Hélium</w:t>
            </w:r>
          </w:p>
        </w:tc>
        <w:tc>
          <w:tcPr>
            <w:tcW w:type="dxa" w:w="2494"/>
          </w:tcPr>
          <w:p>
            <w:pPr>
              <w:spacing w:after="40"/>
            </w:pPr>
            <w:r/>
            <w:r>
              <w:rPr>
                <w:i w:val="0"/>
                <w:sz w:val="18"/>
              </w:rPr>
              <w:t>Monophasique sur toute la longueur, très au-dessus de la pression critique mais au comportement de type gaz (T_pc = 11,4 K face à une marche de 300 à 1400 K)</w:t>
            </w:r>
          </w:p>
        </w:tc>
        <w:tc>
          <w:tcPr>
            <w:tcW w:type="dxa" w:w="1928"/>
          </w:tcPr>
          <w:p>
            <w:pPr>
              <w:spacing w:after="40"/>
            </w:pPr>
            <w:r/>
            <w:r>
              <w:rPr>
                <w:i w:val="0"/>
                <w:sz w:val="18"/>
              </w:rPr>
              <w:t>Bell-Delaware</w:t>
            </w:r>
          </w:p>
        </w:tc>
        <w:tc>
          <w:tcPr>
            <w:tcW w:type="dxa" w:w="1247"/>
          </w:tcPr>
          <w:p>
            <w:pPr>
              <w:spacing w:after="40"/>
            </w:pPr>
            <w:r/>
            <w:r>
              <w:rPr>
                <w:i w:val="0"/>
                <w:sz w:val="18"/>
              </w:rPr>
              <w:t>Eq. 27</w:t>
            </w:r>
          </w:p>
        </w:tc>
        <w:tc>
          <w:tcPr>
            <w:tcW w:type="dxa" w:w="2381"/>
          </w:tcPr>
          <w:p>
            <w:pPr>
              <w:spacing w:after="40"/>
            </w:pPr>
            <w:r/>
            <w:r>
              <w:rPr>
                <w:b/>
                <w:i w:val="0"/>
                <w:sz w:val="18"/>
              </w:rPr>
              <w:t>Référence.</w:t>
            </w:r>
            <w:r>
              <w:rPr>
                <w:i w:val="0"/>
                <w:sz w:val="18"/>
              </w:rPr>
              <w:t xml:space="preserve"> Le cp est plat à environ 0,1 % près sur la plage de fonctionnement : la marche en température est numériquement indiscernable d'une marche en enthalpie.</w:t>
            </w:r>
          </w:p>
        </w:tc>
      </w:tr>
      <w:tr>
        <w:tc>
          <w:tcPr>
            <w:tcW w:type="dxa" w:w="1247"/>
          </w:tcPr>
          <w:p>
            <w:pPr>
              <w:spacing w:after="40"/>
            </w:pPr>
            <w:r/>
            <w:r>
              <w:rPr>
                <w:i w:val="0"/>
                <w:sz w:val="18"/>
              </w:rPr>
              <w:t>LN₂ / N₂ supercritique</w:t>
            </w:r>
          </w:p>
        </w:tc>
        <w:tc>
          <w:tcPr>
            <w:tcW w:type="dxa" w:w="2494"/>
          </w:tcPr>
          <w:p>
            <w:pPr>
              <w:spacing w:after="40"/>
            </w:pPr>
            <w:r/>
            <w:r>
              <w:rPr>
                <w:i w:val="0"/>
                <w:sz w:val="18"/>
              </w:rPr>
              <w:t>Supercritique sur toute la longueur, p_crit ≈ 34 bar. Titre non défini ; fluide dense de type liquide. T_pc = 147,8 K, mélange à 100-124 K, paroi à 164 K.</w:t>
            </w:r>
          </w:p>
        </w:tc>
        <w:tc>
          <w:tcPr>
            <w:tcW w:type="dxa" w:w="1928"/>
          </w:tcPr>
          <w:p>
            <w:pPr>
              <w:spacing w:after="40"/>
            </w:pPr>
            <w:r/>
            <w:r>
              <w:rPr>
                <w:i w:val="0"/>
                <w:sz w:val="18"/>
              </w:rPr>
              <w:t>Fermeture à rapport de propriétés (McCarthy-Wolf / Taylor) là où l'intervalle mélange-paroi atteint la bande pseudo-critique ; Bell-Delaware ailleurs</w:t>
            </w:r>
          </w:p>
        </w:tc>
        <w:tc>
          <w:tcPr>
            <w:tcW w:type="dxa" w:w="1247"/>
          </w:tcPr>
          <w:p>
            <w:pPr>
              <w:spacing w:after="40"/>
            </w:pPr>
            <w:r/>
            <w:r>
              <w:rPr>
                <w:i w:val="0"/>
                <w:sz w:val="18"/>
              </w:rPr>
              <w:t>Eq. 28</w:t>
            </w:r>
          </w:p>
        </w:tc>
        <w:tc>
          <w:tcPr>
            <w:tcW w:type="dxa" w:w="2381"/>
          </w:tcPr>
          <w:p>
            <w:pPr>
              <w:spacing w:after="40"/>
            </w:pPr>
            <w:r/>
            <w:r>
              <w:rPr>
                <w:b/>
                <w:i w:val="0"/>
                <w:sz w:val="18"/>
              </w:rPr>
              <w:t>Sensibilité bornée.</w:t>
            </w:r>
            <w:r>
              <w:rPr>
                <w:i w:val="0"/>
                <w:sz w:val="18"/>
              </w:rPr>
              <w:t xml:space="preserve"> Les corrélations supercritiques restent des calages en tube droit appliqués à un écoulement transversal, mais substituer Bell-Delaware ne déplace Q_tot que de 1 % (le film réfrigérant ne représente que 0,58 % de la résistance totale) ; la température de paroi porte environ 54 K d'incertitude.</w:t>
            </w:r>
          </w:p>
        </w:tc>
      </w:tr>
      <w:tr>
        <w:tc>
          <w:tcPr>
            <w:tcW w:type="dxa" w:w="1247"/>
          </w:tcPr>
          <w:p>
            <w:pPr>
              <w:spacing w:after="40"/>
            </w:pPr>
            <w:r/>
            <w:r>
              <w:rPr>
                <w:i w:val="0"/>
                <w:sz w:val="18"/>
              </w:rPr>
              <w:t>Eau</w:t>
            </w:r>
          </w:p>
        </w:tc>
        <w:tc>
          <w:tcPr>
            <w:tcW w:type="dxa" w:w="2494"/>
          </w:tcPr>
          <w:p>
            <w:pPr>
              <w:spacing w:after="40"/>
            </w:pPr>
            <w:r/>
            <w:r>
              <w:rPr>
                <w:i w:val="0"/>
                <w:sz w:val="18"/>
              </w:rPr>
              <w:t>Traverse le liquide sous-refroidi, le dôme diphasique et la vapeur surchauffée au sein d'un même échangeur lorsque le dimensionnement vise une sortie vapeur.</w:t>
            </w:r>
          </w:p>
        </w:tc>
        <w:tc>
          <w:tcPr>
            <w:tcW w:type="dxa" w:w="1928"/>
          </w:tcPr>
          <w:p>
            <w:pPr>
              <w:spacing w:after="40"/>
            </w:pPr>
            <w:r/>
            <w:r>
              <w:rPr>
                <w:i w:val="0"/>
                <w:sz w:val="18"/>
              </w:rPr>
              <w:t>Bell-Delaware → Gungor-Winterton → Bell-Delaware, avec raccordement à l'entrée du dôme</w:t>
            </w:r>
          </w:p>
        </w:tc>
        <w:tc>
          <w:tcPr>
            <w:tcW w:type="dxa" w:w="1247"/>
          </w:tcPr>
          <w:p>
            <w:pPr>
              <w:spacing w:after="40"/>
            </w:pPr>
            <w:r/>
            <w:r>
              <w:rPr>
                <w:i w:val="0"/>
                <w:sz w:val="18"/>
              </w:rPr>
              <w:t>Eq. 28</w:t>
            </w:r>
          </w:p>
        </w:tc>
        <w:tc>
          <w:tcPr>
            <w:tcW w:type="dxa" w:w="2381"/>
          </w:tcPr>
          <w:p>
            <w:pPr>
              <w:spacing w:after="40"/>
            </w:pPr>
            <w:r/>
            <w:r>
              <w:rPr>
                <w:b/>
                <w:i w:val="0"/>
                <w:sz w:val="18"/>
              </w:rPr>
              <w:t>Partiellement validé.</w:t>
            </w:r>
            <w:r>
              <w:rPr>
                <w:i w:val="0"/>
                <w:sz w:val="18"/>
              </w:rPr>
              <w:t xml:space="preserve"> Les corrélations d'ébullition sont validées dans la littérature pour l'écoulement en tube ; l'intensification de l'ébullition par l'écoulement transversal est réelle et non modélisée.</w:t>
            </w:r>
          </w:p>
        </w:tc>
      </w:tr>
    </w:tbl>
    <w:p>
      <w:pPr>
        <w:spacing w:after="220"/>
        <w:jc w:val="left"/>
      </w:pPr>
      <w:r>
        <w:rPr>
          <w:b/>
          <w:sz w:val="18"/>
        </w:rPr>
        <w:t xml:space="preserve">Table 7.  </w:t>
      </w:r>
      <w:r>
        <w:rPr>
          <w:i w:val="0"/>
          <w:color w:val="5C6672"/>
          <w:sz w:val="18"/>
        </w:rPr>
        <w:t>Chemins de modèle par réfrigérant. La réserve commune aux deux cas fluide réel est que Gungor-Winterton, Müller-Steinhagen-Heck et les fermetures supercritiques à rapport de propriétés sont toutes des corrélations d'écoulement en tube appliquées à un écoulement transversal côté calandre.</w:t>
      </w:r>
    </w:p>
    <w:p>
      <w:pPr>
        <w:spacing w:before="160" w:after="160"/>
        <w:ind w:left="283"/>
        <w:pBdr>
          <w:left w:val="single" w:sz="18" w:space="10" w:color="9A5B12"/>
        </w:pBdr>
      </w:pPr>
      <w:r>
        <w:rPr>
          <w:rFonts w:ascii="Calibri Light" w:hAnsi="Calibri Light"/>
          <w:b/>
          <w:color w:val="9A5B12"/>
          <w:sz w:val="17"/>
        </w:rPr>
        <w:t xml:space="preserve">INTENSIFICATION DE L'ÉBULLITION EN ÉCOULEMENT TRANSVERSAL  </w:t>
      </w:r>
      <w:r>
        <w:rPr>
          <w:i w:val="0"/>
          <w:sz w:val="19"/>
        </w:rPr>
        <w:t xml:space="preserve">L'écoulement transversal côté calandre autour d'un faisceau intensifie l'échange en ébullition par rapport à un écoulement interne en tube, par des mécanismes qu'aucune des corrélations employées ici ne représente. Le modèle est donc attendu </w:t>
      </w:r>
      <w:r>
        <w:rPr>
          <w:b/>
          <w:i w:val="0"/>
          <w:sz w:val="19"/>
        </w:rPr>
        <w:t>conservatif</w:t>
      </w:r>
      <w:r>
        <w:rPr>
          <w:i w:val="0"/>
          <w:sz w:val="19"/>
        </w:rPr>
        <w:t xml:space="preserve"> sur le coefficient d'échange côté réfrigérant dans les branches diphasique et supercritique. Il s'agit d'un point ouvert connu, et non d'un oubli de modélisation ; il est signalé par le solveur à l'exécution plutôt que laissé silencieux.</w:t>
      </w:r>
    </w:p>
    <w:p>
      <w:pPr>
        <w:pStyle w:val="Heading1"/>
      </w:pPr>
      <w:r>
        <w:t>11.  Hypothèses et domaine de validité</w:t>
      </w:r>
    </w:p>
    <w:tbl>
      <w:tblPr>
        <w:tblStyle w:val="TableGrid"/>
        <w:tblW w:type="auto" w:w="0"/>
        <w:jc w:val="center"/>
        <w:tblLook w:firstColumn="1" w:firstRow="1" w:lastColumn="0" w:lastRow="0" w:noHBand="0" w:noVBand="1" w:val="04A0"/>
      </w:tblPr>
      <w:tblGrid>
        <w:gridCol w:w="3099"/>
        <w:gridCol w:w="3099"/>
        <w:gridCol w:w="3099"/>
      </w:tblGrid>
      <w:tr>
        <w:tc>
          <w:tcPr>
            <w:tcW w:type="dxa" w:w="2835"/>
            <w:shd w:val="clear" w:color="auto" w:fill="EDEFF2"/>
          </w:tcPr>
          <w:p>
            <w:pPr>
              <w:spacing w:after="40"/>
            </w:pPr>
            <w:r/>
            <w:r>
              <w:rPr>
                <w:rFonts w:ascii="Calibri Light" w:hAnsi="Calibri Light"/>
                <w:b/>
                <w:sz w:val="17"/>
              </w:rPr>
              <w:t>Hypothèse</w:t>
            </w:r>
          </w:p>
        </w:tc>
        <w:tc>
          <w:tcPr>
            <w:tcW w:type="dxa" w:w="3175"/>
            <w:shd w:val="clear" w:color="auto" w:fill="EDEFF2"/>
          </w:tcPr>
          <w:p>
            <w:pPr>
              <w:spacing w:after="40"/>
            </w:pPr>
            <w:r/>
            <w:r>
              <w:rPr>
                <w:rFonts w:ascii="Calibri Light" w:hAnsi="Calibri Light"/>
                <w:b/>
                <w:sz w:val="17"/>
              </w:rPr>
              <w:t>Justification</w:t>
            </w:r>
          </w:p>
        </w:tc>
        <w:tc>
          <w:tcPr>
            <w:tcW w:type="dxa" w:w="3288"/>
            <w:shd w:val="clear" w:color="auto" w:fill="EDEFF2"/>
          </w:tcPr>
          <w:p>
            <w:pPr>
              <w:spacing w:after="40"/>
            </w:pPr>
            <w:r/>
            <w:r>
              <w:rPr>
                <w:rFonts w:ascii="Calibri Light" w:hAnsi="Calibri Light"/>
                <w:b/>
                <w:sz w:val="17"/>
              </w:rPr>
              <w:t>Où elle devient significative</w:t>
            </w:r>
          </w:p>
        </w:tc>
      </w:tr>
      <w:tr>
        <w:tc>
          <w:tcPr>
            <w:tcW w:type="dxa" w:w="2835"/>
          </w:tcPr>
          <w:p>
            <w:pPr>
              <w:spacing w:after="40"/>
            </w:pPr>
            <w:r/>
            <w:r>
              <w:rPr>
                <w:i w:val="0"/>
                <w:sz w:val="18"/>
              </w:rPr>
              <w:t>Le rapport de fuite aux chicanes r_lm de Bell-Delaware est très au-delà du domaine de calage</w:t>
            </w:r>
          </w:p>
        </w:tc>
        <w:tc>
          <w:tcPr>
            <w:tcW w:type="dxa" w:w="3175"/>
          </w:tcPr>
          <w:p>
            <w:pPr>
              <w:spacing w:after="40"/>
            </w:pPr>
            <w:r/>
            <w:r>
              <w:rPr>
                <w:i w:val="0"/>
                <w:sz w:val="18"/>
              </w:rPr>
              <w:t>r_lm = (S_sb+S_tb)/S_m = 6,5 sur cette géométrie, contre un domaine de calage de l'ordre de r_lm ≤ 1 : l'aire de jeu tube-chicane (17,7 cm²) vaut 6,5 fois l'aire de passage transversale (2,9 cm²)</w:t>
            </w:r>
          </w:p>
        </w:tc>
        <w:tc>
          <w:tcPr>
            <w:tcW w:type="dxa" w:w="3288"/>
          </w:tcPr>
          <w:p>
            <w:pPr>
              <w:spacing w:after="40"/>
            </w:pPr>
            <w:r/>
            <w:r>
              <w:rPr>
                <w:b/>
                <w:i w:val="0"/>
                <w:sz w:val="18"/>
              </w:rPr>
              <w:t>Les deux corrections de fuite sont extrapolées</w:t>
            </w:r>
            <w:r>
              <w:rPr>
                <w:i w:val="0"/>
                <w:sz w:val="18"/>
              </w:rPr>
              <w:t xml:space="preserve"> : J_l = 0,41 sur l'échange thermique et R_l = 0,009 sur la perte de charge. R_l écrase les termes transversal et de fenêtre, laissant le terme d'extrémité non corrigé dominer une perte de charge globale d'environ 288 bar. La perte de charge côté calandre issue de Bell-Delaware est </w:t>
            </w:r>
            <w:r>
              <w:rPr>
                <w:b/>
                <w:i w:val="0"/>
                <w:sz w:val="18"/>
              </w:rPr>
              <w:t>inutilisable</w:t>
            </w:r>
            <w:r>
              <w:rPr>
                <w:i w:val="0"/>
                <w:sz w:val="18"/>
              </w:rPr>
              <w:t xml:space="preserve"> sur cette géométrie ; les pressions de sortie restituées proviennent du modèle de gradient local. Concerne tout résultat Bell-Delaware, y compris la référence Hélium. Signalé à l'exécution.</w:t>
            </w:r>
          </w:p>
        </w:tc>
      </w:tr>
      <w:tr>
        <w:tc>
          <w:tcPr>
            <w:tcW w:type="dxa" w:w="2835"/>
          </w:tcPr>
          <w:p>
            <w:pPr>
              <w:spacing w:after="40"/>
            </w:pPr>
            <w:r/>
            <w:r>
              <w:rPr>
                <w:i w:val="0"/>
                <w:sz w:val="18"/>
              </w:rPr>
              <w:t>Les fermetures diphasique et supercritique sont des corrélations en tube appliquées à un écoulement transversal</w:t>
            </w:r>
          </w:p>
        </w:tc>
        <w:tc>
          <w:tcPr>
            <w:tcW w:type="dxa" w:w="3175"/>
          </w:tcPr>
          <w:p>
            <w:pPr>
              <w:spacing w:after="40"/>
            </w:pPr>
            <w:r/>
            <w:r>
              <w:rPr>
                <w:i w:val="0"/>
                <w:sz w:val="18"/>
              </w:rPr>
              <w:t>Aucune fermeture d'ébullition ou supercritique validée en écoulement transversal côté calandre n'est disponible</w:t>
            </w:r>
          </w:p>
        </w:tc>
        <w:tc>
          <w:tcPr>
            <w:tcW w:type="dxa" w:w="3288"/>
          </w:tcPr>
          <w:p>
            <w:pPr>
              <w:spacing w:after="40"/>
            </w:pPr>
            <w:r/>
            <w:r>
              <w:rPr>
                <w:i w:val="0"/>
                <w:sz w:val="18"/>
              </w:rPr>
              <w:t>Tout cas diphasique côté calandre. Pour le point supercritique N₂, la sensibilité a été mesurée : substituer Bell-Delaware change h_c d'un facteur 3 mais Q_tot de 1 % seulement, le film réfrigérant ne portant que 0,58 % de la résistance thermique totale (film gaz 95,2 %, paroi 4,2 %). La température de paroi porte environ 54 K d'incertitude de fermeture.</w:t>
            </w:r>
          </w:p>
        </w:tc>
      </w:tr>
      <w:tr>
        <w:tc>
          <w:tcPr>
            <w:tcW w:type="dxa" w:w="2835"/>
          </w:tcPr>
          <w:p>
            <w:pPr>
              <w:spacing w:after="40"/>
            </w:pPr>
            <w:r/>
            <w:r>
              <w:rPr>
                <w:i w:val="0"/>
                <w:sz w:val="18"/>
              </w:rPr>
              <w:t>Perte de charge côté calandre répartie uniformément sur les nœuds axiaux (branche monophasique)</w:t>
            </w:r>
          </w:p>
        </w:tc>
        <w:tc>
          <w:tcPr>
            <w:tcW w:type="dxa" w:w="3175"/>
          </w:tcPr>
          <w:p>
            <w:pPr>
              <w:spacing w:after="40"/>
            </w:pPr>
            <w:r/>
            <w:r>
              <w:rPr>
                <w:i w:val="0"/>
                <w:sz w:val="18"/>
              </w:rPr>
              <w:t>Bell-Delaware restitue une perte de charge globale de faisceau ; une répartition chicane par chicane exigerait de redériver ses termes par traversée</w:t>
            </w:r>
          </w:p>
        </w:tc>
        <w:tc>
          <w:tcPr>
            <w:tcW w:type="dxa" w:w="3288"/>
          </w:tcPr>
          <w:p>
            <w:pPr>
              <w:spacing w:after="40"/>
            </w:pPr>
            <w:r/>
            <w:r>
              <w:rPr>
                <w:i w:val="0"/>
                <w:sz w:val="18"/>
              </w:rPr>
              <w:t>Lorsque la température de saturation locale importe et que la perte de charge réelle est fortement non uniforme axialement</w:t>
            </w:r>
          </w:p>
        </w:tc>
      </w:tr>
      <w:tr>
        <w:tc>
          <w:tcPr>
            <w:tcW w:type="dxa" w:w="2835"/>
          </w:tcPr>
          <w:p>
            <w:pPr>
              <w:spacing w:after="40"/>
            </w:pPr>
            <w:r/>
            <w:r>
              <w:rPr>
                <w:i w:val="0"/>
                <w:sz w:val="18"/>
              </w:rPr>
              <w:t>Grandeurs de fermeture retardées d'un balayage (q″_w, Δp, T_wc)</w:t>
            </w:r>
          </w:p>
        </w:tc>
        <w:tc>
          <w:tcPr>
            <w:tcW w:type="dxa" w:w="3175"/>
          </w:tcPr>
          <w:p>
            <w:pPr>
              <w:spacing w:after="40"/>
            </w:pPr>
            <w:r/>
            <w:r>
              <w:rPr>
                <w:i w:val="0"/>
                <w:sz w:val="18"/>
              </w:rPr>
              <w:t>Brise une dépendance autrement circulaire entre les deux marches</w:t>
            </w:r>
          </w:p>
        </w:tc>
        <w:tc>
          <w:tcPr>
            <w:tcW w:type="dxa" w:w="3288"/>
          </w:tcPr>
          <w:p>
            <w:pPr>
              <w:spacing w:after="40"/>
            </w:pPr>
            <w:r/>
            <w:r>
              <w:rPr>
                <w:i w:val="0"/>
                <w:sz w:val="18"/>
              </w:rPr>
              <w:t>Ordre un dans le balayage ; s'annule à convergence mais contribue au cyclage limite lorsque la convergence stagne</w:t>
            </w:r>
          </w:p>
        </w:tc>
      </w:tr>
      <w:tr>
        <w:tc>
          <w:tcPr>
            <w:tcW w:type="dxa" w:w="2835"/>
          </w:tcPr>
          <w:p>
            <w:pPr>
              <w:spacing w:after="40"/>
            </w:pPr>
            <w:r/>
            <w:r>
              <w:rPr>
                <w:i w:val="0"/>
                <w:sz w:val="18"/>
              </w:rPr>
              <w:t>La pression du gaz n'est pas réinjectée dans la masse volumique du gaz</w:t>
            </w:r>
          </w:p>
        </w:tc>
        <w:tc>
          <w:tcPr>
            <w:tcW w:type="dxa" w:w="3175"/>
          </w:tcPr>
          <w:p>
            <w:pPr>
              <w:spacing w:after="40"/>
            </w:pPr>
            <w:r/>
            <w:r>
              <w:rPr>
                <w:i w:val="0"/>
                <w:sz w:val="18"/>
              </w:rPr>
              <w:t>La table FPV est construite à une pression de référence fixe</w:t>
            </w:r>
          </w:p>
        </w:tc>
        <w:tc>
          <w:tcPr>
            <w:tcW w:type="dxa" w:w="3288"/>
          </w:tcPr>
          <w:p>
            <w:pPr>
              <w:spacing w:after="40"/>
            </w:pPr>
            <w:r/>
            <w:r>
              <w:rPr>
                <w:i w:val="0"/>
                <w:sz w:val="18"/>
              </w:rPr>
              <w:t>Seulement si le nombre de Mach du gaz s'élève nettement au-dessus du plafond de dimensionnement de 0,3</w:t>
            </w:r>
          </w:p>
        </w:tc>
      </w:tr>
      <w:tr>
        <w:tc>
          <w:tcPr>
            <w:tcW w:type="dxa" w:w="2835"/>
          </w:tcPr>
          <w:p>
            <w:pPr>
              <w:spacing w:after="40"/>
            </w:pPr>
            <w:r/>
            <w:r>
              <w:rPr>
                <w:i w:val="0"/>
                <w:sz w:val="18"/>
              </w:rPr>
              <w:t>La branche monophasique côté calandre maintient la pression à sa valeur d'entrée</w:t>
            </w:r>
          </w:p>
        </w:tc>
        <w:tc>
          <w:tcPr>
            <w:tcW w:type="dxa" w:w="3175"/>
          </w:tcPr>
          <w:p>
            <w:pPr>
              <w:spacing w:after="40"/>
            </w:pPr>
            <w:r/>
            <w:r>
              <w:rPr>
                <w:i w:val="0"/>
                <w:sz w:val="18"/>
              </w:rPr>
              <w:t>L'enthalpie d'un gaz quasi parfait dépend faiblement de la pression</w:t>
            </w:r>
          </w:p>
        </w:tc>
        <w:tc>
          <w:tcPr>
            <w:tcW w:type="dxa" w:w="3288"/>
          </w:tcPr>
          <w:p>
            <w:pPr>
              <w:spacing w:after="40"/>
            </w:pPr>
            <w:r/>
            <w:r>
              <w:rPr>
                <w:i w:val="0"/>
                <w:sz w:val="18"/>
              </w:rPr>
              <w:t>La masse volumique et les propriétés de transport varient bien avec la pression ; la perte de charge Bell-Delaware calculée est actuellement écartée dans cette branche</w:t>
            </w:r>
          </w:p>
        </w:tc>
      </w:tr>
      <w:tr>
        <w:tc>
          <w:tcPr>
            <w:tcW w:type="dxa" w:w="2835"/>
          </w:tcPr>
          <w:p>
            <w:pPr>
              <w:spacing w:after="40"/>
            </w:pPr>
            <w:r/>
            <w:r>
              <w:rPr>
                <w:i w:val="0"/>
                <w:sz w:val="18"/>
              </w:rPr>
              <w:t>Le côté calandre est zéro-dimensionnel par nœud, sans équation de quantité de mouvement</w:t>
            </w:r>
          </w:p>
        </w:tc>
        <w:tc>
          <w:tcPr>
            <w:tcW w:type="dxa" w:w="3175"/>
          </w:tcPr>
          <w:p>
            <w:pPr>
              <w:spacing w:after="40"/>
            </w:pPr>
            <w:r/>
            <w:r>
              <w:rPr>
                <w:i w:val="0"/>
                <w:sz w:val="18"/>
              </w:rPr>
              <w:t>L'écoulement transversal chicané ne possède pas de coordonnée curviligne unique ; c'est la forme de modèle appropriée</w:t>
            </w:r>
          </w:p>
        </w:tc>
        <w:tc>
          <w:tcPr>
            <w:tcW w:type="dxa" w:w="3288"/>
          </w:tcPr>
          <w:p>
            <w:pPr>
              <w:spacing w:after="40"/>
            </w:pPr>
            <w:r/>
            <w:r>
              <w:rPr>
                <w:i w:val="0"/>
                <w:sz w:val="18"/>
              </w:rPr>
              <w:t>Ne constitue pas une limitation dans le régime modélisé</w:t>
            </w:r>
          </w:p>
        </w:tc>
      </w:tr>
      <w:tr>
        <w:tc>
          <w:tcPr>
            <w:tcW w:type="dxa" w:w="2835"/>
          </w:tcPr>
          <w:p>
            <w:pPr>
              <w:spacing w:after="40"/>
            </w:pPr>
            <w:r/>
            <w:r>
              <w:rPr>
                <w:i w:val="0"/>
                <w:sz w:val="18"/>
              </w:rPr>
              <w:t>Rayonnement du gaz désactivé</w:t>
            </w:r>
          </w:p>
        </w:tc>
        <w:tc>
          <w:tcPr>
            <w:tcW w:type="dxa" w:w="3175"/>
          </w:tcPr>
          <w:p>
            <w:pPr>
              <w:spacing w:after="40"/>
            </w:pPr>
            <w:r/>
            <w:r>
              <w:rPr>
                <w:i w:val="0"/>
                <w:sz w:val="18"/>
              </w:rPr>
              <w:t>Modèle implémenté mais désactivé dans ce chemin de solveur</w:t>
            </w:r>
          </w:p>
        </w:tc>
        <w:tc>
          <w:tcPr>
            <w:tcW w:type="dxa" w:w="3288"/>
          </w:tcPr>
          <w:p>
            <w:pPr>
              <w:spacing w:after="40"/>
            </w:pPr>
            <w:r/>
            <w:r>
              <w:rPr>
                <w:i w:val="0"/>
                <w:sz w:val="18"/>
              </w:rPr>
              <w:t>Température de gaz très élevée combinée à une forte émissivité</w:t>
            </w:r>
          </w:p>
        </w:tc>
      </w:tr>
    </w:tbl>
    <w:p>
      <w:pPr>
        <w:spacing w:after="220"/>
        <w:jc w:val="left"/>
      </w:pPr>
      <w:r>
        <w:rPr>
          <w:b/>
          <w:sz w:val="18"/>
        </w:rPr>
        <w:t xml:space="preserve">Table 8.  </w:t>
      </w:r>
      <w:r>
        <w:rPr>
          <w:i w:val="0"/>
          <w:color w:val="5C6672"/>
          <w:sz w:val="18"/>
        </w:rPr>
        <w:t>Hypothèses du modèle et domaines de validité, classées approximativement par impact pratique sur les résultats restitués dans ce programme.</w:t>
      </w:r>
    </w:p>
    <w:p>
      <w:pPr>
        <w:pStyle w:val="Heading2"/>
      </w:pPr>
      <w:r>
        <w:t>11.1  Diagnostics auto-signalés</w:t>
      </w:r>
    </w:p>
    <w:p>
      <w:r>
        <w:rPr>
          <w:i w:val="0"/>
        </w:rPr>
        <w:t>Plusieurs des limitations ci-dessus se manifestent à l'exécution plutôt que de rester implicites dans la documentation. À la lecture d'un calcul, les messages suivants sont porteurs d'information et doivent être consignés avec le résultat :</w:t>
      </w:r>
    </w:p>
    <w:p>
      <w:pPr>
        <w:pStyle w:val="ListBullet"/>
        <w:spacing w:after="60"/>
        <w:ind w:left="397"/>
      </w:pPr>
      <w:r>
        <w:rPr>
          <w:i w:val="0"/>
        </w:rPr>
        <w:t>Avertissement d'extrapolation géométrique supercritique en écoulement transversal, avec le nom de la fermeture retenue.</w:t>
      </w:r>
    </w:p>
    <w:p>
      <w:pPr>
        <w:pStyle w:val="ListBullet"/>
        <w:spacing w:after="60"/>
        <w:ind w:left="397"/>
      </w:pPr>
      <w:r>
        <w:rPr>
          <w:i w:val="0"/>
        </w:rPr>
        <w:t>Dépassement du critère de déclenchement de l'ébullition nucléée de Bergles-Rohsenow, avec la marge de surchauffe pariétale.</w:t>
      </w:r>
    </w:p>
    <w:p>
      <w:pPr>
        <w:pStyle w:val="ListBullet"/>
        <w:spacing w:after="60"/>
        <w:ind w:left="397"/>
      </w:pPr>
      <w:r>
        <w:rPr>
          <w:i w:val="0"/>
        </w:rPr>
        <w:t>Avis de non-convergence du balayage, avec le résidu final.</w:t>
      </w:r>
    </w:p>
    <w:p>
      <w:pPr>
        <w:pStyle w:val="ListBullet"/>
        <w:spacing w:after="60"/>
        <w:ind w:left="397"/>
      </w:pPr>
      <w:r>
        <w:rPr>
          <w:i w:val="0"/>
        </w:rPr>
        <w:t>NaN plutôt qu'une valeur fabriquée pour la marge de flux critique hors du dôme diphasique.</w:t>
      </w:r>
    </w:p>
    <w:p>
      <w:pPr>
        <w:pStyle w:val="ListBullet"/>
        <w:spacing w:after="60"/>
        <w:ind w:left="397"/>
      </w:pPr>
      <w:r>
        <w:rPr>
          <w:i w:val="0"/>
        </w:rPr>
        <w:t>Régimes traversés et nombre de nœuds à risque de dégradation de l'échange thermique en fonctionnement supercritique.</w:t>
      </w:r>
    </w:p>
    <w:p>
      <w:pPr>
        <w:pStyle w:val="ListBullet"/>
        <w:spacing w:after="60"/>
        <w:ind w:left="397"/>
      </w:pPr>
      <w:r>
        <w:rPr>
          <w:i w:val="0"/>
        </w:rPr>
        <w:t>Rapport de fuite aux chicanes r_lm de Bell-Delaware dépassant le domaine de calage de la corrélation.</w:t>
      </w:r>
    </w:p>
    <w:p>
      <w:pPr>
        <w:pStyle w:val="ListBullet"/>
        <w:spacing w:after="60"/>
        <w:ind w:left="397"/>
      </w:pPr>
      <w:r>
        <w:rPr>
          <w:i w:val="0"/>
        </w:rPr>
        <w:t>Nombre de nœuds supercritiques dont le coefficient d'échange provient de Bell-Delaware plutôt que d'une fermeture à rapport de propriétés.</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1D21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Light" w:hAnsi="Calibri Light"/>
      <w:b/>
      <w:bCs/>
      <w:color w:val="1D212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b/>
      <w:bCs/>
      <w:color w:val="1D212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Light" w:hAnsi="Calibri Light"/>
      <w:b/>
      <w:bCs/>
      <w:color w:val="5C66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