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418626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186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df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dfd00"/>
          <w:sz w:val="38"/>
          <w:szCs w:val="38"/>
          <w:u w:val="none"/>
          <w:shd w:fill="auto" w:val="clear"/>
          <w:vertAlign w:val="baseline"/>
          <w:rtl w:val="0"/>
        </w:rPr>
        <w:t xml:space="preserve">Certificado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c7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7600"/>
          <w:sz w:val="34"/>
          <w:szCs w:val="34"/>
          <w:u w:val="none"/>
          <w:shd w:fill="auto" w:val="clear"/>
          <w:vertAlign w:val="baseline"/>
          <w:rtl w:val="0"/>
        </w:rPr>
        <w:t xml:space="preserve">DIGITAL INNOVATION ONE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8"/>
          <w:szCs w:val="38"/>
          <w:u w:val="none"/>
          <w:shd w:fill="auto" w:val="clear"/>
          <w:vertAlign w:val="baseline"/>
          <w:rtl w:val="0"/>
        </w:rPr>
        <w:t xml:space="preserve">CF795DBD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Certificamos que Raphael Rodrigues em os de Dezembro de 2019, concluiu o curso Conhecendo funções e validação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de dados com PHP com carga horária de 4 horas.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Muslara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Mantenedores: SSEPROSP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Iglá Generoso Chief Enterprise Officer Digital Innovation One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Gustavo Pereira Chief Technology Officer Digital Innovation One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GLOBAL LABS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