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Opérations</w:t>
      </w:r>
      <w:r>
        <w:t xml:space="preserve"> </w:t>
      </w:r>
      <w:r>
        <w:t xml:space="preserve">à</w:t>
      </w:r>
      <w:r>
        <w:t xml:space="preserve"> </w:t>
      </w:r>
      <w:r>
        <w:t xml:space="preserve">l’international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aeb5a3ec52cdae8d2948c75eceb2d066d0b623a"/>
    <w:p>
      <w:pPr>
        <w:pStyle w:val="Heading3"/>
      </w:pPr>
      <w:r>
        <w:t xml:space="preserve">Traces pour la compétence “</w:t>
      </w:r>
      <w:r>
        <w:rPr>
          <w:iCs/>
          <w:i/>
        </w:rPr>
        <w:t xml:space="preserve">Opérations à l’international”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intitulé :</w:t>
      </w:r>
      <w:r>
        <w:t xml:space="preserve"> </w:t>
      </w:r>
      <w:r>
        <w:t xml:space="preserve">Pour commercialiser à l’international une offre complexe</w:t>
      </w:r>
    </w:p>
    <w:p>
      <w:pPr>
        <w:numPr>
          <w:ilvl w:val="0"/>
          <w:numId w:val="1001"/>
        </w:numPr>
      </w:pPr>
      <w:r>
        <w:t xml:space="preserve">Apprentissages critiques développés :</w:t>
      </w:r>
    </w:p>
    <w:p>
      <w:pPr>
        <w:numPr>
          <w:ilvl w:val="0"/>
          <w:numId w:val="1002"/>
        </w:numPr>
        <w:pStyle w:val="Compact"/>
      </w:pPr>
      <w:r>
        <w:t xml:space="preserve">AC35.01BI | Mobiliser ses connaissances en processus de vente et d’achat dans des situations interculturelles</w:t>
      </w:r>
    </w:p>
    <w:p>
      <w:pPr>
        <w:numPr>
          <w:ilvl w:val="0"/>
          <w:numId w:val="1002"/>
        </w:numPr>
        <w:pStyle w:val="Compact"/>
      </w:pPr>
      <w:r>
        <w:t xml:space="preserve">AC35.02BI | Optimiser la chaîne logistique à l’international en intégrant les enjeux environnementaux et éthiques</w:t>
      </w:r>
    </w:p>
    <w:p>
      <w:pPr>
        <w:numPr>
          <w:ilvl w:val="0"/>
          <w:numId w:val="1002"/>
        </w:numPr>
        <w:pStyle w:val="Compact"/>
      </w:pPr>
      <w:r>
        <w:t xml:space="preserve">AC35.03BI | Gérer l’administration des ventes/achats à l’international notamment grâce à l’évaluation des modalités de financement de l’opération d’import ou d’export</w:t>
      </w:r>
    </w:p>
    <w:p>
      <w:pPr>
        <w:numPr>
          <w:ilvl w:val="0"/>
          <w:numId w:val="1002"/>
        </w:numPr>
        <w:pStyle w:val="Compact"/>
      </w:pPr>
      <w:r>
        <w:t xml:space="preserve">AC35.04BI | Proposer l’offre marketing adaptée au(x) marché(s) ciblé(s)</w:t>
      </w:r>
    </w:p>
    <w:p>
      <w:pPr>
        <w:pStyle w:val="CaptionedFigure"/>
      </w:pPr>
      <w:r>
        <w:drawing>
          <wp:inline>
            <wp:extent cx="5334000" cy="7539317"/>
            <wp:effectExtent b="0" l="0" r="0" t="0"/>
            <wp:docPr descr="Examen d’entrepreneurship semestre 5" title="" id="21" name="Picture"/>
            <a:graphic>
              <a:graphicData uri="http://schemas.openxmlformats.org/drawingml/2006/picture">
                <pic:pic>
                  <pic:nvPicPr>
                    <pic:cNvPr descr="Entrepreneurship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Examen d’entrepreneurship semestre 5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Opérations à l’international</dc:title>
  <dc:creator/>
  <cp:keywords/>
  <dcterms:created xsi:type="dcterms:W3CDTF">2024-06-02T22:11:13Z</dcterms:created>
  <dcterms:modified xsi:type="dcterms:W3CDTF">2024-06-02T22:11:13Z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utput-dir">
    <vt:lpwstr>docs</vt:lpwstr>
  </property>
  <property fmtid="{D5CDD505-2E9C-101B-9397-08002B2CF9AE}" pid="10" name="theme">
    <vt:lpwstr/>
  </property>
  <property fmtid="{D5CDD505-2E9C-101B-9397-08002B2CF9AE}" pid="11" name="toc-title">
    <vt:lpwstr>Table of contents</vt:lpwstr>
  </property>
</Properties>
</file>