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df" ContentType="application/pdf"/>
  <Override PartName="/word/media/rId23.pdf" ContentType="application/pd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Vente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traces-pour-la-compétence-vente"/>
    <w:p>
      <w:pPr>
        <w:pStyle w:val="Heading3"/>
      </w:pPr>
      <w:r>
        <w:t xml:space="preserve">Traces pour la compétence “</w:t>
      </w:r>
      <w:r>
        <w:rPr>
          <w:iCs/>
          <w:i/>
        </w:rPr>
        <w:t xml:space="preserve">Vente”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intitulé :</w:t>
      </w:r>
      <w:r>
        <w:t xml:space="preserve"> </w:t>
      </w:r>
      <w:r>
        <w:t xml:space="preserve">Pour mener une vente complexe</w:t>
      </w:r>
    </w:p>
    <w:p>
      <w:pPr>
        <w:numPr>
          <w:ilvl w:val="0"/>
          <w:numId w:val="1001"/>
        </w:numPr>
      </w:pPr>
      <w:r>
        <w:t xml:space="preserve">Apprentissages critiques développés :</w:t>
      </w:r>
    </w:p>
    <w:p>
      <w:pPr>
        <w:numPr>
          <w:ilvl w:val="0"/>
          <w:numId w:val="1002"/>
        </w:numPr>
      </w:pPr>
      <w:r>
        <w:t xml:space="preserve">AC32.01 | Identifier les techniques d’achat employées par un acheteur professionnel</w:t>
      </w:r>
    </w:p>
    <w:p>
      <w:pPr>
        <w:numPr>
          <w:ilvl w:val="0"/>
          <w:numId w:val="1002"/>
        </w:numPr>
      </w:pPr>
      <w:r>
        <w:t xml:space="preserve">AC32.02 | Elaborer des outils de gestion et de calcul efficaces (facture, échéancier,devis) pour la vente complexe</w:t>
      </w:r>
    </w:p>
    <w:p>
      <w:pPr>
        <w:numPr>
          <w:ilvl w:val="0"/>
          <w:numId w:val="1002"/>
        </w:numPr>
      </w:pPr>
      <w:r>
        <w:t xml:space="preserve">AC32.03 | Maîtriser les codes propres à l’univers spécifique rencontré : achat, finance, industrie, international, etc</w:t>
      </w:r>
    </w:p>
    <w:p>
      <w:pPr>
        <w:pStyle w:val="CaptionedFigure"/>
      </w:pPr>
      <w:r>
        <w:drawing>
          <wp:inline>
            <wp:extent cx="5334000" cy="7539317"/>
            <wp:effectExtent b="0" l="0" r="0" t="0"/>
            <wp:docPr descr="1er livrable semestre 5 en global markets and institutions" title="" id="21" name="Picture"/>
            <a:graphic>
              <a:graphicData uri="http://schemas.openxmlformats.org/drawingml/2006/picture">
                <pic:pic>
                  <pic:nvPicPr>
                    <pic:cNvPr descr="images/Global%20Markets%20and%20Institutions%201st%20assignement-02.pdf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39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1er livrable semestre 5 en global markets and institutions</w:t>
      </w:r>
    </w:p>
    <w:p>
      <w:pPr>
        <w:pStyle w:val="CaptionedFigure"/>
      </w:pPr>
      <w:r>
        <w:drawing>
          <wp:inline>
            <wp:extent cx="5334000" cy="7539317"/>
            <wp:effectExtent b="0" l="0" r="0" t="0"/>
            <wp:docPr descr="1er livrable semestre 6 international finance" title="" id="24" name="Picture"/>
            <a:graphic>
              <a:graphicData uri="http://schemas.openxmlformats.org/drawingml/2006/picture">
                <pic:pic>
                  <pic:nvPicPr>
                    <pic:cNvPr descr="images/assignement.pdf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39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1er livrable semestre 6 international finance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df" /><Relationship Type="http://schemas.openxmlformats.org/officeDocument/2006/relationships/image" Id="rId23" Target="media/rId23.pdf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Vente</dc:title>
  <dc:creator/>
  <cp:keywords/>
  <dcterms:created xsi:type="dcterms:W3CDTF">2024-06-02T22:11:19Z</dcterms:created>
  <dcterms:modified xsi:type="dcterms:W3CDTF">2024-06-02T22:11:19Z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epth">
    <vt:lpwstr>3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output-dir">
    <vt:lpwstr>docs</vt:lpwstr>
  </property>
  <property fmtid="{D5CDD505-2E9C-101B-9397-08002B2CF9AE}" pid="10" name="theme">
    <vt:lpwstr/>
  </property>
  <property fmtid="{D5CDD505-2E9C-101B-9397-08002B2CF9AE}" pid="11" name="toc-title">
    <vt:lpwstr>Table of contents</vt:lpwstr>
  </property>
</Properties>
</file>