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60" w:line="293" w:lineRule="auto"/>
        <w:jc w:val="center"/>
      </w:pPr>
      <w:r>
        <w:rPr>
          <w:rFonts w:ascii="Aptos" w:hAnsi="Aptos"/>
          <w:b/>
          <w:i w:val="0"/>
          <w:color w:val="000000"/>
          <w:sz w:val="26"/>
        </w:rPr>
        <w:t>INSTITUTO FEDERAL DE ALAGOAS</w:t>
      </w:r>
    </w:p>
    <w:p>
      <w:pPr>
        <w:spacing w:before="0" w:after="1700" w:line="293" w:lineRule="auto"/>
        <w:jc w:val="center"/>
      </w:pPr>
      <w:r>
        <w:rPr>
          <w:rFonts w:ascii="Aptos" w:hAnsi="Aptos"/>
          <w:b w:val="0"/>
          <w:i w:val="0"/>
          <w:color w:val="000000"/>
          <w:sz w:val="22"/>
        </w:rPr>
        <w:t>Campus Maceió · Sistemas de Informação</w:t>
      </w:r>
    </w:p>
    <w:p>
      <w:pPr>
        <w:spacing w:before="0" w:after="240" w:line="293" w:lineRule="auto"/>
        <w:jc w:val="center"/>
      </w:pPr>
      <w:r>
        <w:rPr>
          <w:rFonts w:ascii="Aptos" w:hAnsi="Aptos"/>
          <w:b/>
          <w:i w:val="0"/>
          <w:color w:val="18324B"/>
          <w:sz w:val="38"/>
        </w:rPr>
        <w:t>Guia de preparação</w:t>
      </w:r>
    </w:p>
    <w:p>
      <w:pPr>
        <w:spacing w:before="0" w:after="360" w:line="293" w:lineRule="auto"/>
        <w:jc w:val="center"/>
      </w:pPr>
      <w:r>
        <w:rPr>
          <w:rFonts w:ascii="Aptos" w:hAnsi="Aptos"/>
          <w:b/>
          <w:i w:val="0"/>
          <w:color w:val="18324B"/>
          <w:sz w:val="44"/>
        </w:rPr>
        <w:t>Data Warehouse de oportunidades para desenvolvedores imigrantes no Canadá</w:t>
      </w:r>
    </w:p>
    <w:p>
      <w:pPr>
        <w:spacing w:before="0" w:after="1920" w:line="293" w:lineRule="auto"/>
        <w:jc w:val="center"/>
      </w:pPr>
      <w:r>
        <w:rPr>
          <w:rFonts w:ascii="Aptos" w:hAnsi="Aptos"/>
          <w:b w:val="0"/>
          <w:i w:val="0"/>
          <w:color w:val="000000"/>
          <w:sz w:val="24"/>
        </w:rPr>
        <w:t>Conceitos, roteiro de execução, revisão da Entrega 1 e proposta de apresentação</w:t>
      </w:r>
    </w:p>
    <w:p>
      <w:pPr>
        <w:spacing w:before="0" w:after="100" w:line="293" w:lineRule="auto"/>
        <w:jc w:val="center"/>
      </w:pPr>
      <w:r>
        <w:rPr>
          <w:rFonts w:ascii="Aptos" w:hAnsi="Aptos"/>
          <w:b w:val="0"/>
          <w:i w:val="0"/>
          <w:color w:val="000000"/>
          <w:sz w:val="22"/>
        </w:rPr>
        <w:t>Equipe: Eliezir Moreira Peixoto Neto · Raphael Phillipe da Silva Silverio</w:t>
      </w:r>
    </w:p>
    <w:p>
      <w:pPr>
        <w:spacing w:before="0" w:after="0" w:line="293" w:lineRule="auto"/>
        <w:jc w:val="center"/>
      </w:pPr>
      <w:r>
        <w:rPr>
          <w:rFonts w:ascii="Aptos" w:hAnsi="Aptos"/>
          <w:b w:val="0"/>
          <w:i w:val="0"/>
          <w:color w:val="000000"/>
          <w:sz w:val="22"/>
        </w:rPr>
        <w:t>Maceió - AL · 14 de dezembro de 2026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ptos" w:hAnsi="Aptos"/>
          <w:b/>
          <w:i w:val="0"/>
          <w:color w:val="18324B"/>
          <w:sz w:val="32"/>
        </w:rPr>
        <w:t>1. Como usar este guia</w:t>
      </w:r>
    </w:p>
    <w:p>
      <w:pPr>
        <w:spacing w:before="0" w:after="140" w:line="293" w:lineRule="auto"/>
      </w:pPr>
      <w:r>
        <w:rPr>
          <w:rFonts w:ascii="Aptos" w:hAnsi="Aptos"/>
          <w:b w:val="0"/>
          <w:i w:val="0"/>
          <w:color w:val="000000"/>
          <w:sz w:val="22"/>
        </w:rPr>
        <w:t>Este documento organiza o que a equipe precisa saber e fazer para apresentar a primeira entrega do projeto. Ele não substitui o trabalho escrito: serve como roteiro de estudo, preparação da fala e checklist de correções antes do envio.</w:t>
      </w: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Resultado esperado da atividade</w:t>
      </w:r>
    </w:p>
    <w:p>
      <w:pPr>
        <w:spacing w:before="0" w:after="140" w:line="293" w:lineRule="auto"/>
      </w:pPr>
      <w:r>
        <w:rPr>
          <w:rFonts w:ascii="Aptos" w:hAnsi="Aptos"/>
          <w:b w:val="0"/>
          <w:i w:val="0"/>
          <w:color w:val="000000"/>
          <w:sz w:val="22"/>
        </w:rPr>
        <w:t>A equipe deve demonstrar que consegue transformar dados operacionais de fontes diferentes em um modelo dimensional adequado para análise. O foco da primeira entrega é o desenho do Data Warehouse, a documentação das fontes e a justificativa técnica das transformações - não a implementação completa de dashboards ou ETL em produção.</w:t>
      </w: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O projeto em uma frase</w:t>
      </w:r>
    </w:p>
    <w:p>
      <w:pPr>
        <w:spacing w:before="0" w:after="140" w:line="293" w:lineRule="auto"/>
      </w:pPr>
      <w:r>
        <w:rPr>
          <w:rFonts w:ascii="Aptos" w:hAnsi="Aptos"/>
          <w:b/>
          <w:i w:val="0"/>
          <w:color w:val="000000"/>
          <w:sz w:val="22"/>
        </w:rPr>
        <w:t>O Data Warehouse reúne indicadores oficiais de salário, imigração brasileira e habitação para comparar as províncias e territórios canadenses sob a perspectiva de uma pessoa desenvolvedora de software que deseja imigrar.</w:t>
      </w:r>
    </w:p>
    <w:p>
      <w:pPr>
        <w:pStyle w:val="Heading1"/>
        <w:spacing w:before="320" w:after="160"/>
      </w:pPr>
      <w:r>
        <w:rPr>
          <w:rFonts w:ascii="Aptos" w:hAnsi="Aptos"/>
          <w:b/>
          <w:i w:val="0"/>
          <w:color w:val="18324B"/>
          <w:sz w:val="32"/>
        </w:rPr>
        <w:t>2. Conceitos essenciais</w:t>
      </w: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O que é um Data Warehouse</w:t>
      </w:r>
    </w:p>
    <w:p>
      <w:pPr>
        <w:spacing w:before="0" w:after="140" w:line="293" w:lineRule="auto"/>
      </w:pPr>
      <w:r>
        <w:rPr>
          <w:rFonts w:ascii="Aptos" w:hAnsi="Aptos"/>
          <w:b w:val="0"/>
          <w:i w:val="0"/>
          <w:color w:val="000000"/>
          <w:sz w:val="22"/>
        </w:rPr>
        <w:t>Um Data Warehouse (DW) é um repositório de dados organizado para consulta, comparação histórica e apoio à decisão. Em vez de registrar transações do dia a dia, ele consolida dados de fontes diferentes em uma estrutura estável e compreensível para análise.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Conceito</w:t>
            </w:r>
          </w:p>
        </w:tc>
        <w:tc>
          <w:tcPr>
            <w:tcW w:type="dxa" w:w="6983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Explicação aplicada ao projeto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Dados de origem / OLTP</w:t>
            </w:r>
          </w:p>
        </w:tc>
        <w:tc>
          <w:tcPr>
            <w:tcW w:type="dxa" w:w="69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São os CSVs e tabelas públicas de onde os dados vêm. Neste projeto, eles representam a camada operacional de origem, embora não sejam sistemas transacionais internos.</w:t>
            </w:r>
          </w:p>
        </w:tc>
      </w:tr>
      <w:tr>
        <w:tc>
          <w:tcPr>
            <w:tcW w:type="dxa" w:w="223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ETL</w:t>
            </w:r>
          </w:p>
        </w:tc>
        <w:tc>
          <w:tcPr>
            <w:tcW w:type="dxa" w:w="6983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Extract, Transform, Load: extrair arquivos oficiais, aplicar regras documentadas e carregar dimensões e fatos no Oracle.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Staging</w:t>
            </w:r>
          </w:p>
        </w:tc>
        <w:tc>
          <w:tcPr>
            <w:tcW w:type="dxa" w:w="69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Área intermediária que espelha os arquivos de origem. É onde filtros, validações e padronizações são feitos sem destruir os arquivos brutos.</w:t>
            </w:r>
          </w:p>
        </w:tc>
      </w:tr>
      <w:tr>
        <w:tc>
          <w:tcPr>
            <w:tcW w:type="dxa" w:w="223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Dimensão</w:t>
            </w:r>
          </w:p>
        </w:tc>
        <w:tc>
          <w:tcPr>
            <w:tcW w:type="dxa" w:w="6983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que descreve o contexto da análise: província, ocupação, período, país de nascimento, tipo de moradia e fonte.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fato</w:t>
            </w:r>
          </w:p>
        </w:tc>
        <w:tc>
          <w:tcPr>
            <w:tcW w:type="dxa" w:w="69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com as medidas que serão analisadas: salários, quantidade de imigrantes e indicadores de habitação.</w:t>
            </w:r>
          </w:p>
        </w:tc>
      </w:tr>
      <w:tr>
        <w:tc>
          <w:tcPr>
            <w:tcW w:type="dxa" w:w="223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Star Schema</w:t>
            </w:r>
          </w:p>
        </w:tc>
        <w:tc>
          <w:tcPr>
            <w:tcW w:type="dxa" w:w="6983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Modelo em que uma tabela fato se conecta às dimensões. Ele simplifica consultas e evita misturar medidas de granularidades diferentes.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Surrogate key</w:t>
            </w:r>
          </w:p>
        </w:tc>
        <w:tc>
          <w:tcPr>
            <w:tcW w:type="dxa" w:w="69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Chave numérica interna do DW. Ela preserva as chaves originais como referência e torna as relações mais controladas.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Por que existem três fatos</w:t>
      </w:r>
    </w:p>
    <w:p>
      <w:pPr>
        <w:spacing w:before="0" w:after="140" w:line="293" w:lineRule="auto"/>
      </w:pPr>
      <w:r>
        <w:rPr>
          <w:rFonts w:ascii="Aptos" w:hAnsi="Aptos"/>
          <w:b w:val="0"/>
          <w:i w:val="0"/>
          <w:color w:val="000000"/>
          <w:sz w:val="22"/>
        </w:rPr>
        <w:t>Salário, imigração e habitação têm medidas e períodos diferentes. Colocar tudo em uma única tabela fato repetiria salários em cada período de imigração e poderia gerar somas incorretas. Por isso o projeto usa fato_salario, fato_imigracao e fato_habitacao, ligadas por dimensões conformadas, principalmente dim_provincia.</w:t>
      </w: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Cuidado com o tempo</w:t>
      </w:r>
    </w:p>
    <w:p>
      <w:pPr>
        <w:spacing w:before="0" w:after="140" w:line="293" w:lineRule="auto"/>
      </w:pPr>
      <w:r>
        <w:rPr>
          <w:rFonts w:ascii="Aptos" w:hAnsi="Aptos"/>
          <w:b w:val="0"/>
          <w:i w:val="0"/>
          <w:color w:val="000000"/>
          <w:sz w:val="22"/>
        </w:rPr>
        <w:t>Imigração e habitação são dados do Censo de 2021; salários têm período de referência 2023-2024. O DW permite compará-los como indicadores, mas a apresentação não deve dizer que todos pertencem ao mesmo ano nem afirmar causalidade.</w:t>
      </w:r>
    </w:p>
    <w:p>
      <w:pPr>
        <w:pStyle w:val="Heading1"/>
        <w:spacing w:before="320" w:after="160"/>
      </w:pPr>
      <w:r>
        <w:rPr>
          <w:rFonts w:ascii="Aptos" w:hAnsi="Aptos"/>
          <w:b/>
          <w:i w:val="0"/>
          <w:color w:val="18324B"/>
          <w:sz w:val="32"/>
        </w:rPr>
        <w:t>3. Dados e modelo deste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520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Fonte</w:t>
            </w:r>
          </w:p>
        </w:tc>
        <w:tc>
          <w:tcPr>
            <w:tcW w:type="dxa" w:w="3960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 que fornece</w:t>
            </w:r>
          </w:p>
        </w:tc>
        <w:tc>
          <w:tcPr>
            <w:tcW w:type="dxa" w:w="2736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Uso analítico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Job Bank / ESDC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Salário mínimo, mediano, máximo, médio e quartis para Software developers and programmers, NOC 21232.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Comparar remuneração por província ou região disponível.</w:t>
            </w:r>
          </w:p>
        </w:tc>
      </w:tr>
      <w:tr>
        <w:tc>
          <w:tcPr>
            <w:tcW w:type="dxa" w:w="2520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Statistics Canada 98-10-0307-01</w:t>
            </w:r>
          </w:p>
        </w:tc>
        <w:tc>
          <w:tcPr>
            <w:tcW w:type="dxa" w:w="3960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Imigrantes por local de nascimento e período de imigração no Censo 2021.</w:t>
            </w:r>
          </w:p>
        </w:tc>
        <w:tc>
          <w:tcPr>
            <w:tcW w:type="dxa" w:w="273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Medir comunidade brasileira e sua distribuição temporal.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Statistics Canada 98-10-0258-01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Indicadores de moradia por condição de posse no Censo 2021.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Avaliar a proporção de inquilinos com custo de moradia inacessível.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Fluxo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4680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 que acontece</w:t>
            </w:r>
          </w:p>
        </w:tc>
        <w:tc>
          <w:tcPr>
            <w:tcW w:type="dxa" w:w="2951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Regra de qualidade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1. Landing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Guardar o download original, URL, data de extração e checksum.</w:t>
            </w:r>
          </w:p>
        </w:tc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Nunca alterar ou apagar o arquivo bruto.</w:t>
            </w:r>
          </w:p>
        </w:tc>
      </w:tr>
      <w:tr>
        <w:tc>
          <w:tcPr>
            <w:tcW w:type="dxa" w:w="1584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2. Staging</w:t>
            </w:r>
          </w:p>
        </w:tc>
        <w:tc>
          <w:tcPr>
            <w:tcW w:type="dxa" w:w="4680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Criar tabelas que refletem os CSVs como texto e validar campos.</w:t>
            </w:r>
          </w:p>
        </w:tc>
        <w:tc>
          <w:tcPr>
            <w:tcW w:type="dxa" w:w="2951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Preservar valores ausentes como N/A ou NULL.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3. Transformação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Filtrar NOC 21232, Brazil, totais de idade/gênero, 13 jurisdições e Censo 2021; normalizar nomes e códigos.</w:t>
            </w:r>
          </w:p>
        </w:tc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Registrar a justificativa e o impacto de cada filtro.</w:t>
            </w:r>
          </w:p>
        </w:tc>
      </w:tr>
      <w:tr>
        <w:tc>
          <w:tcPr>
            <w:tcW w:type="dxa" w:w="1584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4. DW</w:t>
            </w:r>
          </w:p>
        </w:tc>
        <w:tc>
          <w:tcPr>
            <w:tcW w:type="dxa" w:w="4680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Carregar dimensões, chaves substitutas e as três tabelas fato.</w:t>
            </w:r>
          </w:p>
        </w:tc>
        <w:tc>
          <w:tcPr>
            <w:tcW w:type="dxa" w:w="2951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Aplicar PK, FK, AK, CHECK, NOT NULL, índices e sequências.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5. BI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Executar consultas e gráficos para responder às 10 perguntas.</w:t>
            </w:r>
          </w:p>
        </w:tc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Distinguir dado indisponível de valor zero ou estimado.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ptos" w:hAnsi="Aptos"/>
          <w:b/>
          <w:i w:val="0"/>
          <w:color w:val="18324B"/>
          <w:sz w:val="32"/>
        </w:rPr>
        <w:t>4. Passo a passo para realizar a atividade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Confirmar os requisitos da entrega, guardar a autorização para trabalho em dupla e definir os papéis da equipe.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Delimitar o problema: escolher províncias e territórios canadenses para comparar oportunidades de imigração para desenvolvedores de software.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Documentar as fontes, períodos e limitações. Explicar que os CSVs públicos são bases operacionais de origem, não OLTP transacional interno.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Fazer o dicionário de dados da origem: listar campos, tipos, domínio e finalidade de cada arquivo usado.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Executar a análise exploratória: quantidade de registros, valores ausentes, duplicidades, faixas salariais, distribuição da comunidade brasileira e indicador habitacional.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Documentar cada mudança: filtro aplicado, motivo, quantidade antes/depois e impacto na análise. Nenhum bruto deve ser sobrescrito.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Definir o grão de cada fato antes de desenhar as tabelas. Exemplo: fato_salario = província + ocupação + período salarial.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Desenhar e explicar o Star Schema, dicionário do DW, constraints, sequências e tablespaces.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Escrever 10 perguntas respondíveis e demonstrar qual fato, dimensão e medida sustentam cada uma.</w:t>
      </w:r>
    </w:p>
    <w:p>
      <w:pPr>
        <w:pStyle w:val="ListNumber"/>
        <w:spacing w:after="8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Preparar a apresentação, testar o script Oracle e revisar os arquivos com nomes e referências consistentes.</w:t>
      </w:r>
    </w:p>
    <w:p>
      <w:pPr>
        <w:pStyle w:val="Heading1"/>
        <w:spacing w:before="320" w:after="160"/>
      </w:pPr>
      <w:r>
        <w:rPr>
          <w:rFonts w:ascii="Aptos" w:hAnsi="Aptos"/>
          <w:b/>
          <w:i w:val="0"/>
          <w:color w:val="18324B"/>
          <w:sz w:val="32"/>
        </w:rPr>
        <w:t>5. Ferramentas utilizadas e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Ferramenta</w:t>
            </w:r>
          </w:p>
        </w:tc>
        <w:tc>
          <w:tcPr>
            <w:tcW w:type="dxa" w:w="3671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</w:t>
            </w:r>
          </w:p>
        </w:tc>
        <w:tc>
          <w:tcPr>
            <w:tcW w:type="dxa" w:w="3168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Como explicar em sala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Oracle Database / SQL Developer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Criar o DW, tablespaces, sequências, tabelas, constraints e consultas SQL.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É o destino dimensional e garante integridade dos dados.</w:t>
            </w:r>
          </w:p>
        </w:tc>
      </w:tr>
      <w:tr>
        <w:tc>
          <w:tcPr>
            <w:tcW w:type="dxa" w:w="237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Python</w:t>
            </w:r>
          </w:p>
        </w:tc>
        <w:tc>
          <w:tcPr>
            <w:tcW w:type="dxa" w:w="3671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Ler CSVs, executar EDA e gerar gráficos para o relatório e a apresentação.</w:t>
            </w:r>
          </w:p>
        </w:tc>
        <w:tc>
          <w:tcPr>
            <w:tcW w:type="dxa" w:w="316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Automatiza a análise reprodutível sem alterar os dados brutos.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Pentaho Data Integration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Implementar futuramente as transformações e cargas ETL idempotentes.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É a ferramenta visual para levar dados de staging ao DW.</w:t>
            </w:r>
          </w:p>
        </w:tc>
      </w:tr>
      <w:tr>
        <w:tc>
          <w:tcPr>
            <w:tcW w:type="dxa" w:w="237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Oracle SQL Data Modeler</w:t>
            </w:r>
          </w:p>
        </w:tc>
        <w:tc>
          <w:tcPr>
            <w:tcW w:type="dxa" w:w="3671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Desenhar o modelo lógico/físico e o Star Schema.</w:t>
            </w:r>
          </w:p>
        </w:tc>
        <w:tc>
          <w:tcPr>
            <w:tcW w:type="dxa" w:w="316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Ajuda a visualizar fatos, dimensões e relações.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HTML, CSS e JavaScript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Executar o deck interativo já existente no repositório.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Permite apresentar como slides e demonstrar gráficos no navegador.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ptos" w:hAnsi="Aptos"/>
          <w:b/>
          <w:i w:val="0"/>
          <w:color w:val="18324B"/>
          <w:sz w:val="32"/>
        </w:rPr>
        <w:t>6. Revisão da entrega atual</w:t>
      </w:r>
    </w:p>
    <w:p>
      <w:pPr>
        <w:spacing w:before="0" w:after="140" w:line="293" w:lineRule="auto"/>
      </w:pPr>
      <w:r>
        <w:rPr>
          <w:rFonts w:ascii="Aptos" w:hAnsi="Aptos"/>
          <w:b w:val="0"/>
          <w:i w:val="0"/>
          <w:color w:val="000000"/>
          <w:sz w:val="22"/>
        </w:rPr>
        <w:t>A avaliação abaixo considera os requisitos fornecidos para a Entrega 1 e o conteúdo existente no repositório.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Item exigido</w:t>
            </w:r>
          </w:p>
        </w:tc>
        <w:tc>
          <w:tcPr>
            <w:tcW w:type="dxa" w:w="1512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Situação</w:t>
            </w:r>
          </w:p>
        </w:tc>
        <w:tc>
          <w:tcPr>
            <w:tcW w:type="dxa" w:w="5616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Evidência ou correção necessária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Trabalho em trio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DUPLA COM AUTORIZAÇÃO A CONFIRMAR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 projeto será apresentado por Eliezir Moreira Peixoto Neto e Raphael Phillipe da Silva Silverio. As instruções indicam trio; guardar a autorização formal do professor para a dupla.</w:t>
            </w:r>
          </w:p>
        </w:tc>
      </w:tr>
      <w:tr>
        <w:tc>
          <w:tcPr>
            <w:tcW w:type="dxa" w:w="208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Duas ou mais bases</w:t>
            </w:r>
          </w:p>
        </w:tc>
        <w:tc>
          <w:tcPr>
            <w:tcW w:type="dxa" w:w="151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CONFORME</w:t>
            </w:r>
          </w:p>
        </w:tc>
        <w:tc>
          <w:tcPr>
            <w:tcW w:type="dxa" w:w="561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Há duas fontes institucionais: Statistics Canada e Job Bank/ESDC, com três conjuntos de dados.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Objetivo e meta SMART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CONFORME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 objetivo está documentado e a meta SMART possui prazo definido: 14 de dezembro de 2026.</w:t>
            </w:r>
          </w:p>
        </w:tc>
      </w:tr>
      <w:tr>
        <w:tc>
          <w:tcPr>
            <w:tcW w:type="dxa" w:w="208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Dez perguntas</w:t>
            </w:r>
          </w:p>
        </w:tc>
        <w:tc>
          <w:tcPr>
            <w:tcW w:type="dxa" w:w="151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CONFORME</w:t>
            </w:r>
          </w:p>
        </w:tc>
        <w:tc>
          <w:tcPr>
            <w:tcW w:type="dxa" w:w="561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As 10 perguntas estão listadas no plano, relatório e apresentação.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Slides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PARCIAL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Existe deck HTML com 13 telas. Recomenda-se exportar também uma versão PDF para evitar problema de compatibilidade.</w:t>
            </w:r>
          </w:p>
        </w:tc>
      </w:tr>
      <w:tr>
        <w:tc>
          <w:tcPr>
            <w:tcW w:type="dxa" w:w="208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Trabalho escrito</w:t>
            </w:r>
          </w:p>
        </w:tc>
        <w:tc>
          <w:tcPr>
            <w:tcW w:type="dxa" w:w="151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CONFORME</w:t>
            </w:r>
          </w:p>
        </w:tc>
        <w:tc>
          <w:tcPr>
            <w:tcW w:type="dxa" w:w="561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docs/dw_canada.docx cobre escopo, fontes, EDA, alterações, Star Schema, dicionário do DW e anexo.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Script Oracle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PARCIAL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 DDL foi revisado estaticamente: ordem, constraints e identificadores estão consistentes. Falta executar no Oracle do ambiente da disciplina, incluindo a seção DBA de tablespaces.</w:t>
            </w:r>
          </w:p>
        </w:tc>
      </w:tr>
      <w:tr>
        <w:tc>
          <w:tcPr>
            <w:tcW w:type="dxa" w:w="208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Consistência do repositório</w:t>
            </w:r>
          </w:p>
        </w:tc>
        <w:tc>
          <w:tcPr>
            <w:tcW w:type="dxa" w:w="151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CONFORME</w:t>
            </w:r>
          </w:p>
        </w:tc>
        <w:tc>
          <w:tcPr>
            <w:tcW w:type="dxa" w:w="561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Referências de arquivos e a grafia do nome Raphael Phillipe foram padronizadas nos materiais do projeto.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Qualidade visual do relatório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CONFORME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 quebra de página desnecessária foi removida e o documento foi revisado visualmente.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Prioridade de correção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Crítica: confirmar e guardar a autorização para entrega em dupla. Sem essa autorização, a composição diverge da instrução explícita de trabalho em trio.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Alta: testar o script SQL no Oracle da disciplina, se o ambiente estiver disponível, e registrar qualquer ajuste específico de tablespace.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Média: gerar PDF dos slides como cópia de segurança para a apresentação.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Planejamento: o README indica que ETL, dashboards e grafos estão pendentes. Isso não invalida a Entrega 1, mas não deve ser apresentado como projeto completo finalizado.</w:t>
      </w:r>
    </w:p>
    <w:p>
      <w:pPr>
        <w:pStyle w:val="Heading1"/>
        <w:spacing w:before="320" w:after="160"/>
      </w:pPr>
      <w:r>
        <w:rPr>
          <w:rFonts w:ascii="Aptos" w:hAnsi="Aptos"/>
          <w:b/>
          <w:i w:val="0"/>
          <w:color w:val="18324B"/>
          <w:sz w:val="32"/>
        </w:rPr>
        <w:t>7. Forma recomendada de apresentar em aula</w:t>
      </w:r>
    </w:p>
    <w:p>
      <w:pPr>
        <w:spacing w:before="0" w:after="140" w:line="293" w:lineRule="auto"/>
      </w:pPr>
      <w:r>
        <w:rPr>
          <w:rFonts w:ascii="Aptos" w:hAnsi="Aptos"/>
          <w:b w:val="0"/>
          <w:i w:val="0"/>
          <w:color w:val="000000"/>
          <w:sz w:val="22"/>
        </w:rPr>
        <w:t>Recomendação: usar o deck HTML existente como uma apresentação interativa de slides, abrindo presentation/index.html em tela cheia. Assim a equipe mantém a estrutura de slides exigida e pode mostrar gráficos e dados reais no navegador. Levar também um PDF exportado como plano B.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Roteiro de 10 a 12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152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Tempo</w:t>
            </w:r>
          </w:p>
        </w:tc>
        <w:tc>
          <w:tcPr>
            <w:tcW w:type="dxa" w:w="2448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Tela / assunto</w:t>
            </w:r>
          </w:p>
        </w:tc>
        <w:tc>
          <w:tcPr>
            <w:tcW w:type="dxa" w:w="5616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Mensagem principal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0:00-0:45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Abertura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Apresentar tema, equipe e pergunta central: onde um desenvolvedor imigrante encontra melhor equilíbrio entre salário, comunidade e moradia?</w:t>
            </w:r>
          </w:p>
        </w:tc>
      </w:tr>
      <w:tr>
        <w:tc>
          <w:tcPr>
            <w:tcW w:type="dxa" w:w="115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0:45-2:00</w:t>
            </w:r>
          </w:p>
        </w:tc>
        <w:tc>
          <w:tcPr>
            <w:tcW w:type="dxa" w:w="244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Problema e objetivo</w:t>
            </w:r>
          </w:p>
        </w:tc>
        <w:tc>
          <w:tcPr>
            <w:tcW w:type="dxa" w:w="561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Os indicadores estavam em fontes diferentes; o DW os organiza para análise comparável.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2:00-3:00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Fontes e limites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São duas fontes institucionais e três conjuntos de dados; Censo é 2021 e salário é 2023-2024. Não há causalidade nem estimativa de ausência.</w:t>
            </w:r>
          </w:p>
        </w:tc>
      </w:tr>
      <w:tr>
        <w:tc>
          <w:tcPr>
            <w:tcW w:type="dxa" w:w="115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3:00-4:30</w:t>
            </w:r>
          </w:p>
        </w:tc>
        <w:tc>
          <w:tcPr>
            <w:tcW w:type="dxa" w:w="244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As 10 perguntas</w:t>
            </w:r>
          </w:p>
        </w:tc>
        <w:tc>
          <w:tcPr>
            <w:tcW w:type="dxa" w:w="561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Mostrar que as perguntas são o requisito do negócio e orientam o modelo.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4:30-6:30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EDA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Mostrar um gráfico de salário, um de comunidade brasileira e um de habitação. Explicar o que cada um revela.</w:t>
            </w:r>
          </w:p>
        </w:tc>
      </w:tr>
      <w:tr>
        <w:tc>
          <w:tcPr>
            <w:tcW w:type="dxa" w:w="115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6:30-8:30</w:t>
            </w:r>
          </w:p>
        </w:tc>
        <w:tc>
          <w:tcPr>
            <w:tcW w:type="dxa" w:w="244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Star Schema</w:t>
            </w:r>
          </w:p>
        </w:tc>
        <w:tc>
          <w:tcPr>
            <w:tcW w:type="dxa" w:w="561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Explicar dimensões, fatos, grão e por que existem três fatos.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8:30-9:45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Tratamento dos dados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Explicar filtros, preservação de bruto, ausência como NULL/N/A e impacto dos recortes.</w:t>
            </w:r>
          </w:p>
        </w:tc>
      </w:tr>
      <w:tr>
        <w:tc>
          <w:tcPr>
            <w:tcW w:type="dxa" w:w="1152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9:45-11:00</w:t>
            </w:r>
          </w:p>
        </w:tc>
        <w:tc>
          <w:tcPr>
            <w:tcW w:type="dxa" w:w="244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Entrega e próximos passos</w:t>
            </w:r>
          </w:p>
        </w:tc>
        <w:tc>
          <w:tcPr>
            <w:tcW w:type="dxa" w:w="5616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Apontar o SQL Oracle, dicionários e próxima etapa: ETL e dashboards.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Divisão de fala para a dupla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Pessoa 1: contexto, problema, objetivo, meta SMART, fontes e análise exploratória.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000000"/>
          <w:sz w:val="21"/>
        </w:rPr>
        <w:t>Pessoa 2: qualidade dos dados, filtros, Star Schema, dicionário DW, script Oracle, perguntas e próximos passos.</w:t>
      </w: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18324B"/>
          <w:sz w:val="24"/>
        </w:rPr>
        <w:t>Demonstração que vale a pena</w:t>
      </w:r>
    </w:p>
    <w:p>
      <w:pPr>
        <w:spacing w:before="0" w:after="140" w:line="293" w:lineRule="auto"/>
      </w:pPr>
      <w:r>
        <w:rPr>
          <w:rFonts w:ascii="Aptos" w:hAnsi="Aptos"/>
          <w:b w:val="0"/>
          <w:i w:val="0"/>
          <w:color w:val="000000"/>
          <w:sz w:val="22"/>
        </w:rPr>
        <w:t>Durante a fala, abra somente três gráficos já existentes: salário mediano, comunidade brasileira e habitação de inquilinos. Em seguida mostre o diagrama do modelo. A demonstração deve explicar uma decisão, não apenas navegar pelas telas.</w:t>
      </w:r>
    </w:p>
    <w:p>
      <w:pPr>
        <w:pStyle w:val="Heading1"/>
        <w:spacing w:before="320" w:after="160"/>
      </w:pPr>
      <w:r>
        <w:rPr>
          <w:rFonts w:ascii="Aptos" w:hAnsi="Aptos"/>
          <w:b/>
          <w:i w:val="0"/>
          <w:color w:val="18324B"/>
          <w:sz w:val="32"/>
        </w:rPr>
        <w:t>8. Checklist antes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7488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Verificação</w:t>
            </w:r>
          </w:p>
        </w:tc>
        <w:tc>
          <w:tcPr>
            <w:tcW w:type="dxa" w:w="1728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Pronto?</w:t>
            </w:r>
          </w:p>
        </w:tc>
      </w:tr>
      <w:tr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Autorização formal do professor para trabalho em dupla guardada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748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Nome dos integrantes igual em todos os arquivos</w:t>
            </w:r>
          </w:p>
        </w:tc>
        <w:tc>
          <w:tcPr>
            <w:tcW w:type="dxa" w:w="172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Data exata inserida na meta SMART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748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Script Oracle testado sem linhas de separador inválidas</w:t>
            </w:r>
          </w:p>
        </w:tc>
        <w:tc>
          <w:tcPr>
            <w:tcW w:type="dxa" w:w="172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Caminhos e nomes de arquivos atualizados no plano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748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Página vazia removida do trabalho escrito</w:t>
            </w:r>
          </w:p>
        </w:tc>
        <w:tc>
          <w:tcPr>
            <w:tcW w:type="dxa" w:w="172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Deck HTML testado no computador/projetor e PDF de backup salvo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748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Cada integrante treinou sua parte e sabe explicar uma limitação do projeto</w:t>
            </w:r>
          </w:p>
        </w:tc>
        <w:tc>
          <w:tcPr>
            <w:tcW w:type="dxa" w:w="172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[  ]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ptos" w:hAnsi="Aptos"/>
          <w:b/>
          <w:i w:val="0"/>
          <w:color w:val="18324B"/>
          <w:sz w:val="32"/>
        </w:rPr>
        <w:t>9. Arquivos importantes do repositório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Arquivo</w:t>
            </w:r>
          </w:p>
        </w:tc>
        <w:tc>
          <w:tcPr>
            <w:tcW w:type="dxa" w:w="6048"/>
            <w:shd w:fill="18324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docs/dw_canada.docx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Trabalho escrito principal da Entrega 1.</w:t>
            </w:r>
          </w:p>
        </w:tc>
      </w:tr>
      <w:tr>
        <w:tc>
          <w:tcPr>
            <w:tcW w:type="dxa" w:w="316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presentation/index.html</w:t>
            </w:r>
          </w:p>
        </w:tc>
        <w:tc>
          <w:tcPr>
            <w:tcW w:type="dxa" w:w="604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Apresentação interativa em formato de slides.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docs/dicionario_oltp.md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Dicionário das fontes operacionais de origem.</w:t>
            </w:r>
          </w:p>
        </w:tc>
      </w:tr>
      <w:tr>
        <w:tc>
          <w:tcPr>
            <w:tcW w:type="dxa" w:w="316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docs/eda_oltp.md</w:t>
            </w:r>
          </w:p>
        </w:tc>
        <w:tc>
          <w:tcPr>
            <w:tcW w:type="dxa" w:w="604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Roteiro e resultados da análise exploratória.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docs/modelo_dimensional.md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Modelo Star Schema, grão e mapeamento origem-destino.</w:t>
            </w:r>
          </w:p>
        </w:tc>
      </w:tr>
      <w:tr>
        <w:tc>
          <w:tcPr>
            <w:tcW w:type="dxa" w:w="316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docs/dicionario_dw.md</w:t>
            </w:r>
          </w:p>
        </w:tc>
        <w:tc>
          <w:tcPr>
            <w:tcW w:type="dxa" w:w="6048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Dicionário das dimensões, fatos e staging.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sql/script_oracle.sql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DDL Oracle a ser corrigido e anexado/executado.</w:t>
            </w:r>
          </w:p>
        </w:tc>
      </w:tr>
    </w:tbl>
    <w:p>
      <w:pPr>
        <w:spacing w:after="40"/>
      </w:pPr>
    </w:p>
    <w:p>
      <w:pPr>
        <w:spacing w:before="300" w:after="0" w:line="293" w:lineRule="auto"/>
      </w:pPr>
      <w:r>
        <w:rPr>
          <w:rFonts w:ascii="Aptos" w:hAnsi="Aptos"/>
          <w:b w:val="0"/>
          <w:i/>
          <w:color w:val="000000"/>
          <w:sz w:val="19"/>
        </w:rPr>
        <w:t>Referência didática: o exemplo de trabalho sobre NBA foi usado apenas como orientação de estrutura. Conforme aviso do docente, ele pode conter erros ou lacunas e não substitui os requisitos oficiais desta entrega.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