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Công thức định nghĩa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(với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hằng số) có công thức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.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</m:oMath>
    </w:p>
    <w:p>
      <w:pPr>
        <w:pStyle w:val="BodyText"/>
      </w:pPr>
      <w:r>
        <w:t xml:space="preserve">Bài 3. Công thức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(với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n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Bài 4. Quy tắc tính đạo hàm của tổng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+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Bài 5. Ý nghĩa hình học của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Độ dài của tiếp tuyến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B. Hệ số góc của tiếp tuyến với đồ thị 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C. Khoảng cách từ gốc tọa độ đến tiếp tuyến</w:t>
      </w:r>
      <w:r>
        <w:t xml:space="preserve"> </w:t>
      </w:r>
      <w:r>
        <w:t xml:space="preserve">D. Góc tạo bởi tiếp tuyến và trục tung</w:t>
      </w:r>
    </w:p>
    <w:p>
      <w:pPr>
        <w:pStyle w:val="BodyText"/>
      </w:pPr>
      <w:r>
        <w:t xml:space="preserve">Bài 6. Công thức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Bài 7. Quy tắc tính đạo hàm của tích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+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−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8.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có công thức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Bài 9. Trong vật lý, nếu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 phương trình chuyển động thì đạo hàm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biểu thị:</w:t>
      </w:r>
      <w:r>
        <w:t xml:space="preserve"> </w:t>
      </w:r>
      <w:r>
        <w:t xml:space="preserve">A. Gia tốc tức thời tại thời điểm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B. Vận tốc tức thời tại thời điểm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C. Quãng đường đi được tại thời điểm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D. Thời gian chuyển động</w:t>
      </w:r>
    </w:p>
    <w:p>
      <w:pPr>
        <w:pStyle w:val="BodyText"/>
      </w:pPr>
      <w:r>
        <w:t xml:space="preserve">Bài 10. Quy tắc tính đạo hàm của thương hai hàm số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num>
          <m:den>
            <m:r>
              <m:t>v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v</m:t>
            </m:r>
          </m:den>
        </m:f>
      </m:oMath>
    </w:p>
    <w:p>
      <w:pPr>
        <w:pStyle w:val="BodyText"/>
      </w:pPr>
      <w:r>
        <w:t xml:space="preserve">Bài 11. Điều kiện để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B.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tồn tại và hữu hạn</w:t>
      </w:r>
      <w:r>
        <w:t xml:space="preserve"> </w:t>
      </w: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phải khác 0</w:t>
      </w:r>
      <w:r>
        <w:t xml:space="preserve"> </w:t>
      </w: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phải là hàm số chẵn</w:t>
      </w:r>
    </w:p>
    <w:p>
      <w:pPr>
        <w:pStyle w:val="BodyText"/>
      </w:pPr>
      <w:r>
        <w:t xml:space="preserve">Bài 12. Với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hằng số, quy tắc tính đạo hàm của</w:t>
      </w:r>
      <w:r>
        <w:t xml:space="preserve"> </w:t>
      </w:r>
      <m:oMath>
        <m:r>
          <m:t>k</m:t>
        </m:r>
        <m:r>
          <m:rPr>
            <m:sty m:val="p"/>
          </m:rPr>
          <m:t>⋅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k</m:t>
        </m:r>
        <m:r>
          <m:t>f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k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t>f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k</m:t>
            </m:r>
          </m:e>
          <m:sup>
            <m:r>
              <m:t>2</m:t>
            </m:r>
          </m:sup>
        </m:sSup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Bài 13. Ký hiệu nào sau đây KHÔNG phải là cách viết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14.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có đạo hàm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15. Quy tắc đạo hàm của hiệu hai hàm số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−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16. Điều kiện để áp dụng quy tắc đạo hàm thương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theo công thức cơ bản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18. Trong định nghĩa đạo hàm, biểu thức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được gọi là:</w:t>
      </w:r>
      <w:r>
        <w:t xml:space="preserve"> </w:t>
      </w:r>
      <w:r>
        <w:t xml:space="preserve">A. Tỉ số gia</w:t>
      </w:r>
      <w:r>
        <w:t xml:space="preserve"> </w:t>
      </w:r>
      <w:r>
        <w:t xml:space="preserve">B. Gia số</w:t>
      </w:r>
      <w:r>
        <w:t xml:space="preserve"> </w:t>
      </w:r>
      <w:r>
        <w:t xml:space="preserve">C. Đạo hàm</w:t>
      </w:r>
      <w:r>
        <w:t xml:space="preserve"> </w:t>
      </w:r>
      <w:r>
        <w:t xml:space="preserve">D. Giới hạn</w:t>
      </w:r>
    </w:p>
    <w:p>
      <w:pPr>
        <w:pStyle w:val="BodyText"/>
      </w:pPr>
      <w:r>
        <w:t xml:space="preserve">Bài 19.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có đạo hàm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Bài 20. Nếu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thì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w:r>
        <w:t xml:space="preserve">A. Có thể không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B. Nhất thiết phải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C. Phải là hàm hằng số</w:t>
      </w:r>
      <w:r>
        <w:t xml:space="preserve"> </w:t>
      </w:r>
      <w:r>
        <w:t xml:space="preserve">D. Phải có đạo hàm trên toàn bộ tập xác định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2025-09-17T12:47:59Z</dcterms:created>
  <dcterms:modified xsi:type="dcterms:W3CDTF">2025-09-17T12:47:59Z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