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3E79" w:rsidRDefault="00000000">
      <w:pPr>
        <w:jc w:val="center"/>
        <w:rPr>
          <w:rFonts w:ascii="Times New Roman" w:eastAsia="宋体" w:hAnsi="Times New Roman" w:cs="Times New Roman"/>
          <w:b/>
          <w:color w:val="000000" w:themeColor="text1"/>
          <w:sz w:val="30"/>
          <w:szCs w:val="30"/>
          <w:lang w:eastAsia="zh-CN"/>
        </w:rPr>
      </w:pPr>
      <w:bookmarkStart w:id="0" w:name="OLE_LINK62"/>
      <w:bookmarkStart w:id="1" w:name="OLE_LINK103"/>
      <w:r>
        <w:rPr>
          <w:rFonts w:ascii="Times New Roman" w:eastAsia="宋体" w:hAnsi="Times New Roman" w:cs="Times New Roman" w:hint="eastAsia"/>
          <w:b/>
          <w:color w:val="000000" w:themeColor="text1"/>
          <w:sz w:val="30"/>
          <w:szCs w:val="30"/>
          <w:lang w:eastAsia="zh-CN"/>
        </w:rPr>
        <w:t>《孔子衣鏡》通假考證</w:t>
      </w:r>
      <w:r>
        <w:rPr>
          <w:rFonts w:ascii="Times New Roman" w:eastAsia="宋体" w:hAnsi="Times New Roman" w:cs="Times New Roman" w:hint="eastAsia"/>
          <w:b/>
          <w:color w:val="000000" w:themeColor="text1"/>
          <w:sz w:val="30"/>
          <w:szCs w:val="30"/>
          <w:lang w:eastAsia="zh-CN"/>
        </w:rPr>
        <w:t xml:space="preserve"> </w:t>
      </w:r>
    </w:p>
    <w:bookmarkEnd w:id="0"/>
    <w:p w:rsidR="00773E79" w:rsidRDefault="00773E79">
      <w:pP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</w:pPr>
    </w:p>
    <w:p w:rsidR="00773E79" w:rsidRDefault="00000000">
      <w:pP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 xml:space="preserve">       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裘錫圭《文字學概要》對“假借”“通假”“異體”有較為嚴格和狹義的定義。白於藍《</w:t>
      </w: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>簡帛古書通假字大系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》所收錄“通假”字則較為寬泛。這裡的“通假”取廣義。釋文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1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為嚴式釋文，按照古文字規範整理。釋文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2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為今本常用規範字。</w:t>
      </w:r>
    </w:p>
    <w:p w:rsidR="00773E79" w:rsidRDefault="00773E79">
      <w:pP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</w:pPr>
    </w:p>
    <w:p w:rsidR="00773E79" w:rsidRDefault="00000000">
      <w:pP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</w:pP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>參考資料：</w:t>
      </w:r>
    </w:p>
    <w:p w:rsidR="00773E79" w:rsidRDefault="00000000">
      <w:pPr>
        <w:numPr>
          <w:ilvl w:val="0"/>
          <w:numId w:val="7"/>
        </w:numPr>
        <w:spacing w:line="240" w:lineRule="auto"/>
        <w:rPr>
          <w:rFonts w:ascii="宋体" w:eastAsia="宋体" w:hAnsi="宋体" w:cs="Times New Roman"/>
          <w:bCs/>
          <w:color w:val="000000" w:themeColor="text1"/>
          <w:szCs w:val="18"/>
          <w:lang w:eastAsia="zh-CN"/>
        </w:rPr>
      </w:pPr>
      <w:proofErr w:type="spellStart"/>
      <w:r>
        <w:rPr>
          <w:rStyle w:val="aff"/>
          <w:rFonts w:ascii="宋体" w:eastAsia="宋体" w:hAnsi="宋体"/>
          <w:bCs/>
          <w:color w:val="000000" w:themeColor="text1"/>
          <w:vertAlign w:val="baseline"/>
        </w:rPr>
        <w:t>段玉裁《</w:t>
      </w:r>
      <w:r>
        <w:rPr>
          <w:rStyle w:val="aff"/>
          <w:rFonts w:ascii="宋体" w:eastAsia="宋体" w:hAnsi="宋体" w:hint="eastAsia"/>
          <w:bCs/>
          <w:color w:val="000000" w:themeColor="text1"/>
          <w:vertAlign w:val="baseline"/>
        </w:rPr>
        <w:t>説</w:t>
      </w:r>
      <w:r>
        <w:rPr>
          <w:rStyle w:val="aff"/>
          <w:rFonts w:ascii="宋体" w:eastAsia="宋体" w:hAnsi="宋体"/>
          <w:bCs/>
          <w:color w:val="000000" w:themeColor="text1"/>
          <w:vertAlign w:val="baseline"/>
        </w:rPr>
        <w:t>文解字</w:t>
      </w:r>
      <w:r>
        <w:rPr>
          <w:rStyle w:val="aff"/>
          <w:rFonts w:ascii="宋体" w:eastAsia="宋体" w:hAnsi="宋体" w:hint="eastAsia"/>
          <w:bCs/>
          <w:color w:val="000000" w:themeColor="text1"/>
          <w:vertAlign w:val="baseline"/>
        </w:rPr>
        <w:t>注</w:t>
      </w:r>
      <w:proofErr w:type="spellEnd"/>
      <w:r>
        <w:rPr>
          <w:rStyle w:val="aff"/>
          <w:rFonts w:ascii="宋体" w:eastAsia="宋体" w:hAnsi="宋体"/>
          <w:bCs/>
          <w:color w:val="000000" w:themeColor="text1"/>
          <w:vertAlign w:val="baseline"/>
        </w:rPr>
        <w:t>》，</w:t>
      </w:r>
      <w:proofErr w:type="spellStart"/>
      <w:r>
        <w:rPr>
          <w:rStyle w:val="aff"/>
          <w:rFonts w:ascii="宋体" w:eastAsia="宋体" w:hAnsi="宋体"/>
          <w:bCs/>
          <w:color w:val="000000" w:themeColor="text1"/>
          <w:vertAlign w:val="baseline"/>
        </w:rPr>
        <w:t>上海：上海古籍出版社</w:t>
      </w:r>
      <w:proofErr w:type="spellEnd"/>
      <w:r>
        <w:rPr>
          <w:rFonts w:ascii="宋体" w:eastAsia="宋体" w:hAnsi="宋体" w:hint="eastAsia"/>
          <w:bCs/>
          <w:color w:val="000000" w:themeColor="text1"/>
          <w:lang w:eastAsia="zh-CN"/>
        </w:rPr>
        <w:t>，</w:t>
      </w:r>
      <w:r>
        <w:rPr>
          <w:rStyle w:val="aff"/>
          <w:rFonts w:ascii="宋体" w:eastAsia="宋体" w:hAnsi="宋体"/>
          <w:bCs/>
          <w:color w:val="000000" w:themeColor="text1"/>
          <w:vertAlign w:val="baseline"/>
        </w:rPr>
        <w:t>1988年。</w:t>
      </w:r>
    </w:p>
    <w:p w:rsidR="00773E79" w:rsidRDefault="00000000">
      <w:pPr>
        <w:numPr>
          <w:ilvl w:val="0"/>
          <w:numId w:val="7"/>
        </w:numPr>
        <w:spacing w:line="240" w:lineRule="auto"/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</w:pP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>顧野王撰</w:t>
      </w: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 xml:space="preserve"> </w:t>
      </w: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>，呂浩校點</w:t>
      </w: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 xml:space="preserve"> </w:t>
      </w: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>：《大廣益會玉篇》，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北京：</w:t>
      </w: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>中華書局，</w:t>
      </w: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>2019</w:t>
      </w: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>年。</w:t>
      </w:r>
    </w:p>
    <w:p w:rsidR="00773E79" w:rsidRDefault="00000000">
      <w:pPr>
        <w:numPr>
          <w:ilvl w:val="0"/>
          <w:numId w:val="7"/>
        </w:numPr>
        <w:spacing w:line="240" w:lineRule="auto"/>
        <w:rPr>
          <w:rStyle w:val="aff"/>
          <w:rFonts w:ascii="Times New Roman" w:eastAsia="宋体" w:hAnsi="Times New Roman" w:cs="Times New Roman"/>
          <w:bCs/>
          <w:color w:val="000000" w:themeColor="text1"/>
          <w:szCs w:val="18"/>
          <w:vertAlign w:val="baseline"/>
          <w:lang w:eastAsia="zh-CN"/>
        </w:rPr>
      </w:pP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>王力《王力古漢語字典》，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北京：中華書局，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2000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年。</w:t>
      </w:r>
    </w:p>
    <w:p w:rsidR="00773E79" w:rsidRDefault="00000000">
      <w:pPr>
        <w:numPr>
          <w:ilvl w:val="0"/>
          <w:numId w:val="7"/>
        </w:numPr>
        <w:spacing w:line="240" w:lineRule="auto"/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</w:pPr>
      <w:bookmarkStart w:id="2" w:name="OLE_LINK61"/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王海根</w:t>
      </w: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>《古代漢語通假字大字典》</w:t>
      </w:r>
      <w:bookmarkStart w:id="3" w:name="OLE_LINK45"/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，福州：福建人民出版社，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2006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年。</w:t>
      </w:r>
      <w:bookmarkEnd w:id="3"/>
    </w:p>
    <w:bookmarkEnd w:id="2"/>
    <w:p w:rsidR="00773E79" w:rsidRDefault="00000000">
      <w:pPr>
        <w:pStyle w:val="aff1"/>
        <w:numPr>
          <w:ilvl w:val="0"/>
          <w:numId w:val="7"/>
        </w:numPr>
        <w:rPr>
          <w:rFonts w:ascii="Calibri" w:eastAsia="宋体" w:hAnsi="Calibri" w:cs="Calibri"/>
          <w:bCs/>
          <w:color w:val="000000" w:themeColor="text1"/>
          <w:szCs w:val="18"/>
          <w:lang w:eastAsia="zh-CN"/>
        </w:rPr>
      </w:pPr>
      <w:r>
        <w:rPr>
          <w:rFonts w:ascii="Calibri" w:eastAsia="宋体" w:hAnsi="Calibri" w:cs="Calibri"/>
          <w:bCs/>
          <w:color w:val="000000" w:themeColor="text1"/>
          <w:szCs w:val="18"/>
          <w:lang w:eastAsia="zh-CN"/>
        </w:rPr>
        <w:t>宗福邦主編</w:t>
      </w:r>
      <w:r>
        <w:rPr>
          <w:rFonts w:ascii="Calibri" w:eastAsia="宋体" w:hAnsi="Calibri" w:cs="Calibri" w:hint="eastAsia"/>
          <w:bCs/>
          <w:color w:val="000000" w:themeColor="text1"/>
          <w:szCs w:val="18"/>
          <w:lang w:eastAsia="zh-CN"/>
        </w:rPr>
        <w:t>：《</w:t>
      </w:r>
      <w:r>
        <w:rPr>
          <w:rFonts w:ascii="Calibri" w:eastAsia="宋体" w:hAnsi="Calibri" w:cs="Calibri"/>
          <w:bCs/>
          <w:color w:val="000000" w:themeColor="text1"/>
          <w:szCs w:val="18"/>
          <w:lang w:eastAsia="zh-CN"/>
        </w:rPr>
        <w:t>故訓匯纂</w:t>
      </w:r>
      <w:r>
        <w:rPr>
          <w:rFonts w:ascii="Calibri" w:eastAsia="宋体" w:hAnsi="Calibri" w:cs="Calibri" w:hint="eastAsia"/>
          <w:bCs/>
          <w:color w:val="000000" w:themeColor="text1"/>
          <w:szCs w:val="18"/>
          <w:lang w:eastAsia="zh-CN"/>
        </w:rPr>
        <w:t>》，北京：商務印書館，</w:t>
      </w:r>
      <w:r>
        <w:rPr>
          <w:rFonts w:ascii="Calibri" w:eastAsia="宋体" w:hAnsi="Calibri" w:cs="Calibri" w:hint="eastAsia"/>
          <w:bCs/>
          <w:color w:val="000000" w:themeColor="text1"/>
          <w:szCs w:val="18"/>
          <w:lang w:eastAsia="zh-CN"/>
        </w:rPr>
        <w:t>2007</w:t>
      </w:r>
      <w:r>
        <w:rPr>
          <w:rFonts w:ascii="Calibri" w:eastAsia="宋体" w:hAnsi="Calibri" w:cs="Calibri" w:hint="eastAsia"/>
          <w:bCs/>
          <w:color w:val="000000" w:themeColor="text1"/>
          <w:szCs w:val="18"/>
          <w:lang w:eastAsia="zh-CN"/>
        </w:rPr>
        <w:t>年。</w:t>
      </w:r>
    </w:p>
    <w:p w:rsidR="00773E79" w:rsidRDefault="00000000">
      <w:pPr>
        <w:numPr>
          <w:ilvl w:val="0"/>
          <w:numId w:val="7"/>
        </w:numPr>
        <w:spacing w:line="240" w:lineRule="auto"/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白於藍</w:t>
      </w:r>
      <w:bookmarkStart w:id="4" w:name="OLE_LINK60"/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《</w:t>
      </w: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>簡帛古書通假字大系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》</w:t>
      </w:r>
      <w:bookmarkEnd w:id="4"/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，福州：福建人民出版社，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2017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18"/>
          <w:lang w:eastAsia="zh-CN"/>
        </w:rPr>
        <w:t>年。</w:t>
      </w:r>
    </w:p>
    <w:p w:rsidR="00773E79" w:rsidRDefault="00000000">
      <w:pPr>
        <w:numPr>
          <w:ilvl w:val="0"/>
          <w:numId w:val="7"/>
        </w:numPr>
        <w:spacing w:line="240" w:lineRule="auto"/>
        <w:rPr>
          <w:rFonts w:ascii="Times New Roman" w:eastAsia="宋体" w:hAnsi="Times New Roman" w:cs="Times New Roman"/>
          <w:bCs/>
          <w:color w:val="000000" w:themeColor="text1"/>
          <w:szCs w:val="18"/>
        </w:rPr>
      </w:pP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>北京師範大學</w:t>
      </w: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 xml:space="preserve"> </w:t>
      </w: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>通假字在線資源庫</w:t>
      </w:r>
      <w: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  <w:t xml:space="preserve"> </w:t>
      </w:r>
      <w:hyperlink r:id="rId8" w:history="1">
        <w:r>
          <w:rPr>
            <w:rStyle w:val="afe"/>
            <w:rFonts w:ascii="Times New Roman" w:eastAsia="宋体" w:hAnsi="Times New Roman" w:cs="Times New Roman" w:hint="eastAsia"/>
            <w:bCs/>
            <w:color w:val="000000" w:themeColor="text1"/>
            <w:szCs w:val="18"/>
          </w:rPr>
          <w:t>https://tjz.zhaoji.ac.cn</w:t>
        </w:r>
      </w:hyperlink>
    </w:p>
    <w:p w:rsidR="00773E79" w:rsidRDefault="00773E79">
      <w:pPr>
        <w:spacing w:line="240" w:lineRule="auto"/>
        <w:ind w:left="425"/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</w:pPr>
    </w:p>
    <w:p w:rsidR="00773E79" w:rsidRDefault="00773E79">
      <w:pPr>
        <w:spacing w:line="240" w:lineRule="auto"/>
        <w:ind w:left="425"/>
        <w:rPr>
          <w:rFonts w:ascii="Times New Roman" w:eastAsia="宋体" w:hAnsi="Times New Roman" w:cs="Times New Roman"/>
          <w:bCs/>
          <w:color w:val="000000" w:themeColor="text1"/>
          <w:szCs w:val="18"/>
        </w:rPr>
      </w:pPr>
    </w:p>
    <w:p w:rsidR="00773E79" w:rsidRDefault="00000000">
      <w:pPr>
        <w:rPr>
          <w:rFonts w:ascii="Times New Roman" w:eastAsia="宋体" w:hAnsi="Times New Roman" w:cs="Times New Roman"/>
          <w:b/>
          <w:color w:val="000000" w:themeColor="text1"/>
          <w:szCs w:val="18"/>
        </w:rPr>
      </w:pP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 xml:space="preserve">1. 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孔子（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1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18"/>
          <w:lang w:eastAsia="zh-CN"/>
        </w:rPr>
        <w:t>5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）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96"/>
        <w:gridCol w:w="529"/>
        <w:gridCol w:w="396"/>
        <w:gridCol w:w="1491"/>
        <w:gridCol w:w="4266"/>
        <w:gridCol w:w="1552"/>
      </w:tblGrid>
      <w:tr w:rsidR="00773E79" w:rsidTr="006C5FCF">
        <w:tc>
          <w:tcPr>
            <w:tcW w:w="396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5" w:name="_Hlk222835289"/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序號</w:t>
            </w:r>
            <w:proofErr w:type="spellEnd"/>
          </w:p>
        </w:tc>
        <w:tc>
          <w:tcPr>
            <w:tcW w:w="533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釋文</w:t>
            </w:r>
            <w:proofErr w:type="spellEnd"/>
          </w:p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236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釋文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1511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《衣鏡》編號</w:t>
            </w:r>
          </w:p>
        </w:tc>
        <w:tc>
          <w:tcPr>
            <w:tcW w:w="4375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字形考證</w:t>
            </w:r>
            <w:proofErr w:type="spellEnd"/>
          </w:p>
        </w:tc>
        <w:tc>
          <w:tcPr>
            <w:tcW w:w="1579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文獻出處</w:t>
            </w:r>
            <w:proofErr w:type="spellEnd"/>
          </w:p>
        </w:tc>
      </w:tr>
      <w:bookmarkEnd w:id="5"/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6" w:name="OLE_LINK52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棸</w:t>
            </w:r>
            <w:bookmarkEnd w:id="6"/>
          </w:p>
        </w:tc>
        <w:tc>
          <w:tcPr>
            <w:tcW w:w="2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7" w:name="OLE_LINK58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陬</w:t>
            </w:r>
            <w:bookmarkEnd w:id="7"/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·8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陬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，</w:t>
            </w:r>
            <w:r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子侯切，平侯，精。侯部。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棸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，</w:t>
            </w:r>
            <w:r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﻿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直由切，平尤，澄。侯部。</w:t>
            </w:r>
          </w:p>
          <w:p w:rsidR="00773E79" w:rsidRDefault="00000000">
            <w:pPr>
              <w:spacing w:line="240" w:lineRule="auto"/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按：均從“取”。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均為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侯部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字，可通。</w:t>
            </w: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王力，頁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492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1589</w:t>
            </w:r>
          </w:p>
        </w:tc>
      </w:tr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8" w:name="_Hlk222840810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9" w:name="OLE_LINK55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杚</w:t>
            </w:r>
            <w:bookmarkEnd w:id="9"/>
          </w:p>
        </w:tc>
        <w:tc>
          <w:tcPr>
            <w:tcW w:w="2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紇</w:t>
            </w:r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·25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·26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bCs/>
                <w:color w:val="000000" w:themeColor="text1"/>
                <w:lang w:eastAsia="zh-CN"/>
              </w:rPr>
            </w:pPr>
            <w:r>
              <w:rPr>
                <w:rFonts w:eastAsia="宋体" w:hint="eastAsia"/>
                <w:bCs/>
                <w:color w:val="000000" w:themeColor="text1"/>
                <w:lang w:eastAsia="zh-CN"/>
              </w:rPr>
              <w:t>《</w:t>
            </w:r>
            <w:r>
              <w:rPr>
                <w:rFonts w:ascii="微软雅黑" w:eastAsia="宋体" w:hAnsi="微软雅黑" w:cs="微软雅黑" w:hint="eastAsia"/>
                <w:bCs/>
                <w:color w:val="000000" w:themeColor="text1"/>
                <w:lang w:eastAsia="zh-CN"/>
              </w:rPr>
              <w:t>説文</w:t>
            </w:r>
            <w:r>
              <w:rPr>
                <w:rFonts w:eastAsia="宋体" w:hint="eastAsia"/>
                <w:bCs/>
                <w:color w:val="000000" w:themeColor="text1"/>
                <w:lang w:eastAsia="zh-CN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杚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，</w:t>
            </w:r>
            <w:r>
              <w:rPr>
                <w:rFonts w:eastAsia="宋体"/>
                <w:bCs/>
                <w:color w:val="000000" w:themeColor="text1"/>
                <w:lang w:eastAsia="zh-CN"/>
              </w:rPr>
              <w:t>平也。從木氣聲。</w:t>
            </w:r>
          </w:p>
          <w:p w:rsidR="00773E79" w:rsidRDefault="00000000">
            <w:pPr>
              <w:spacing w:line="240" w:lineRule="auto"/>
              <w:rPr>
                <w:bCs/>
                <w:color w:val="000000" w:themeColor="text1"/>
                <w:lang w:eastAsia="zh-CN"/>
              </w:rPr>
            </w:pPr>
            <w:r>
              <w:rPr>
                <w:rFonts w:eastAsia="宋体" w:hint="eastAsia"/>
                <w:bCs/>
                <w:color w:val="000000" w:themeColor="text1"/>
                <w:lang w:eastAsia="zh-CN"/>
              </w:rPr>
              <w:t>《</w:t>
            </w:r>
            <w:r>
              <w:rPr>
                <w:rFonts w:ascii="微软雅黑" w:eastAsia="宋体" w:hAnsi="微软雅黑" w:cs="微软雅黑" w:hint="eastAsia"/>
                <w:bCs/>
                <w:color w:val="000000" w:themeColor="text1"/>
                <w:lang w:eastAsia="zh-CN"/>
              </w:rPr>
              <w:t>説文</w:t>
            </w:r>
            <w:r>
              <w:rPr>
                <w:rFonts w:eastAsia="宋体" w:hint="eastAsia"/>
                <w:bCs/>
                <w:color w:val="000000" w:themeColor="text1"/>
                <w:lang w:eastAsia="zh-CN"/>
              </w:rPr>
              <w:t>》：</w:t>
            </w:r>
            <w:bookmarkStart w:id="10" w:name="OLE_LINK59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紇</w:t>
            </w:r>
            <w:bookmarkEnd w:id="10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，</w:t>
            </w:r>
            <w:r>
              <w:rPr>
                <w:rFonts w:eastAsia="宋体"/>
                <w:bCs/>
                <w:color w:val="000000" w:themeColor="text1"/>
                <w:lang w:eastAsia="zh-CN"/>
              </w:rPr>
              <w:t>絲下也。從糸氣聲。《春秋傳》有臧孫紇。下沒切</w:t>
            </w:r>
          </w:p>
          <w:p w:rsidR="00773E79" w:rsidRDefault="00000000">
            <w:pPr>
              <w:spacing w:line="240" w:lineRule="auto"/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按：字形均從“乞”。字音均從“氣”。可通。</w:t>
            </w:r>
            <w:r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﻿</w:t>
            </w: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《説文段注》，頁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260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644</w:t>
            </w:r>
          </w:p>
        </w:tc>
      </w:tr>
      <w:bookmarkEnd w:id="8"/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3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11" w:name="OLE_LINK53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㙒</w:t>
            </w:r>
            <w:bookmarkEnd w:id="11"/>
          </w:p>
        </w:tc>
        <w:tc>
          <w:tcPr>
            <w:tcW w:w="2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野</w:t>
            </w:r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·31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Calibri" w:eastAsia="宋体" w:hAnsi="Calibri" w:cs="Calibri" w:hint="eastAsia"/>
                <w:bCs/>
                <w:color w:val="000000" w:themeColor="text1"/>
                <w:szCs w:val="18"/>
                <w:lang w:eastAsia="zh-CN"/>
              </w:rPr>
              <w:t>野，</w:t>
            </w:r>
            <w:r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《集韻》上與切，上語禪。讀</w:t>
            </w:r>
            <w:r>
              <w:rPr>
                <w:rFonts w:ascii="Calibri" w:eastAsia="宋体" w:hAnsi="Calibri" w:cs="Calibri" w:hint="eastAsia"/>
                <w:bCs/>
                <w:color w:val="000000" w:themeColor="text1"/>
                <w:szCs w:val="18"/>
                <w:lang w:eastAsia="zh-CN"/>
              </w:rPr>
              <w:t>曰</w:t>
            </w:r>
            <w:r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墅。《大戴禮記</w:t>
            </w:r>
            <w:r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•</w:t>
            </w:r>
            <w:r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曾子制言上》</w:t>
            </w:r>
            <w:r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在田無</w:t>
            </w:r>
            <w:r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~”</w:t>
            </w:r>
            <w:r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王聘珍解詁。</w:t>
            </w: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《</w:t>
            </w:r>
            <w:bookmarkStart w:id="12" w:name="OLE_LINK54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故訓彙纂</w:t>
            </w:r>
            <w:bookmarkEnd w:id="12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》，頁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2358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，第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92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條</w:t>
            </w:r>
          </w:p>
        </w:tc>
      </w:tr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bookmarkStart w:id="13" w:name="_Hlk222836276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4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14" w:name="OLE_LINK31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廿</w:t>
            </w:r>
            <w:bookmarkEnd w:id="14"/>
          </w:p>
        </w:tc>
        <w:tc>
          <w:tcPr>
            <w:tcW w:w="2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二十</w:t>
            </w:r>
            <w:proofErr w:type="spellEnd"/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·43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子夏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·14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二十幷也。古文省多。省多者、省作二十</w:t>
            </w:r>
            <w:r>
              <w:rPr>
                <w:rFonts w:ascii="Calibri" w:eastAsia="宋体" w:hAnsi="Calibri" w:cs="Calibri" w:hint="eastAsia"/>
                <w:bCs/>
                <w:color w:val="000000" w:themeColor="text1"/>
                <w:szCs w:val="18"/>
                <w:lang w:eastAsia="zh-CN"/>
              </w:rPr>
              <w:t>字爲一字也。考工記。</w:t>
            </w:r>
            <w:r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桯長倍之。四尺者二。十分寸之一謂之枚。本於二字爲句絶。故書十與上二合爲廿。此可證周時凡言二十可作廿也。古文廿仍讀二十</w:t>
            </w:r>
            <w:r>
              <w:rPr>
                <w:rFonts w:ascii="Calibri" w:eastAsia="宋体" w:hAnsi="Calibri" w:cs="Calibri" w:hint="eastAsia"/>
                <w:bCs/>
                <w:color w:val="000000" w:themeColor="text1"/>
                <w:szCs w:val="18"/>
                <w:lang w:eastAsia="zh-CN"/>
              </w:rPr>
              <w:t>字。秦碑小篆則維</w:t>
            </w:r>
            <w:r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卄六年、維卄九年、卅有七年皆讀一字。以合四言。卄之讀如入。卅之讀如？。皆自反也。至唐石經二十皆作卄。三十皆作卅。則仍讀爲二十、三十矣。人汁切。七部。</w:t>
            </w: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bookmarkStart w:id="15" w:name="OLE_LINK33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《説文段注》</w:t>
            </w:r>
            <w:bookmarkEnd w:id="15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，頁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89</w:t>
            </w:r>
          </w:p>
        </w:tc>
      </w:tr>
      <w:bookmarkEnd w:id="13"/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5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中</w:t>
            </w:r>
          </w:p>
        </w:tc>
        <w:tc>
          <w:tcPr>
            <w:tcW w:w="2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仲</w:t>
            </w:r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·58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子貢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·71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子路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·6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中與仲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詩論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因（將）中（仲）之吉，不可不韋（畏）也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仲弓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中（仲）弓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仲弓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季逗（桓）子使中（仲）弓馬車（宰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），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中（仲）弓以告孔子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中與仲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956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6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16" w:name="OLE_LINK32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卅</w:t>
            </w:r>
            <w:bookmarkEnd w:id="16"/>
          </w:p>
        </w:tc>
        <w:tc>
          <w:tcPr>
            <w:tcW w:w="2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三十</w:t>
            </w:r>
            <w:proofErr w:type="spellEnd"/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·100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·268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顏回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·14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子貢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·18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proofErr w:type="spellStart"/>
            <w:r>
              <w:rPr>
                <w:rFonts w:eastAsia="宋体"/>
                <w:bCs/>
                <w:color w:val="000000" w:themeColor="text1"/>
              </w:rPr>
              <w:t>三十幷也。古文省。此亦當雲省多。奪耳。古音當先立切。七部</w:t>
            </w:r>
            <w:proofErr w:type="spellEnd"/>
            <w:r>
              <w:rPr>
                <w:rFonts w:eastAsia="宋体"/>
                <w:bCs/>
                <w:color w:val="000000" w:themeColor="text1"/>
              </w:rPr>
              <w:t>。</w:t>
            </w:r>
            <w:r>
              <w:rPr>
                <w:rFonts w:eastAsia="宋体"/>
                <w:bCs/>
                <w:color w:val="000000" w:themeColor="text1"/>
                <w:lang w:eastAsia="zh-CN"/>
              </w:rPr>
              <w:t>今音蘇遝切。凡</w:t>
            </w:r>
            <w:r>
              <w:rPr>
                <w:rFonts w:ascii="SimSun-ExtB" w:eastAsia="宋体" w:hAnsi="SimSun-ExtB" w:cs="SimSun-ExtB" w:hint="eastAsia"/>
                <w:bCs/>
                <w:color w:val="000000" w:themeColor="text1"/>
                <w:lang w:eastAsia="zh-CN"/>
              </w:rPr>
              <w:t>𠦃</w:t>
            </w:r>
            <w:r>
              <w:rPr>
                <w:rFonts w:eastAsia="宋体"/>
                <w:bCs/>
                <w:color w:val="000000" w:themeColor="text1"/>
                <w:lang w:eastAsia="zh-CN"/>
              </w:rPr>
              <w:t>之屬皆從</w:t>
            </w:r>
            <w:r>
              <w:rPr>
                <w:rFonts w:ascii="SimSun-ExtB" w:eastAsia="宋体" w:hAnsi="SimSun-ExtB" w:cs="SimSun-ExtB" w:hint="eastAsia"/>
                <w:bCs/>
                <w:color w:val="000000" w:themeColor="text1"/>
                <w:lang w:eastAsia="zh-CN"/>
              </w:rPr>
              <w:t>𠦃</w:t>
            </w:r>
            <w:r>
              <w:rPr>
                <w:rFonts w:eastAsia="宋体"/>
                <w:bCs/>
                <w:color w:val="000000" w:themeColor="text1"/>
                <w:lang w:eastAsia="zh-CN"/>
              </w:rPr>
              <w:t>。</w:t>
            </w: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《説文段注》</w:t>
            </w:r>
            <w:bookmarkStart w:id="17" w:name="OLE_LINK36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，頁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89</w:t>
            </w:r>
            <w:bookmarkEnd w:id="17"/>
          </w:p>
        </w:tc>
      </w:tr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7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18" w:name="OLE_LINK63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醴</w:t>
            </w:r>
            <w:bookmarkEnd w:id="18"/>
          </w:p>
        </w:tc>
        <w:tc>
          <w:tcPr>
            <w:tcW w:w="236" w:type="dxa"/>
          </w:tcPr>
          <w:p w:rsidR="00773E79" w:rsidRDefault="00DC4D68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礼</w:t>
            </w:r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·121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醴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lǐ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 xml:space="preserve">    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禮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。《儀禮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士冠禮》：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請醴賓。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《禮記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內則》：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國君世子生，宰醴負子，賜之束帛。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注：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“‘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醴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’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當為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‘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禮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’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，聲之誤也。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</w:p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bookmarkStart w:id="19" w:name="OLE_LINK42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《古代漢語通假字大字典》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，</w:t>
            </w:r>
            <w:bookmarkStart w:id="20" w:name="OLE_LINK64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89</w:t>
            </w:r>
            <w:bookmarkEnd w:id="19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6</w:t>
            </w:r>
            <w:bookmarkEnd w:id="20"/>
          </w:p>
        </w:tc>
      </w:tr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lastRenderedPageBreak/>
              <w:t>8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試</w:t>
            </w:r>
          </w:p>
        </w:tc>
        <w:tc>
          <w:tcPr>
            <w:tcW w:w="2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弑</w:t>
            </w:r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·205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試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(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一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)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shì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 xml:space="preserve">    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弑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。按：漢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許慎《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説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文解字》：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弑，臣殺君也。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按：清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朱駿聲《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説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文通訓定聲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頤部》：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試，叚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(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)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借為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‘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弑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’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《楚辭》戰國楚屈原《天問》：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吾告牆敖以不長，何試上自予忠名彌章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?”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《韓非子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外儲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説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(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左下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)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陽虎議曰：主賢明則悉心以事之，不肖則飾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(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飭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)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奸而試之。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段玉裁雲：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二字同式聲也。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按：今通行本作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弑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。《隸辨》雲：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蓋借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‘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試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’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為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‘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弑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’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《漢書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五行志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(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下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)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受命之臣專征雲試。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顏師古注：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一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説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‘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試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’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‘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弑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’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同，謂欲弑君。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</w:p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《古代漢語通假字大字典》</w:t>
            </w:r>
            <w:bookmarkStart w:id="21" w:name="OLE_LINK65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，頁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800</w:t>
            </w:r>
          </w:p>
          <w:bookmarkEnd w:id="21"/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</w:p>
        </w:tc>
      </w:tr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9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依</w:t>
            </w:r>
          </w:p>
        </w:tc>
        <w:tc>
          <w:tcPr>
            <w:tcW w:w="2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哀</w:t>
            </w:r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·251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依與哀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帛乙老子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德經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故抗兵相若，而</w:t>
            </w:r>
            <w:bookmarkStart w:id="22" w:name="OLE_LINK48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依</w:t>
            </w:r>
            <w:bookmarkEnd w:id="22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（哀）者勝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性自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喜怒依（哀）悲之氣，性也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性自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依（哀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）、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樂，其實（性）相近也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衣與哀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577—578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0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23" w:name="OLE_LINK47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卌</w:t>
            </w:r>
            <w:bookmarkEnd w:id="23"/>
          </w:p>
        </w:tc>
        <w:tc>
          <w:tcPr>
            <w:tcW w:w="2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四十</w:t>
            </w:r>
            <w:proofErr w:type="spellEnd"/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·262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xì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先立切，入緝，心。四十的合音。漢石經論語殘字</w:t>
            </w:r>
            <w:proofErr w:type="spellEnd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proofErr w:type="spellStart"/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子曰</w:t>
            </w:r>
            <w:proofErr w:type="spellEnd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‘</w:t>
            </w:r>
            <w:proofErr w:type="spellStart"/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年卌見惡焉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’”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今</w:t>
            </w:r>
            <w:proofErr w:type="gram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論語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·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陽貨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》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四十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proofErr w:type="gramEnd"/>
          </w:p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王力，頁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89</w:t>
            </w:r>
          </w:p>
        </w:tc>
      </w:tr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1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24" w:name="OLE_LINK66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幾</w:t>
            </w:r>
            <w:bookmarkEnd w:id="24"/>
          </w:p>
        </w:tc>
        <w:tc>
          <w:tcPr>
            <w:tcW w:w="236" w:type="dxa"/>
          </w:tcPr>
          <w:p w:rsidR="00773E79" w:rsidRDefault="006C5FCF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讥</w:t>
            </w:r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·276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幾字下第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15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條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15.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譏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，譏刺，譏諷。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《淮南子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泰族訓》：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刺幾辯義者，《春秋》之靡也。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漢揚雄《太玄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斂》：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斂於時，奚可幾也。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宋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司馬光注：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幾，當作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‘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譏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’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，言斂得其時，雖重無譏也。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北魏楊衒之《洛陽伽藍記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凝圓寺》：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遷京之時，朝士住其中，迭相幾刺，竟皆去之。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範祥雄校注</w:t>
            </w:r>
            <w:proofErr w:type="spellEnd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幾與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‘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譏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’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通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</w:p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</w:pP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《古代漢語通假字大字典》</w:t>
            </w:r>
            <w:bookmarkStart w:id="25" w:name="OLE_LINK68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，頁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261</w:t>
            </w:r>
          </w:p>
          <w:bookmarkEnd w:id="25"/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</w:p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</w:p>
        </w:tc>
      </w:tr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2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辯</w:t>
            </w:r>
          </w:p>
        </w:tc>
        <w:tc>
          <w:tcPr>
            <w:tcW w:w="2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辨</w:t>
            </w:r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·311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辯與辨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雌雄節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皇后屯磨（歷）吉凶之常，以辯（辨）雌雄之節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帛易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剝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六二，剝以辯（辨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），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蔑貞，凶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官一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辯（辨）疑以旗，申令以金鼓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辯與辨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1171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3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繆</w:t>
            </w:r>
          </w:p>
        </w:tc>
        <w:tc>
          <w:tcPr>
            <w:tcW w:w="2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穆</w:t>
            </w:r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·364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繆與穆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姓爭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繆（穆）繆（穆）天刑，非德必傾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陳忌問壘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終秦繆（穆）公之身，秦不敢窺西河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繆與穆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158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4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執</w:t>
            </w:r>
          </w:p>
        </w:tc>
        <w:tc>
          <w:tcPr>
            <w:tcW w:w="236" w:type="dxa"/>
          </w:tcPr>
          <w:p w:rsidR="00773E79" w:rsidRDefault="006C5FCF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艺</w:t>
            </w:r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·390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·449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執與藝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尊德義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後稷之軌（藝）地，地之道也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語叢三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志於道，據於惠，依於仁，遊於執（藝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）。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執與藝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805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  <w:tr w:rsidR="00773E79" w:rsidTr="006C5FCF">
        <w:tc>
          <w:tcPr>
            <w:tcW w:w="39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5</w:t>
            </w:r>
          </w:p>
        </w:tc>
        <w:tc>
          <w:tcPr>
            <w:tcW w:w="53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歾</w:t>
            </w:r>
          </w:p>
        </w:tc>
        <w:tc>
          <w:tcPr>
            <w:tcW w:w="2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沒</w:t>
            </w:r>
          </w:p>
        </w:tc>
        <w:tc>
          <w:tcPr>
            <w:tcW w:w="151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·421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子夏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·118</w:t>
            </w:r>
          </w:p>
        </w:tc>
        <w:tc>
          <w:tcPr>
            <w:tcW w:w="4375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歿，莫骨切。死也，落也，盡也。今作沒。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歾，同上。殊時朱切。絶也（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509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），死也。《廣雅》雲：殊，斷也。《蒼頡》雲：殊，異也。</w:t>
            </w:r>
          </w:p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</w:p>
        </w:tc>
        <w:tc>
          <w:tcPr>
            <w:tcW w:w="1579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《玉篇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歹部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》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394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</w:t>
            </w:r>
          </w:p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</w:p>
        </w:tc>
      </w:tr>
    </w:tbl>
    <w:p w:rsidR="00773E79" w:rsidRDefault="00773E79">
      <w:pPr>
        <w:spacing w:after="200"/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</w:pPr>
    </w:p>
    <w:p w:rsidR="00773E79" w:rsidRDefault="00000000">
      <w:pPr>
        <w:rPr>
          <w:rFonts w:ascii="Times New Roman" w:eastAsia="宋体" w:hAnsi="Times New Roman" w:cs="Times New Roman"/>
          <w:b/>
          <w:color w:val="000000" w:themeColor="text1"/>
          <w:szCs w:val="18"/>
        </w:rPr>
      </w:pP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 xml:space="preserve">2. 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顏回（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18"/>
        </w:rPr>
        <w:t>7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）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1365"/>
        <w:gridCol w:w="4471"/>
        <w:gridCol w:w="1603"/>
      </w:tblGrid>
      <w:tr w:rsidR="00773E79"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序號</w:t>
            </w:r>
            <w:proofErr w:type="spellEnd"/>
          </w:p>
        </w:tc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釋文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釋文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1386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出處</w:t>
            </w:r>
            <w:proofErr w:type="spellEnd"/>
          </w:p>
        </w:tc>
        <w:tc>
          <w:tcPr>
            <w:tcW w:w="4636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字形考證</w:t>
            </w:r>
            <w:proofErr w:type="spellEnd"/>
          </w:p>
        </w:tc>
        <w:tc>
          <w:tcPr>
            <w:tcW w:w="1643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文獻出處</w:t>
            </w:r>
            <w:proofErr w:type="spellEnd"/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1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漑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慨</w:t>
            </w:r>
          </w:p>
        </w:tc>
        <w:tc>
          <w:tcPr>
            <w:tcW w:w="138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顏回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·83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顏回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·120</w:t>
            </w:r>
          </w:p>
        </w:tc>
        <w:tc>
          <w:tcPr>
            <w:tcW w:w="46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溉與概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少牢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雍人溉（概）鼎、匕、組於雍囊，雍賽在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lastRenderedPageBreak/>
              <w:t>門東南，北上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少牢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雍人溉（概）瓶、獻、匕與敦於雍囊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64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lastRenderedPageBreak/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溉與概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875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2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26" w:name="OLE_LINK12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卬</w:t>
            </w:r>
            <w:bookmarkEnd w:id="26"/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仰</w:t>
            </w:r>
          </w:p>
        </w:tc>
        <w:tc>
          <w:tcPr>
            <w:tcW w:w="138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顏回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·86</w:t>
            </w:r>
          </w:p>
        </w:tc>
        <w:tc>
          <w:tcPr>
            <w:tcW w:w="46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卬與仰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東大王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王卬（仰）而天，月而泣胃（謂）太宰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三德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卬（仰）天事君，嚴情必信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季桓子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卬（仰）天而歎，毋不疑（擬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）。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64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卬與仰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1089—1090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3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27" w:name="OLE_LINK28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迷</w:t>
            </w:r>
            <w:bookmarkEnd w:id="27"/>
          </w:p>
        </w:tc>
        <w:tc>
          <w:tcPr>
            <w:tcW w:w="397" w:type="dxa"/>
          </w:tcPr>
          <w:p w:rsidR="00773E79" w:rsidRDefault="006C5FCF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弥</w:t>
            </w:r>
          </w:p>
        </w:tc>
        <w:tc>
          <w:tcPr>
            <w:tcW w:w="138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顏回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·88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顏回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·92</w:t>
            </w:r>
          </w:p>
        </w:tc>
        <w:tc>
          <w:tcPr>
            <w:tcW w:w="46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通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彌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proofErr w:type="spellStart"/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充滿，彌漫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呂氏春秋下賢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乎其志氣之遠也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俞樾平議：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迷當讀爲彌，古字通用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唐杜甫送靈州李判官詩：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血戰乾坤赤，氛日月黃。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</w:p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</w:p>
        </w:tc>
        <w:tc>
          <w:tcPr>
            <w:tcW w:w="164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王力，頁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1428</w:t>
            </w:r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4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攅</w:t>
            </w:r>
          </w:p>
        </w:tc>
        <w:tc>
          <w:tcPr>
            <w:tcW w:w="397" w:type="dxa"/>
          </w:tcPr>
          <w:p w:rsidR="00773E79" w:rsidRDefault="006C5FCF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钻</w:t>
            </w:r>
          </w:p>
        </w:tc>
        <w:tc>
          <w:tcPr>
            <w:tcW w:w="138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顏回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·90</w:t>
            </w:r>
          </w:p>
        </w:tc>
        <w:tc>
          <w:tcPr>
            <w:tcW w:w="46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鑽與贊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戰國三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齊趙之惡從已，願王之定慮而羽鑽（贊）臣也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64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鑽與贊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1195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5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秀</w:t>
            </w:r>
          </w:p>
        </w:tc>
        <w:tc>
          <w:tcPr>
            <w:tcW w:w="397" w:type="dxa"/>
          </w:tcPr>
          <w:p w:rsidR="00773E79" w:rsidRDefault="006C5FCF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诱</w:t>
            </w:r>
          </w:p>
        </w:tc>
        <w:tc>
          <w:tcPr>
            <w:tcW w:w="138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顏回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·106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子貢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·126</w:t>
            </w:r>
          </w:p>
        </w:tc>
        <w:tc>
          <w:tcPr>
            <w:tcW w:w="46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秀與誘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有皇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膠驕秀（誘）餘含兮，獨論三夫含兮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將過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勇而輕死者可秀（誘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），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急而心促者可久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64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秀與誘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165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6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俗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欲</w:t>
            </w:r>
          </w:p>
        </w:tc>
        <w:tc>
          <w:tcPr>
            <w:tcW w:w="138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顏回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·116</w:t>
            </w:r>
          </w:p>
        </w:tc>
        <w:tc>
          <w:tcPr>
            <w:tcW w:w="46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俗與欲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妄稽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辭讓送揖，俗（欲）節理宜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按，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俗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似當讀作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欲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  <w:tc>
          <w:tcPr>
            <w:tcW w:w="164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俗與欲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668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7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臧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藏</w:t>
            </w:r>
          </w:p>
        </w:tc>
        <w:tc>
          <w:tcPr>
            <w:tcW w:w="138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顏回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·147</w:t>
            </w:r>
          </w:p>
        </w:tc>
        <w:tc>
          <w:tcPr>
            <w:tcW w:w="46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臧與藏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秦律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倉律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縣遺麥以為種用者，殼禾以臧（藏）之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秦律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內史雜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毋敢以火入臧（藏）府、書府中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秦律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內史雜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吏已收臧（藏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），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官嗇夫及吏夜更行官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64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臧與藏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1059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</w:tbl>
    <w:p w:rsidR="00773E79" w:rsidRDefault="00773E79">
      <w:pP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</w:pPr>
    </w:p>
    <w:p w:rsidR="00773E79" w:rsidRDefault="00000000">
      <w:pPr>
        <w:rPr>
          <w:rFonts w:ascii="Times New Roman" w:eastAsia="宋体" w:hAnsi="Times New Roman" w:cs="Times New Roman"/>
          <w:b/>
          <w:color w:val="000000" w:themeColor="text1"/>
          <w:szCs w:val="18"/>
        </w:rPr>
      </w:pP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 xml:space="preserve">3. 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子貢（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6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）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1365"/>
        <w:gridCol w:w="4471"/>
        <w:gridCol w:w="1603"/>
      </w:tblGrid>
      <w:tr w:rsidR="00773E79"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序號</w:t>
            </w:r>
            <w:proofErr w:type="spellEnd"/>
          </w:p>
        </w:tc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釋文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釋文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1386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出處</w:t>
            </w:r>
            <w:proofErr w:type="spellEnd"/>
          </w:p>
        </w:tc>
        <w:tc>
          <w:tcPr>
            <w:tcW w:w="4636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字形考證</w:t>
            </w:r>
            <w:proofErr w:type="spellEnd"/>
          </w:p>
        </w:tc>
        <w:tc>
          <w:tcPr>
            <w:tcW w:w="1643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文獻出處</w:t>
            </w:r>
            <w:proofErr w:type="spellEnd"/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贛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貢</w:t>
            </w:r>
          </w:p>
        </w:tc>
        <w:tc>
          <w:tcPr>
            <w:tcW w:w="138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子貢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·22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；子貢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·65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；子貢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·79</w:t>
            </w:r>
          </w:p>
        </w:tc>
        <w:tc>
          <w:tcPr>
            <w:tcW w:w="46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贛與貢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魯邦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出過子贛（貢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），曰：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'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賜，爾聞街巷路之盲，毋乃謂丘之答非與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？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'"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相邦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孔子退，告子贛（貢）曰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64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贛與貢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1405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溉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既</w:t>
            </w:r>
          </w:p>
        </w:tc>
        <w:tc>
          <w:tcPr>
            <w:tcW w:w="138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子貢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·32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子路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·64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堂駘滅明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·85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；子夏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·117</w:t>
            </w:r>
          </w:p>
        </w:tc>
        <w:tc>
          <w:tcPr>
            <w:tcW w:w="46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溉與既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為吏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賢鄙溉（既）辭又，祿位有續孰醫上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？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天乙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貞在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圍在無射，禹以成略，溉（既）就溉（既）成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64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溉與既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874—875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3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28" w:name="OLE_LINK70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若</w:t>
            </w:r>
            <w:bookmarkEnd w:id="28"/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恕</w:t>
            </w:r>
          </w:p>
        </w:tc>
        <w:tc>
          <w:tcPr>
            <w:tcW w:w="138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子貢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·51</w:t>
            </w:r>
          </w:p>
        </w:tc>
        <w:tc>
          <w:tcPr>
            <w:tcW w:w="46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同義換讀，見正文考釋。又若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-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如同源字，見王力</w:t>
            </w:r>
          </w:p>
        </w:tc>
        <w:tc>
          <w:tcPr>
            <w:tcW w:w="164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王力，頁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156-158</w:t>
            </w:r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5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夫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天</w:t>
            </w:r>
          </w:p>
        </w:tc>
        <w:tc>
          <w:tcPr>
            <w:tcW w:w="138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子貢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·107</w:t>
            </w:r>
          </w:p>
        </w:tc>
        <w:tc>
          <w:tcPr>
            <w:tcW w:w="46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形近，傳抄錯字</w:t>
            </w:r>
          </w:p>
        </w:tc>
        <w:tc>
          <w:tcPr>
            <w:tcW w:w="1643" w:type="dxa"/>
          </w:tcPr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6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胃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謂</w:t>
            </w:r>
          </w:p>
        </w:tc>
        <w:tc>
          <w:tcPr>
            <w:tcW w:w="138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子貢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·117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；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子夏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·34</w:t>
            </w:r>
          </w:p>
        </w:tc>
        <w:tc>
          <w:tcPr>
            <w:tcW w:w="4636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胃與謂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老子》甲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挫其銳，解其紛，是胃玄同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按，今本胃作謂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老子》甲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物壯則老，是胃不道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太一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此胃（謂）不道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643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胃與謂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882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</w:tbl>
    <w:p w:rsidR="00773E79" w:rsidRDefault="00773E79">
      <w:pPr>
        <w:rPr>
          <w:rFonts w:ascii="Times New Roman" w:eastAsia="宋体" w:hAnsi="Times New Roman" w:cs="Times New Roman"/>
          <w:bCs/>
          <w:color w:val="000000" w:themeColor="text1"/>
          <w:szCs w:val="18"/>
          <w:lang w:eastAsia="zh-CN"/>
        </w:rPr>
      </w:pPr>
    </w:p>
    <w:p w:rsidR="00773E79" w:rsidRDefault="00000000">
      <w:pPr>
        <w:rPr>
          <w:rFonts w:ascii="Times New Roman" w:eastAsia="宋体" w:hAnsi="Times New Roman" w:cs="Times New Roman"/>
          <w:b/>
          <w:color w:val="000000" w:themeColor="text1"/>
          <w:szCs w:val="18"/>
        </w:rPr>
      </w:pP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 xml:space="preserve">4. 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子路（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18"/>
        </w:rPr>
        <w:t>4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）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1340"/>
        <w:gridCol w:w="4492"/>
        <w:gridCol w:w="1607"/>
      </w:tblGrid>
      <w:tr w:rsidR="00773E79" w:rsidTr="00AA1E23"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序號</w:t>
            </w:r>
            <w:proofErr w:type="spellEnd"/>
          </w:p>
        </w:tc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釋文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釋文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1340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出處</w:t>
            </w:r>
            <w:proofErr w:type="spellEnd"/>
          </w:p>
        </w:tc>
        <w:tc>
          <w:tcPr>
            <w:tcW w:w="4492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字形考證</w:t>
            </w:r>
            <w:proofErr w:type="spellEnd"/>
          </w:p>
        </w:tc>
        <w:tc>
          <w:tcPr>
            <w:tcW w:w="160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文獻出處</w:t>
            </w:r>
            <w:proofErr w:type="spellEnd"/>
          </w:p>
        </w:tc>
      </w:tr>
      <w:tr w:rsidR="00773E79" w:rsidTr="00AA1E23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lastRenderedPageBreak/>
              <w:t>1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姓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性</w:t>
            </w:r>
          </w:p>
        </w:tc>
        <w:tc>
          <w:tcPr>
            <w:tcW w:w="1340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子路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·20</w:t>
            </w:r>
          </w:p>
        </w:tc>
        <w:tc>
          <w:tcPr>
            <w:tcW w:w="4492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姓與性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神鳥賦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其姓（性）好仁，反哺於親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60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姓與性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1143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  <w:tr w:rsidR="00773E79" w:rsidTr="00AA1E23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29" w:name="_Hlk222838174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淩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陵</w:t>
            </w:r>
          </w:p>
        </w:tc>
        <w:tc>
          <w:tcPr>
            <w:tcW w:w="1340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子路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·33</w:t>
            </w:r>
          </w:p>
        </w:tc>
        <w:tc>
          <w:tcPr>
            <w:tcW w:w="4492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2.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陵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，侵犯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;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欺陵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，欺侮，陵辱。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《管子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治國》：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則敢陵上犯禁。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《群書治要》本引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陵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淩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。《莊子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盜蹠》：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以強陵弱。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《意林》引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陵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淩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。戰國楚屈原《楚辭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九歌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國殤》又：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終剛強兮不可淩。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《戰國策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秦策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(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三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)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吳王無適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(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敵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)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於天下，淩齊、晉，遂以殺身亡國。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《韓非子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初見秦》：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中以淩三晉。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《呂氏春秋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不侵》：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立千乘之義而不可淩。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《淮南子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原道訓》：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無敵能淩。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”(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《文子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道原》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淩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陵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)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《史記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酷吏列傳》：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常淩折之。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”(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《漢書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張湯傳》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淩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陵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)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《文選》範彥龍《古意贈王中書》：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逸翮淩北海。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注引杜預《左氏傳注》：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陵，侮也。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輕易之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。三國魏徐幹《中論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務本》：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〔魯昭公〕奸大國之明禁，淩虐小國，利人之難，而不知其私，卒有出奔之禍。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《北史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魏收傳》：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所引史官，恐相淩逼，惟取學流先相依附者。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《新唐書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封倫傳》：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“(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楊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)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素負才勢，多所淩籍，惟於倫降禮賞接。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按：《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舊唐書》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淩侮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proofErr w:type="gramEnd"/>
          </w:p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</w:p>
        </w:tc>
        <w:tc>
          <w:tcPr>
            <w:tcW w:w="160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bookmarkStart w:id="30" w:name="OLE_LINK44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</w:t>
            </w:r>
            <w:bookmarkStart w:id="31" w:name="OLE_LINK43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古代漢語通假字大字典</w:t>
            </w:r>
            <w:bookmarkEnd w:id="31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》</w:t>
            </w:r>
            <w:bookmarkStart w:id="32" w:name="OLE_LINK69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，頁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92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。</w:t>
            </w:r>
            <w:bookmarkEnd w:id="32"/>
          </w:p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</w:p>
          <w:bookmarkEnd w:id="30"/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</w:p>
        </w:tc>
      </w:tr>
      <w:bookmarkEnd w:id="29"/>
      <w:tr w:rsidR="00773E79" w:rsidTr="00AA1E23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3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33" w:name="OLE_LINK110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攸</w:t>
            </w:r>
            <w:bookmarkEnd w:id="33"/>
          </w:p>
        </w:tc>
        <w:tc>
          <w:tcPr>
            <w:tcW w:w="397" w:type="dxa"/>
          </w:tcPr>
          <w:p w:rsidR="00773E79" w:rsidRDefault="00AA1E23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34" w:name="OLE_LINK111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诱</w:t>
            </w:r>
            <w:bookmarkEnd w:id="34"/>
          </w:p>
        </w:tc>
        <w:tc>
          <w:tcPr>
            <w:tcW w:w="1340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子路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·48</w:t>
            </w:r>
          </w:p>
        </w:tc>
        <w:tc>
          <w:tcPr>
            <w:tcW w:w="4492" w:type="dxa"/>
          </w:tcPr>
          <w:p w:rsidR="00AA1E23" w:rsidRDefault="00AA1E23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bookmarkStart w:id="35" w:name="OLE_LINK112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攸</w:t>
            </w:r>
            <w:bookmarkEnd w:id="35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，</w:t>
            </w:r>
            <w:proofErr w:type="spellStart"/>
            <w:r w:rsidRPr="00AA1E23"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以周切，平尤，喻四。幽部</w:t>
            </w:r>
            <w:proofErr w:type="spellEnd"/>
            <w:r w:rsidRPr="00AA1E23"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  <w:p w:rsidR="00773E79" w:rsidRDefault="00AA1E23">
            <w:pPr>
              <w:spacing w:line="240" w:lineRule="auto"/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</w:pPr>
            <w:r w:rsidRPr="00AA1E23"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﻿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诱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，</w:t>
            </w:r>
            <w:r w:rsidRPr="00AA1E23">
              <w:rPr>
                <w:rFonts w:ascii="Calibri" w:eastAsia="宋体" w:hAnsi="Calibri" w:cs="Calibri"/>
                <w:bCs/>
                <w:color w:val="000000" w:themeColor="text1"/>
                <w:szCs w:val="18"/>
                <w:lang w:eastAsia="zh-CN"/>
              </w:rPr>
              <w:t>與久切，上有，喻四。幽部。</w:t>
            </w:r>
            <w:r w:rsidR="00000000"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br/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按：聲韻皆相同，可通假（音借）</w:t>
            </w:r>
          </w:p>
        </w:tc>
        <w:tc>
          <w:tcPr>
            <w:tcW w:w="1607" w:type="dxa"/>
          </w:tcPr>
          <w:p w:rsidR="00773E79" w:rsidRDefault="00AA1E23">
            <w:pPr>
              <w:spacing w:line="240" w:lineRule="auto"/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王力，頁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407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1209</w:t>
            </w:r>
          </w:p>
        </w:tc>
      </w:tr>
      <w:tr w:rsidR="00773E79" w:rsidTr="00AA1E23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4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上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尚</w:t>
            </w:r>
          </w:p>
        </w:tc>
        <w:tc>
          <w:tcPr>
            <w:tcW w:w="1340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子路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·72</w:t>
            </w:r>
          </w:p>
        </w:tc>
        <w:tc>
          <w:tcPr>
            <w:tcW w:w="4492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上與尚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曹沫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毋上（尚）獲而上（尚）聞命，所以為毋退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武王甲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國王問於師上（尚）父曰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60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上與尚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1079—1080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</w:tbl>
    <w:p w:rsidR="00773E79" w:rsidRDefault="00AA1E23">
      <w:pPr>
        <w:rPr>
          <w:rFonts w:ascii="Times New Roman" w:eastAsia="宋体" w:hAnsi="Times New Roman" w:cs="Times New Roman"/>
          <w:bCs/>
          <w:color w:val="000000" w:themeColor="text1"/>
          <w:szCs w:val="18"/>
        </w:rPr>
      </w:pPr>
      <w:r w:rsidRPr="00AA1E23">
        <w:rPr>
          <w:rFonts w:ascii="Calibri" w:eastAsia="宋体" w:hAnsi="Calibri" w:cs="Calibri"/>
          <w:bCs/>
          <w:color w:val="000000" w:themeColor="text1"/>
          <w:szCs w:val="18"/>
        </w:rPr>
        <w:t>﻿</w:t>
      </w:r>
    </w:p>
    <w:p w:rsidR="00773E79" w:rsidRDefault="00000000">
      <w:pPr>
        <w:rPr>
          <w:rFonts w:ascii="Times New Roman" w:eastAsia="宋体" w:hAnsi="Times New Roman" w:cs="Times New Roman"/>
          <w:b/>
          <w:color w:val="000000" w:themeColor="text1"/>
          <w:szCs w:val="18"/>
        </w:rPr>
      </w:pP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 xml:space="preserve">5. 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堂駘滅明（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3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）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1340"/>
        <w:gridCol w:w="4496"/>
        <w:gridCol w:w="1603"/>
      </w:tblGrid>
      <w:tr w:rsidR="00773E79"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序號</w:t>
            </w:r>
            <w:proofErr w:type="spellEnd"/>
          </w:p>
        </w:tc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釋文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釋文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1372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出處</w:t>
            </w:r>
            <w:proofErr w:type="spellEnd"/>
          </w:p>
        </w:tc>
        <w:tc>
          <w:tcPr>
            <w:tcW w:w="4651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字形考證</w:t>
            </w:r>
            <w:proofErr w:type="spellEnd"/>
          </w:p>
        </w:tc>
        <w:tc>
          <w:tcPr>
            <w:tcW w:w="1642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文獻出處</w:t>
            </w:r>
            <w:proofErr w:type="spellEnd"/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矦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bookmarkStart w:id="36" w:name="OLE_LINK13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候</w:t>
            </w:r>
            <w:bookmarkEnd w:id="36"/>
          </w:p>
        </w:tc>
        <w:tc>
          <w:tcPr>
            <w:tcW w:w="1372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堂駘滅明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·68</w:t>
            </w:r>
          </w:p>
        </w:tc>
        <w:tc>
          <w:tcPr>
            <w:tcW w:w="465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侯與候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秦律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內史雜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侯（候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）、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司寇及群下吏毋敢為官府佐、史及禁苑憲盜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雜抄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民偽聽命書，廢弗行，而為侯（候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）。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642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侯與候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</w:t>
            </w:r>
            <w:bookmarkStart w:id="37" w:name="OLE_LINK67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266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bookmarkEnd w:id="37"/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38" w:name="OLE_LINK14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嗇</w:t>
            </w:r>
            <w:bookmarkEnd w:id="38"/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bookmarkStart w:id="39" w:name="OLE_LINK49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牆</w:t>
            </w:r>
            <w:bookmarkEnd w:id="39"/>
          </w:p>
        </w:tc>
        <w:tc>
          <w:tcPr>
            <w:tcW w:w="1372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堂駘滅明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·92</w:t>
            </w:r>
          </w:p>
        </w:tc>
        <w:tc>
          <w:tcPr>
            <w:tcW w:w="465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038.24.01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牆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[ʣĭaŋ]qiánɡ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【宕開三平陽從】垣牆。《爾雅》雲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牆謂之墉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説文》曰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牆，垣蔽也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在良切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。十。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038.24.02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廧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qiánɡ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上同。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038.24.03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墻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qiánɡ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俗。</w:t>
            </w:r>
          </w:p>
        </w:tc>
        <w:tc>
          <w:tcPr>
            <w:tcW w:w="1642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《廣韻校釋》，頁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414</w:t>
            </w:r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3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滁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塗</w:t>
            </w:r>
          </w:p>
        </w:tc>
        <w:tc>
          <w:tcPr>
            <w:tcW w:w="1372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堂駘滅明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·95</w:t>
            </w:r>
          </w:p>
        </w:tc>
        <w:tc>
          <w:tcPr>
            <w:tcW w:w="465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除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(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一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)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tú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 xml:space="preserve">    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塗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塗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，汙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;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骯髒。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《韓非子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解老》：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朝甚除也者，獄訟繁也。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</w:p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</w:p>
        </w:tc>
        <w:tc>
          <w:tcPr>
            <w:tcW w:w="1642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《古代漢語通假字大字典》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，頁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929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。</w:t>
            </w:r>
          </w:p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</w:p>
        </w:tc>
      </w:tr>
    </w:tbl>
    <w:p w:rsidR="00773E79" w:rsidRDefault="00000000">
      <w:pPr>
        <w:rPr>
          <w:rFonts w:ascii="Times New Roman" w:eastAsia="宋体" w:hAnsi="Times New Roman" w:cs="Times New Roman"/>
          <w:bCs/>
          <w:color w:val="000000" w:themeColor="text1"/>
          <w:szCs w:val="18"/>
        </w:rPr>
      </w:pPr>
      <w:r>
        <w:rPr>
          <w:rFonts w:ascii="Calibri" w:eastAsia="宋体" w:hAnsi="Calibri" w:cs="Calibri"/>
          <w:bCs/>
          <w:color w:val="000000" w:themeColor="text1"/>
          <w:szCs w:val="18"/>
        </w:rPr>
        <w:t>﻿</w:t>
      </w:r>
    </w:p>
    <w:p w:rsidR="00773E79" w:rsidRDefault="00000000">
      <w:pPr>
        <w:rPr>
          <w:rFonts w:ascii="Times New Roman" w:eastAsia="宋体" w:hAnsi="Times New Roman" w:cs="Times New Roman"/>
          <w:b/>
          <w:color w:val="000000" w:themeColor="text1"/>
          <w:szCs w:val="18"/>
        </w:rPr>
      </w:pP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 xml:space="preserve">6. 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子夏（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18"/>
        </w:rPr>
        <w:t>2</w:t>
      </w:r>
      <w:r>
        <w:rPr>
          <w:rFonts w:ascii="Times New Roman" w:eastAsia="宋体" w:hAnsi="Times New Roman" w:cs="Times New Roman"/>
          <w:b/>
          <w:color w:val="000000" w:themeColor="text1"/>
          <w:szCs w:val="18"/>
        </w:rPr>
        <w:t>）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1349"/>
        <w:gridCol w:w="4490"/>
        <w:gridCol w:w="1600"/>
      </w:tblGrid>
      <w:tr w:rsidR="00773E79"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序號</w:t>
            </w:r>
            <w:proofErr w:type="spellEnd"/>
          </w:p>
        </w:tc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釋文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39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釋文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137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出處</w:t>
            </w:r>
            <w:proofErr w:type="spellEnd"/>
          </w:p>
        </w:tc>
        <w:tc>
          <w:tcPr>
            <w:tcW w:w="4647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字形考證</w:t>
            </w:r>
            <w:proofErr w:type="spellEnd"/>
          </w:p>
        </w:tc>
        <w:tc>
          <w:tcPr>
            <w:tcW w:w="1641" w:type="dxa"/>
            <w:shd w:val="clear" w:color="auto" w:fill="D9E2F3"/>
            <w:vAlign w:val="center"/>
          </w:tcPr>
          <w:p w:rsidR="00773E79" w:rsidRDefault="00000000">
            <w:pPr>
              <w:spacing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文獻出處</w:t>
            </w:r>
            <w:proofErr w:type="spellEnd"/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1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貴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繪</w:t>
            </w:r>
          </w:p>
        </w:tc>
        <w:tc>
          <w:tcPr>
            <w:tcW w:w="137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子夏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·39</w:t>
            </w:r>
          </w:p>
        </w:tc>
        <w:tc>
          <w:tcPr>
            <w:tcW w:w="464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繢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huì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胡對切，去隊，匣。物部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畫文。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也作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繪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説文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繢，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…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一曰畫也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（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依段注本）文選晉潘嶽夏侯常侍誄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如彼錦，列素點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lastRenderedPageBreak/>
              <w:t>絢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李善注：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鄭玄曰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‘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繢，畫文也。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’”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禮記玉藻：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緇布冠緌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鄭玄注：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繢或爲繪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用爲動詞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，指畫。唐柳宗元永州龍興寺修淨土院記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二大士之像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引申指畫工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，從事繪畫的人。周禮考工記序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“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設色之工：畫﹑﹑鐘﹑筐﹑㡛</w:t>
            </w:r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賈公彥疏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“</w:t>
            </w:r>
            <w:proofErr w:type="spellStart"/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畫二者，別官同職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”</w:t>
            </w:r>
          </w:p>
          <w:p w:rsidR="00773E79" w:rsidRDefault="00773E79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</w:p>
        </w:tc>
        <w:tc>
          <w:tcPr>
            <w:tcW w:w="164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lastRenderedPageBreak/>
              <w:t>王力，頁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  <w:t>944</w:t>
            </w:r>
          </w:p>
        </w:tc>
      </w:tr>
      <w:tr w:rsidR="00773E79"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18"/>
                <w:lang w:eastAsia="zh-CN"/>
              </w:rPr>
              <w:t>2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孰</w:t>
            </w:r>
          </w:p>
        </w:tc>
        <w:tc>
          <w:tcPr>
            <w:tcW w:w="39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熟</w:t>
            </w:r>
          </w:p>
        </w:tc>
        <w:tc>
          <w:tcPr>
            <w:tcW w:w="137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子夏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·103</w:t>
            </w:r>
          </w:p>
        </w:tc>
        <w:tc>
          <w:tcPr>
            <w:tcW w:w="4647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孰與熟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秦律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倉律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稻後禾孰（熟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），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計稻後年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秦律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·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司空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值廿錢以上，孰（熟）笞之，出其器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《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為吏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》：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孰（熟）道毋泊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</w:p>
        </w:tc>
        <w:tc>
          <w:tcPr>
            <w:tcW w:w="1641" w:type="dxa"/>
          </w:tcPr>
          <w:p w:rsidR="00773E79" w:rsidRDefault="00000000">
            <w:pPr>
              <w:spacing w:line="240" w:lineRule="auto"/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白於藍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孰與熟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"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，頁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645—646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18"/>
              </w:rPr>
              <w:t>。</w:t>
            </w:r>
          </w:p>
        </w:tc>
      </w:tr>
      <w:bookmarkEnd w:id="1"/>
    </w:tbl>
    <w:p w:rsidR="00773E79" w:rsidRDefault="00773E79">
      <w:pPr>
        <w:rPr>
          <w:rFonts w:ascii="Times New Roman" w:eastAsia="宋体" w:hAnsi="Times New Roman" w:cs="Times New Roman"/>
          <w:bCs/>
          <w:color w:val="000000" w:themeColor="text1"/>
          <w:szCs w:val="18"/>
        </w:rPr>
      </w:pPr>
    </w:p>
    <w:sectPr w:rsidR="00773E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2DFB" w:rsidRDefault="00EC2DFB">
      <w:pPr>
        <w:spacing w:line="240" w:lineRule="auto"/>
      </w:pPr>
      <w:r>
        <w:separator/>
      </w:r>
    </w:p>
  </w:endnote>
  <w:endnote w:type="continuationSeparator" w:id="0">
    <w:p w:rsidR="00EC2DFB" w:rsidRDefault="00EC2D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2DFB" w:rsidRDefault="00EC2DFB">
      <w:r>
        <w:separator/>
      </w:r>
    </w:p>
  </w:footnote>
  <w:footnote w:type="continuationSeparator" w:id="0">
    <w:p w:rsidR="00EC2DFB" w:rsidRDefault="00EC2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9F3A7A"/>
    <w:multiLevelType w:val="singleLevel"/>
    <w:tmpl w:val="CE9F3A7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39410855">
    <w:abstractNumId w:val="2"/>
  </w:num>
  <w:num w:numId="2" w16cid:durableId="2109881609">
    <w:abstractNumId w:val="5"/>
  </w:num>
  <w:num w:numId="3" w16cid:durableId="234167827">
    <w:abstractNumId w:val="6"/>
  </w:num>
  <w:num w:numId="4" w16cid:durableId="1379625671">
    <w:abstractNumId w:val="3"/>
  </w:num>
  <w:num w:numId="5" w16cid:durableId="840240264">
    <w:abstractNumId w:val="1"/>
  </w:num>
  <w:num w:numId="6" w16cid:durableId="1942949365">
    <w:abstractNumId w:val="4"/>
  </w:num>
  <w:num w:numId="7" w16cid:durableId="144022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04C"/>
    <w:rsid w:val="0006063C"/>
    <w:rsid w:val="000744E0"/>
    <w:rsid w:val="0009638D"/>
    <w:rsid w:val="000A533D"/>
    <w:rsid w:val="00133B63"/>
    <w:rsid w:val="0015074B"/>
    <w:rsid w:val="001D2870"/>
    <w:rsid w:val="0022100F"/>
    <w:rsid w:val="00224FF6"/>
    <w:rsid w:val="00247B9D"/>
    <w:rsid w:val="00274D46"/>
    <w:rsid w:val="0029639D"/>
    <w:rsid w:val="00313122"/>
    <w:rsid w:val="00326F90"/>
    <w:rsid w:val="0035223D"/>
    <w:rsid w:val="00357080"/>
    <w:rsid w:val="003864E7"/>
    <w:rsid w:val="00397A84"/>
    <w:rsid w:val="003B2A42"/>
    <w:rsid w:val="003C7113"/>
    <w:rsid w:val="003F0537"/>
    <w:rsid w:val="003F4DD9"/>
    <w:rsid w:val="00460F19"/>
    <w:rsid w:val="00470709"/>
    <w:rsid w:val="0051134F"/>
    <w:rsid w:val="005164BA"/>
    <w:rsid w:val="005178A6"/>
    <w:rsid w:val="00624309"/>
    <w:rsid w:val="00666911"/>
    <w:rsid w:val="00695A9D"/>
    <w:rsid w:val="006C5FCF"/>
    <w:rsid w:val="007122CA"/>
    <w:rsid w:val="00721CEB"/>
    <w:rsid w:val="007579F5"/>
    <w:rsid w:val="00773E79"/>
    <w:rsid w:val="0080780A"/>
    <w:rsid w:val="00813D87"/>
    <w:rsid w:val="00816840"/>
    <w:rsid w:val="00876BEA"/>
    <w:rsid w:val="008B6838"/>
    <w:rsid w:val="00940FAB"/>
    <w:rsid w:val="00961C44"/>
    <w:rsid w:val="00962201"/>
    <w:rsid w:val="00972AB7"/>
    <w:rsid w:val="009F32B9"/>
    <w:rsid w:val="00A177E4"/>
    <w:rsid w:val="00A26E2F"/>
    <w:rsid w:val="00A32074"/>
    <w:rsid w:val="00A47CD9"/>
    <w:rsid w:val="00A54542"/>
    <w:rsid w:val="00A6244B"/>
    <w:rsid w:val="00AA1D8D"/>
    <w:rsid w:val="00AA1E23"/>
    <w:rsid w:val="00AB6A3A"/>
    <w:rsid w:val="00AF2E2C"/>
    <w:rsid w:val="00B35417"/>
    <w:rsid w:val="00B47730"/>
    <w:rsid w:val="00B53214"/>
    <w:rsid w:val="00B8059B"/>
    <w:rsid w:val="00BB15D1"/>
    <w:rsid w:val="00C04ACE"/>
    <w:rsid w:val="00C15253"/>
    <w:rsid w:val="00C33AC7"/>
    <w:rsid w:val="00CB0664"/>
    <w:rsid w:val="00CC1E14"/>
    <w:rsid w:val="00D217E4"/>
    <w:rsid w:val="00D33664"/>
    <w:rsid w:val="00D8063D"/>
    <w:rsid w:val="00DA06F1"/>
    <w:rsid w:val="00DB18D4"/>
    <w:rsid w:val="00DB5829"/>
    <w:rsid w:val="00DC4D68"/>
    <w:rsid w:val="00DD4B42"/>
    <w:rsid w:val="00E3229B"/>
    <w:rsid w:val="00E47BFF"/>
    <w:rsid w:val="00E579A1"/>
    <w:rsid w:val="00E77A40"/>
    <w:rsid w:val="00E85895"/>
    <w:rsid w:val="00EC2DFB"/>
    <w:rsid w:val="00F11601"/>
    <w:rsid w:val="00F21FE7"/>
    <w:rsid w:val="00F72BBF"/>
    <w:rsid w:val="00FC693F"/>
    <w:rsid w:val="00FD35F6"/>
    <w:rsid w:val="6BF3F1FC"/>
    <w:rsid w:val="E6FEB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CFE32E4"/>
  <w14:defaultImageDpi w14:val="300"/>
  <w15:docId w15:val="{9218170D-8F07-FB41-B0A6-4C28E298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76" w:lineRule="auto"/>
    </w:pPr>
    <w:rPr>
      <w:rFonts w:ascii="Songti SC" w:hAnsi="Songti SC"/>
      <w:sz w:val="1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ff">
    <w:name w:val="footnote reference"/>
    <w:basedOn w:val="a2"/>
    <w:uiPriority w:val="99"/>
    <w:unhideWhenUsed/>
    <w:qFormat/>
    <w:rPr>
      <w:vertAlign w:val="superscript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0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1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2">
    <w:name w:val="Quote"/>
    <w:basedOn w:val="a1"/>
    <w:next w:val="a1"/>
    <w:link w:val="aff3"/>
    <w:uiPriority w:val="29"/>
    <w:qFormat/>
    <w:rPr>
      <w:i/>
      <w:iCs/>
      <w:color w:val="000000" w:themeColor="text1"/>
    </w:rPr>
  </w:style>
  <w:style w:type="character" w:customStyle="1" w:styleId="aff3">
    <w:name w:val="引用 字符"/>
    <w:basedOn w:val="a2"/>
    <w:link w:val="aff2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4">
    <w:name w:val="Intense Quote"/>
    <w:basedOn w:val="a1"/>
    <w:next w:val="a1"/>
    <w:link w:val="aff5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5">
    <w:name w:val="明显引用 字符"/>
    <w:basedOn w:val="a2"/>
    <w:link w:val="aff4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19">
    <w:name w:val="修订1"/>
    <w:hidden/>
    <w:uiPriority w:val="99"/>
    <w:semiHidden/>
    <w:rPr>
      <w:rFonts w:ascii="Songti SC" w:hAnsi="Songti SC"/>
      <w:sz w:val="18"/>
      <w:szCs w:val="22"/>
      <w:lang w:eastAsia="en-US"/>
    </w:rPr>
  </w:style>
  <w:style w:type="character" w:customStyle="1" w:styleId="1a">
    <w:name w:val="未处理的提及1"/>
    <w:basedOn w:val="a2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jz.zhaoji.ac.c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2005</Words>
  <Characters>2809</Characters>
  <Application>Microsoft Office Word</Application>
  <DocSecurity>0</DocSecurity>
  <Lines>187</Lines>
  <Paragraphs>218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yifei wang</cp:lastModifiedBy>
  <cp:revision>17</cp:revision>
  <dcterms:created xsi:type="dcterms:W3CDTF">2026-02-25T00:48:00Z</dcterms:created>
  <dcterms:modified xsi:type="dcterms:W3CDTF">2026-02-24T13:27:00Z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ABCA54A72F2AE93042749D6939B760B8_42</vt:lpwstr>
  </property>
</Properties>
</file>