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2EA8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1．1子曰：“学而时习之，不亦说乎？有朋自远方来，不亦乐乎？人不知而不愠，不亦君子乎？”</w:t>
      </w:r>
    </w:p>
    <w:p w14:paraId="50EBF68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1．2有子曰：“其为人也孝弟，而好犯上者，鲜矣；不好犯上，而好作乱者，未之有也。君子务本，本立而道生。孝弟也者，其为（仁）〔人〕之本与！”</w:t>
      </w:r>
    </w:p>
    <w:p w14:paraId="075CE5B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1．3子曰：“巧言令色，鲜矣仁！”</w:t>
      </w:r>
    </w:p>
    <w:p w14:paraId="11E58D6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1．4曾子曰：“吾日三省吾身：为人谋而不忠乎？与朋友交而不信乎？传不习乎？”</w:t>
      </w:r>
    </w:p>
    <w:p w14:paraId="2E6F505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1．5子曰：“道千乘之国，敬事而信，节用而爱人，使民以时。”</w:t>
      </w:r>
    </w:p>
    <w:p w14:paraId="7F68CC0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1．6子曰：“弟子入则孝，出则悌，谨而信，汎爱众，而亲（仁）〔人〕。行有馀力，则以学文。”</w:t>
      </w:r>
    </w:p>
    <w:p w14:paraId="72670C0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1．7子夏曰：“贤贤易色；事父母，能竭其力；事君，能致其身；与朋友交，言而有信。虽曰未学，吾必谓之学矣。”</w:t>
      </w:r>
    </w:p>
    <w:p w14:paraId="7644E492" w14:textId="77777777" w:rsidR="004D1A51" w:rsidRDefault="00791D2D">
      <w:pPr>
        <w:pStyle w:val="UserStyle3"/>
      </w:pPr>
      <w:r>
        <w:rPr>
          <w:lang w:eastAsia="zh-CN"/>
        </w:rPr>
        <w:t>1．8子曰：“君子不重则不威；学则不固。主忠信。无友不如己者。</w:t>
      </w:r>
      <w:r>
        <w:t>过则勿惮改。”</w:t>
      </w:r>
    </w:p>
    <w:p w14:paraId="4C019D44" w14:textId="77777777" w:rsidR="004D1A51" w:rsidRDefault="00791D2D">
      <w:pPr>
        <w:pStyle w:val="UserStyle3"/>
      </w:pPr>
      <w:r>
        <w:rPr>
          <w:lang w:eastAsia="zh-CN"/>
        </w:rPr>
        <w:t>1．9曾子曰：“慎终追远，民德归厚矣。</w:t>
      </w:r>
      <w:r>
        <w:t>”</w:t>
      </w:r>
    </w:p>
    <w:p w14:paraId="74FB06A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1．10子禽问于子贡曰：“夫子至于是邦也，必闻其政，求之与？抑与之与？”子贡曰：“夫子温、良、恭、俭、让以得之。夫子之求之也，其诸异乎人之求之与？”</w:t>
      </w:r>
    </w:p>
    <w:p w14:paraId="5D3B2369" w14:textId="77777777" w:rsidR="004D1A51" w:rsidRDefault="00791D2D">
      <w:pPr>
        <w:pStyle w:val="UserStyle3"/>
      </w:pPr>
      <w:r>
        <w:rPr>
          <w:lang w:eastAsia="zh-CN"/>
        </w:rPr>
        <w:t>1．11子曰：“父在，观其志；父没，观其行；三年无改于父之道，可谓孝矣。</w:t>
      </w:r>
      <w:r>
        <w:t>”</w:t>
      </w:r>
    </w:p>
    <w:p w14:paraId="40CA5EF7" w14:textId="77777777" w:rsidR="004D1A51" w:rsidRDefault="00791D2D">
      <w:pPr>
        <w:pStyle w:val="UserStyle3"/>
      </w:pPr>
      <w:r>
        <w:rPr>
          <w:lang w:eastAsia="zh-CN"/>
        </w:rPr>
        <w:t>1．12有子曰：“礼之用，和为贵。先王之道，斯为美；小大由之。有所不行，知和而和，不以礼节之，亦不可行也。</w:t>
      </w:r>
      <w:r>
        <w:t>”</w:t>
      </w:r>
    </w:p>
    <w:p w14:paraId="2EAA122F" w14:textId="77777777" w:rsidR="004D1A51" w:rsidRDefault="00791D2D">
      <w:pPr>
        <w:pStyle w:val="UserStyle3"/>
      </w:pPr>
      <w:r>
        <w:rPr>
          <w:lang w:eastAsia="zh-CN"/>
        </w:rPr>
        <w:t>1．13有子曰：“信近于义，言可复也。恭近于礼，远耻辱也。因不失其亲，亦可宗也。</w:t>
      </w:r>
      <w:r>
        <w:t>”</w:t>
      </w:r>
    </w:p>
    <w:p w14:paraId="4D88507E" w14:textId="77777777" w:rsidR="004D1A51" w:rsidRDefault="00791D2D">
      <w:pPr>
        <w:pStyle w:val="UserStyle3"/>
      </w:pPr>
      <w:r>
        <w:rPr>
          <w:lang w:eastAsia="zh-CN"/>
        </w:rPr>
        <w:t>1．14子曰：“君子食无求饱，居无求安，敏于事而慎于言，就有道而正焉，可谓好学也已。</w:t>
      </w:r>
      <w:r>
        <w:t>”</w:t>
      </w:r>
    </w:p>
    <w:p w14:paraId="0184CD31" w14:textId="77777777" w:rsidR="004D1A51" w:rsidRDefault="00791D2D">
      <w:pPr>
        <w:pStyle w:val="UserStyle3"/>
      </w:pPr>
      <w:r>
        <w:rPr>
          <w:lang w:eastAsia="zh-CN"/>
        </w:rPr>
        <w:t>1．15子贡曰：“贫而无谄，富而无骄，何如？”子曰：“可也；未若贫而乐〔道〕，富而好礼者也。</w:t>
      </w:r>
      <w:r>
        <w:t>”</w:t>
      </w:r>
    </w:p>
    <w:p w14:paraId="5EC074FD" w14:textId="77777777" w:rsidR="004D1A51" w:rsidRDefault="00791D2D">
      <w:pPr>
        <w:pStyle w:val="UserStyle3"/>
      </w:pPr>
      <w:r>
        <w:rPr>
          <w:lang w:eastAsia="zh-CN"/>
        </w:rPr>
        <w:t>子贡曰：“《诗》云：‘如切如磋，如琢如磨。’其斯之谓与？”子曰：“赐也，始可与言《诗》已矣，告诸往而知来者。</w:t>
      </w:r>
      <w:r>
        <w:t>”</w:t>
      </w:r>
    </w:p>
    <w:p w14:paraId="185503DA" w14:textId="77777777" w:rsidR="004D1A51" w:rsidRDefault="00791D2D">
      <w:pPr>
        <w:pStyle w:val="UserStyle3"/>
      </w:pPr>
      <w:r>
        <w:t>1．16子曰：“不患人之不己知，患不知人也。”</w:t>
      </w:r>
    </w:p>
    <w:p w14:paraId="10817D64" w14:textId="77777777" w:rsidR="004D1A51" w:rsidRDefault="004D1A51">
      <w:pPr>
        <w:pStyle w:val="UserStyle3"/>
      </w:pPr>
    </w:p>
    <w:p w14:paraId="4904AC22" w14:textId="56414E63" w:rsidR="004D1A51" w:rsidRPr="00CC3405" w:rsidRDefault="00791D2D" w:rsidP="00396A46">
      <w:pPr>
        <w:rPr>
          <w:lang w:eastAsia="zh-CN"/>
        </w:rPr>
      </w:pPr>
      <w:r>
        <w:br/>
      </w:r>
    </w:p>
    <w:sectPr w:rsidR="004D1A51" w:rsidRPr="00CC3405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450A2" w14:textId="77777777" w:rsidR="00DB3936" w:rsidRDefault="00DB3936" w:rsidP="00791D2D">
      <w:pPr>
        <w:spacing w:after="0" w:line="240" w:lineRule="auto"/>
      </w:pPr>
      <w:r>
        <w:separator/>
      </w:r>
    </w:p>
  </w:endnote>
  <w:endnote w:type="continuationSeparator" w:id="0">
    <w:p w14:paraId="1EFC5621" w14:textId="77777777" w:rsidR="00DB3936" w:rsidRDefault="00DB3936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B30CC" w14:textId="77777777" w:rsidR="00DB3936" w:rsidRDefault="00DB3936" w:rsidP="00791D2D">
      <w:pPr>
        <w:spacing w:after="0" w:line="240" w:lineRule="auto"/>
      </w:pPr>
      <w:r>
        <w:separator/>
      </w:r>
    </w:p>
  </w:footnote>
  <w:footnote w:type="continuationSeparator" w:id="0">
    <w:p w14:paraId="57F0518F" w14:textId="77777777" w:rsidR="00DB3936" w:rsidRDefault="00DB3936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D1A51"/>
    <w:rsid w:val="00791D2D"/>
    <w:rsid w:val="00A42D7B"/>
    <w:rsid w:val="00AA1D8D"/>
    <w:rsid w:val="00B47730"/>
    <w:rsid w:val="00BF2A9A"/>
    <w:rsid w:val="00C710F5"/>
    <w:rsid w:val="00CB0664"/>
    <w:rsid w:val="00CC3405"/>
    <w:rsid w:val="00DB3936"/>
    <w:rsid w:val="00DF76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7</cp:revision>
  <cp:lastPrinted>2023-08-04T13:44:00Z</cp:lastPrinted>
  <dcterms:created xsi:type="dcterms:W3CDTF">2022-05-12T07:12:00Z</dcterms:created>
  <dcterms:modified xsi:type="dcterms:W3CDTF">2025-08-17T07:56:00Z</dcterms:modified>
  <cp:category/>
</cp:coreProperties>
</file>