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6A239" w14:textId="5BF28449" w:rsidR="004D1A51" w:rsidRDefault="001027F8">
      <w:pPr>
        <w:pStyle w:val="1"/>
        <w:rPr>
          <w:lang w:eastAsia="zh-CN"/>
        </w:rPr>
      </w:pPr>
      <w:bookmarkStart w:id="0" w:name="_Toc142073476"/>
      <w:r>
        <w:rPr>
          <w:lang w:eastAsia="zh-CN"/>
        </w:rPr>
        <w:t>《</w:t>
      </w:r>
      <w:r w:rsidR="00791D2D">
        <w:rPr>
          <w:lang w:eastAsia="zh-CN"/>
        </w:rPr>
        <w:t>颜渊</w:t>
      </w:r>
      <w:r>
        <w:rPr>
          <w:lang w:eastAsia="zh-CN"/>
        </w:rPr>
        <w:t>》</w:t>
      </w:r>
      <w:r w:rsidR="00791D2D">
        <w:rPr>
          <w:lang w:eastAsia="zh-CN"/>
        </w:rPr>
        <w:t>第十二</w:t>
      </w:r>
      <w:bookmarkEnd w:id="0"/>
    </w:p>
    <w:p w14:paraId="1C2A3A6D" w14:textId="77777777" w:rsidR="004D1A51" w:rsidRDefault="004D1A51">
      <w:pPr>
        <w:pStyle w:val="UserStyle3"/>
        <w:rPr>
          <w:lang w:eastAsia="zh-CN"/>
        </w:rPr>
      </w:pPr>
    </w:p>
    <w:p w14:paraId="1B1039A6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12《颜渊篇第十二》</w:t>
      </w:r>
    </w:p>
    <w:p w14:paraId="588044C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12．1颜渊问仁。子曰：“克己复礼为仁。一日克己复礼，天下归仁焉。为仁由己，而由人乎哉？”</w:t>
      </w:r>
    </w:p>
    <w:p w14:paraId="4BDC992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颜渊曰：“请问其目。”子曰：“非礼勿视，非礼勿听，非礼勿言，非礼勿动。”</w:t>
      </w:r>
    </w:p>
    <w:p w14:paraId="68ED6DB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颜渊曰：“回虽不敏，请事斯语矣。”</w:t>
      </w:r>
    </w:p>
    <w:p w14:paraId="77964CC2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12．2仲弓问仁。子曰：“出门如见大宾，使民如承大祭。己所不欲，勿施于人。在邦无怨，在家无怨。”</w:t>
      </w:r>
    </w:p>
    <w:p w14:paraId="5C0B9B6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仲弓曰：“雍虽不敏，请事斯语矣。”</w:t>
      </w:r>
    </w:p>
    <w:p w14:paraId="44565C4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12．3司马牛问仁。子曰：“仁者，其言也讱。”</w:t>
      </w:r>
    </w:p>
    <w:p w14:paraId="401E9B5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曰：“其言也讱，斯谓之仁已乎？”子曰：“为之难，言之得无讱乎？”</w:t>
      </w:r>
    </w:p>
    <w:p w14:paraId="7139E4AB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12．4司马牛问君子。子曰：“君子不忧不惧。”</w:t>
      </w:r>
    </w:p>
    <w:p w14:paraId="5506575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曰：“不忧不惧，斯谓之君子已乎？”子曰：“内省不疚，夫何忧何惧？”</w:t>
      </w:r>
    </w:p>
    <w:p w14:paraId="6F50F7D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12．5司马牛忧曰：“人皆有兄弟，我独亡。”子夏曰：“商闻之矣：死生有命，富贵在天。君子敬而无失，与人恭而有礼。四海之内，皆兄弟也。君子何患乎无兄弟也？”</w:t>
      </w:r>
    </w:p>
    <w:p w14:paraId="1042155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12．6子张问明。子曰：“浸润之谮，肤受之愬，不行焉，可谓明也已矣。浸润之谮，肤受之愬，不行焉，可谓远也已矣。”</w:t>
      </w:r>
    </w:p>
    <w:p w14:paraId="523A1AE6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12．7子贡问政。子曰：“足食，足兵，民信之矣。”</w:t>
      </w:r>
    </w:p>
    <w:p w14:paraId="1A26D767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子贡曰：“必不得已而去，于斯三者何先？”曰：“去兵。”</w:t>
      </w:r>
    </w:p>
    <w:p w14:paraId="5F2248D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子贡曰：“必不得已而去，于斯二者何先？”曰：“去食。自古皆有死，民无信不立。”</w:t>
      </w:r>
    </w:p>
    <w:p w14:paraId="4150F8FB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12．8棘子成曰：“君子质而已矣，何以文为？”子贡曰：“惜乎，夫子之说君子也！驷不及舌。文犹质也，质犹文也。虎豹之鞹犹犬羊之鞹。”</w:t>
      </w:r>
    </w:p>
    <w:p w14:paraId="5A6C9AB6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12．9哀公问于有若曰：“年饥，用不足，如之何？”</w:t>
      </w:r>
    </w:p>
    <w:p w14:paraId="137816A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有若对曰：“盍彻乎？”</w:t>
      </w:r>
    </w:p>
    <w:p w14:paraId="010ACD88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曰：“二，吾犹不足，如之何其彻也？”</w:t>
      </w:r>
    </w:p>
    <w:p w14:paraId="167B965A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对曰：“百姓足，君孰与不足？百姓不足，君孰与足？”</w:t>
      </w:r>
    </w:p>
    <w:p w14:paraId="1E43BA2A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12．10子张问崇德、辨惑。子曰：“主忠信、徙义，崇德也。爱之欲其生，恶之欲其死。既欲其生，又欲其死，是惑也。‘诚不以富，亦祗以异。’”</w:t>
      </w:r>
    </w:p>
    <w:p w14:paraId="27499678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12．11齐景公问政于孔子。孔子对曰：“君君，臣臣，父父，子子。”公曰：“善哉！信如君不君，臣不臣，父不父，子不子，虽有粟，吾得而食诸？”</w:t>
      </w:r>
    </w:p>
    <w:p w14:paraId="4D1E341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12．12子曰：“片言可以折狱者，其由也与？”</w:t>
      </w:r>
    </w:p>
    <w:p w14:paraId="1AC0A11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子路无宿诺。</w:t>
      </w:r>
    </w:p>
    <w:p w14:paraId="6AF1E6B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12．13子曰：“听讼，吾犹人也。必也使无讼乎！”</w:t>
      </w:r>
    </w:p>
    <w:p w14:paraId="5D2E07F9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12．14子张问政。子曰：“居之无倦，行之以忠。”</w:t>
      </w:r>
    </w:p>
    <w:p w14:paraId="49F4CC86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12．15子曰：“博学于文，约之以礼，亦可以弗畔矣夫！”</w:t>
      </w:r>
    </w:p>
    <w:p w14:paraId="4F570E3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12．16子曰：“君子成人之美，不成人之恶。小人反是。”</w:t>
      </w:r>
    </w:p>
    <w:p w14:paraId="59C83BA6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12．17季康子问政于孔子。孔子对曰：“政者、正也。子帅以正，孰敢不正？”</w:t>
      </w:r>
    </w:p>
    <w:p w14:paraId="71A544F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12．18季康子患盗，问于孔子。孔子对曰：“苟子之不欲，虽赏之不窃。”</w:t>
      </w:r>
    </w:p>
    <w:p w14:paraId="6C52B222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12．19季康子问政于孔子曰：“如杀无道，以就有道，何如？”孔子对曰：“子为政，焉用杀？子欲善而民善矣。君子之德风，小人之德草。草上之风，必偃。”</w:t>
      </w:r>
    </w:p>
    <w:p w14:paraId="3B88A17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20子张问：“士何如斯可谓之达矣？”子曰：“何哉，尔所谓达者？”子张对曰：“在邦必闻，在家必闻。”子曰：“是闻也，非达也。夫达也者，质直而好义，察言而观色，虑以下人。在邦必达，在家必达。夫闻也者，色取仁而行违，居之不疑。在邦必闻，在家必闻。”</w:t>
      </w:r>
    </w:p>
    <w:p w14:paraId="03A60C8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12．21樊迟从游于舞雩之下，曰：“敢问崇德、脩慝、辨惑。”子曰：“善哉问！先事后得，非崇德与？攻其恶，无攻人之恶，非脩慝与？一朝之忿，忘其身，以及其亲，非惑与？”</w:t>
      </w:r>
    </w:p>
    <w:p w14:paraId="143A309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12．22樊迟问仁。子曰：“爱人。”</w:t>
      </w:r>
    </w:p>
    <w:p w14:paraId="1765E8A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问知。子曰：“知人。”樊迟未达。子曰：“举直错诸枉，能使枉者直。”</w:t>
      </w:r>
    </w:p>
    <w:p w14:paraId="3B9ABDB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lastRenderedPageBreak/>
        <w:t>樊迟退，见子夏曰：“乡也吾见于夫子而问知，子曰：‘举直错诸枉，能使枉者直。’何谓也？”</w:t>
      </w:r>
    </w:p>
    <w:p w14:paraId="3A6DAD3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子夏曰：“富哉言乎！舜有天下，选于众，举皋陶，不仁者远矣。汤有天下，选于众，举伊尹，不仁者远矣。”</w:t>
      </w:r>
    </w:p>
    <w:p w14:paraId="1C99E6C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12．23子贡问友。子曰：“忠告而善道之，不可则止，毋自辱焉。”</w:t>
      </w:r>
    </w:p>
    <w:p w14:paraId="57362532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12．24曾子曰：“君子以文会友，以友辅仁。”</w:t>
      </w:r>
    </w:p>
    <w:p w14:paraId="533DDA03" w14:textId="77777777" w:rsidR="004D1A51" w:rsidRDefault="004D1A51">
      <w:pPr>
        <w:pStyle w:val="UserStyle3"/>
        <w:rPr>
          <w:lang w:eastAsia="zh-CN"/>
        </w:rPr>
      </w:pPr>
    </w:p>
    <w:p w14:paraId="4904AC22" w14:textId="2AA0A346" w:rsidR="004D1A51" w:rsidRPr="00336B7E" w:rsidRDefault="004D1A51" w:rsidP="00396A46">
      <w:pPr>
        <w:rPr>
          <w:rFonts w:hint="eastAsia"/>
          <w:lang w:eastAsia="zh-CN"/>
        </w:rPr>
      </w:pPr>
    </w:p>
    <w:sectPr w:rsidR="004D1A51" w:rsidRPr="00336B7E" w:rsidSect="00034616">
      <w:footerReference w:type="even" r:id="rId8"/>
      <w:footerReference w:type="default" r:id="rId9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AAF69" w14:textId="77777777" w:rsidR="00B432ED" w:rsidRDefault="00B432ED" w:rsidP="00791D2D">
      <w:pPr>
        <w:spacing w:after="0" w:line="240" w:lineRule="auto"/>
      </w:pPr>
      <w:r>
        <w:separator/>
      </w:r>
    </w:p>
  </w:endnote>
  <w:endnote w:type="continuationSeparator" w:id="0">
    <w:p w14:paraId="42A7258D" w14:textId="77777777" w:rsidR="00B432ED" w:rsidRDefault="00B432ED" w:rsidP="007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743A2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end"/>
    </w:r>
  </w:p>
  <w:p w14:paraId="72BA6375" w14:textId="77777777" w:rsidR="00791D2D" w:rsidRDefault="00791D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855F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1</w:t>
    </w:r>
    <w:r>
      <w:rPr>
        <w:rStyle w:val="aff9"/>
      </w:rPr>
      <w:fldChar w:fldCharType="end"/>
    </w:r>
  </w:p>
  <w:p w14:paraId="39BA4363" w14:textId="77777777" w:rsidR="00791D2D" w:rsidRDefault="00791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E7B31" w14:textId="77777777" w:rsidR="00B432ED" w:rsidRDefault="00B432ED" w:rsidP="00791D2D">
      <w:pPr>
        <w:spacing w:after="0" w:line="240" w:lineRule="auto"/>
      </w:pPr>
      <w:r>
        <w:separator/>
      </w:r>
    </w:p>
  </w:footnote>
  <w:footnote w:type="continuationSeparator" w:id="0">
    <w:p w14:paraId="301764DD" w14:textId="77777777" w:rsidR="00B432ED" w:rsidRDefault="00B432ED" w:rsidP="0079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828262">
    <w:abstractNumId w:val="8"/>
  </w:num>
  <w:num w:numId="2" w16cid:durableId="538399099">
    <w:abstractNumId w:val="6"/>
  </w:num>
  <w:num w:numId="3" w16cid:durableId="1943998384">
    <w:abstractNumId w:val="5"/>
  </w:num>
  <w:num w:numId="4" w16cid:durableId="1981497465">
    <w:abstractNumId w:val="4"/>
  </w:num>
  <w:num w:numId="5" w16cid:durableId="1293292239">
    <w:abstractNumId w:val="7"/>
  </w:num>
  <w:num w:numId="6" w16cid:durableId="561791060">
    <w:abstractNumId w:val="3"/>
  </w:num>
  <w:num w:numId="7" w16cid:durableId="1071080998">
    <w:abstractNumId w:val="2"/>
  </w:num>
  <w:num w:numId="8" w16cid:durableId="1301493112">
    <w:abstractNumId w:val="1"/>
  </w:num>
  <w:num w:numId="9" w16cid:durableId="19550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7F8"/>
    <w:rsid w:val="0015074B"/>
    <w:rsid w:val="001E71D4"/>
    <w:rsid w:val="002637AD"/>
    <w:rsid w:val="0029639D"/>
    <w:rsid w:val="00326F90"/>
    <w:rsid w:val="00336B7E"/>
    <w:rsid w:val="00396A46"/>
    <w:rsid w:val="003E4E33"/>
    <w:rsid w:val="004D1A51"/>
    <w:rsid w:val="00791D2D"/>
    <w:rsid w:val="00AA1D8D"/>
    <w:rsid w:val="00B432ED"/>
    <w:rsid w:val="00B47730"/>
    <w:rsid w:val="00C710F5"/>
    <w:rsid w:val="00CB0664"/>
    <w:rsid w:val="00F14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C4140E"/>
  <w14:defaultImageDpi w14:val="300"/>
  <w15:docId w15:val="{22EDA1EA-3C88-48D7-8D39-EB5F7754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="宋体" w:eastAsia="宋体" w:hAnsi="宋体" w:cstheme="majorBidi"/>
      <w:b/>
      <w:bCs/>
      <w:color w:val="000000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="宋体" w:eastAsia="宋体" w:hAnsi="宋体" w:cstheme="majorBidi"/>
      <w:b/>
      <w:bCs/>
      <w:color w:val="000000"/>
      <w:sz w:val="24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="宋体" w:eastAsia="宋体" w:hAnsi="宋体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="宋体" w:eastAsia="宋体" w:hAnsi="宋体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宋体" w:eastAsia="宋体" w:hAnsi="宋体"/>
      <w:color w:val="000000"/>
      <w:sz w:val="21"/>
    </w:rPr>
  </w:style>
  <w:style w:type="paragraph" w:customStyle="1" w:styleId="UserStyle4">
    <w:name w:val="UserStyle4"/>
    <w:rPr>
      <w:rFonts w:ascii="宋体" w:eastAsia="宋体" w:hAnsi="宋体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宋体" w:eastAsia="宋体" w:hAnsi="宋体"/>
      <w:color w:val="000000"/>
      <w:sz w:val="18"/>
    </w:rPr>
  </w:style>
  <w:style w:type="paragraph" w:styleId="TOC1">
    <w:name w:val="toc 1"/>
    <w:basedOn w:val="a1"/>
    <w:next w:val="a1"/>
    <w:autoRedefine/>
    <w:uiPriority w:val="39"/>
    <w:unhideWhenUsed/>
    <w:rsid w:val="00791D2D"/>
  </w:style>
  <w:style w:type="paragraph" w:styleId="TOC2">
    <w:name w:val="toc 2"/>
    <w:basedOn w:val="a1"/>
    <w:next w:val="a1"/>
    <w:autoRedefine/>
    <w:uiPriority w:val="39"/>
    <w:unhideWhenUsed/>
    <w:rsid w:val="00791D2D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91D2D"/>
    <w:pPr>
      <w:ind w:leftChars="400" w:left="840"/>
    </w:pPr>
  </w:style>
  <w:style w:type="character" w:styleId="aff9">
    <w:name w:val="page number"/>
    <w:basedOn w:val="a2"/>
    <w:uiPriority w:val="99"/>
    <w:semiHidden/>
    <w:unhideWhenUsed/>
    <w:rsid w:val="00791D2D"/>
  </w:style>
  <w:style w:type="paragraph" w:customStyle="1" w:styleId="affa">
    <w:name w:val="目录"/>
    <w:pPr>
      <w:spacing w:after="0" w:line="240" w:lineRule="auto"/>
    </w:pPr>
    <w:rPr>
      <w:rFonts w:ascii="宋体" w:eastAsia="宋体" w:hAnsi="宋体"/>
      <w:b/>
      <w:color w:val="000000"/>
      <w:sz w:val="30"/>
    </w:rPr>
  </w:style>
  <w:style w:type="paragraph" w:customStyle="1" w:styleId="affb">
    <w:name w:val="书名"/>
    <w:pPr>
      <w:spacing w:after="0" w:line="240" w:lineRule="auto"/>
    </w:pPr>
    <w:rPr>
      <w:rFonts w:ascii="宋体" w:eastAsia="宋体" w:hAnsi="宋体"/>
      <w:b/>
      <w:color w:val="000000"/>
      <w:sz w:val="36"/>
    </w:rPr>
  </w:style>
  <w:style w:type="character" w:styleId="affc">
    <w:name w:val="Hyperlink"/>
    <w:basedOn w:val="a2"/>
    <w:uiPriority w:val="99"/>
    <w:unhideWhenUsed/>
    <w:rsid w:val="001027F8"/>
    <w:rPr>
      <w:color w:val="0000FF" w:themeColor="hyperlink"/>
      <w:u w:val="single"/>
    </w:rPr>
  </w:style>
  <w:style w:type="paragraph" w:styleId="TOC4">
    <w:name w:val="toc 4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600" w:left="1260"/>
      <w:contextualSpacing/>
      <w:jc w:val="both"/>
    </w:pPr>
    <w:rPr>
      <w:color w:val="000000"/>
      <w:kern w:val="2"/>
      <w:sz w:val="21"/>
      <w:lang w:eastAsia="zh-CN"/>
    </w:rPr>
  </w:style>
  <w:style w:type="paragraph" w:styleId="TOC5">
    <w:name w:val="toc 5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800" w:left="1680"/>
      <w:contextualSpacing/>
      <w:jc w:val="both"/>
    </w:pPr>
    <w:rPr>
      <w:color w:val="000000"/>
      <w:kern w:val="2"/>
      <w:sz w:val="21"/>
      <w:lang w:eastAsia="zh-CN"/>
    </w:rPr>
  </w:style>
  <w:style w:type="paragraph" w:styleId="TOC6">
    <w:name w:val="toc 6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000" w:left="2100"/>
      <w:contextualSpacing/>
      <w:jc w:val="both"/>
    </w:pPr>
    <w:rPr>
      <w:color w:val="000000"/>
      <w:kern w:val="2"/>
      <w:sz w:val="21"/>
      <w:lang w:eastAsia="zh-CN"/>
    </w:rPr>
  </w:style>
  <w:style w:type="paragraph" w:styleId="TOC7">
    <w:name w:val="toc 7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200" w:left="2520"/>
      <w:contextualSpacing/>
      <w:jc w:val="both"/>
    </w:pPr>
    <w:rPr>
      <w:color w:val="000000"/>
      <w:kern w:val="2"/>
      <w:sz w:val="21"/>
      <w:lang w:eastAsia="zh-CN"/>
    </w:rPr>
  </w:style>
  <w:style w:type="paragraph" w:styleId="TOC8">
    <w:name w:val="toc 8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400" w:left="2940"/>
      <w:contextualSpacing/>
      <w:jc w:val="both"/>
    </w:pPr>
    <w:rPr>
      <w:color w:val="000000"/>
      <w:kern w:val="2"/>
      <w:sz w:val="21"/>
      <w:lang w:eastAsia="zh-CN"/>
    </w:rPr>
  </w:style>
  <w:style w:type="paragraph" w:styleId="TOC9">
    <w:name w:val="toc 9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600" w:left="3360"/>
      <w:contextualSpacing/>
      <w:jc w:val="both"/>
    </w:pPr>
    <w:rPr>
      <w:color w:val="000000"/>
      <w:kern w:val="2"/>
      <w:sz w:val="21"/>
      <w:lang w:eastAsia="zh-CN"/>
    </w:rPr>
  </w:style>
  <w:style w:type="character" w:styleId="affd">
    <w:name w:val="Unresolved Mention"/>
    <w:basedOn w:val="a2"/>
    <w:uiPriority w:val="99"/>
    <w:semiHidden/>
    <w:unhideWhenUsed/>
    <w:rsid w:val="001E71D4"/>
    <w:rPr>
      <w:color w:val="605E5C"/>
      <w:shd w:val="clear" w:color="auto" w:fill="E1DFDD"/>
    </w:rPr>
  </w:style>
  <w:style w:type="paragraph" w:styleId="affe">
    <w:name w:val="Revision"/>
    <w:hidden/>
    <w:uiPriority w:val="99"/>
    <w:semiHidden/>
    <w:rsid w:val="001E71D4"/>
    <w:pPr>
      <w:spacing w:after="0" w:line="240" w:lineRule="auto"/>
    </w:pPr>
    <w:rPr>
      <w:rFonts w:ascii="宋体" w:eastAsia="宋体" w:hAnsi="宋体"/>
      <w:color w:val="00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8</cp:revision>
  <cp:lastPrinted>2023-08-04T13:44:00Z</cp:lastPrinted>
  <dcterms:created xsi:type="dcterms:W3CDTF">2022-05-12T07:12:00Z</dcterms:created>
  <dcterms:modified xsi:type="dcterms:W3CDTF">2025-08-24T05:16:00Z</dcterms:modified>
  <cp:category/>
</cp:coreProperties>
</file>