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71AB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13．1子路问政。子曰：“先之劳之。”请益。曰：“无倦。”</w:t>
      </w:r>
    </w:p>
    <w:p w14:paraId="5D17DC67" w14:textId="77777777" w:rsidR="004D1A51" w:rsidRDefault="00791D2D">
      <w:pPr>
        <w:pStyle w:val="UserStyle3"/>
      </w:pPr>
      <w:r>
        <w:rPr>
          <w:lang w:eastAsia="zh-CN"/>
        </w:rPr>
        <w:t>13．2仲弓为季氏宰，问政。子曰：“先有司，赦小过，举贤才。</w:t>
      </w:r>
      <w:r>
        <w:t>”</w:t>
      </w:r>
    </w:p>
    <w:p w14:paraId="776F4F0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曰：“焉知贤才而举之？”曰：“举尔所知；尔所不知，人其舍诸？”</w:t>
      </w:r>
    </w:p>
    <w:p w14:paraId="0437CA2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13．3子路曰：“卫君待子而为政，子将奚先？”</w:t>
      </w:r>
    </w:p>
    <w:p w14:paraId="6B53623B" w14:textId="77777777" w:rsidR="004D1A51" w:rsidRDefault="00791D2D">
      <w:pPr>
        <w:pStyle w:val="UserStyle3"/>
      </w:pPr>
      <w:r>
        <w:t>子曰：“必也正名乎！”</w:t>
      </w:r>
    </w:p>
    <w:p w14:paraId="78EC5B61" w14:textId="77777777" w:rsidR="004D1A51" w:rsidRDefault="00791D2D">
      <w:pPr>
        <w:pStyle w:val="UserStyle3"/>
      </w:pPr>
      <w:r>
        <w:t>子路曰：“有是哉，子之迂也！奚其正？”</w:t>
      </w:r>
    </w:p>
    <w:p w14:paraId="1E7A927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曰：“野哉由也！君子于其所不知，盖阙如也。名不正，则言不顺；言不顺，则事不成；事不成，则礼乐不兴；礼乐不兴，则刑罚不中；刑罚不中，则民无所错手足。故君子名之必可言也，言之必可行也。君子于其言，无所苟而已矣。”</w:t>
      </w:r>
    </w:p>
    <w:p w14:paraId="5F51032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13．4樊迟请学稼。子曰：“吾不如老农。”请学为圃。曰：“吾不如老圃。”</w:t>
      </w:r>
    </w:p>
    <w:p w14:paraId="41F2733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樊迟出。子曰：“小人哉，樊须也！上好礼，则民莫敢不敬；上好义，则民莫敢不服；上好信，则民莫敢不用情。夫如是，则四方之民襁负其子而至矣，焉用稼？”</w:t>
      </w:r>
    </w:p>
    <w:p w14:paraId="0D3AD77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13．5子曰：“诵《诗》三百，授之以政，不达；使于四方，不能专对；虽多，亦奚以为？”</w:t>
      </w:r>
    </w:p>
    <w:p w14:paraId="25693CA3" w14:textId="77777777" w:rsidR="004D1A51" w:rsidRDefault="00791D2D">
      <w:pPr>
        <w:pStyle w:val="UserStyle3"/>
      </w:pPr>
      <w:r>
        <w:rPr>
          <w:lang w:eastAsia="zh-CN"/>
        </w:rPr>
        <w:t>13．6子曰：“其身正，不令而行；其身不正，虽令不从。</w:t>
      </w:r>
      <w:r>
        <w:t>”</w:t>
      </w:r>
    </w:p>
    <w:p w14:paraId="51480079" w14:textId="77777777" w:rsidR="004D1A51" w:rsidRDefault="00791D2D">
      <w:pPr>
        <w:pStyle w:val="UserStyle3"/>
      </w:pPr>
      <w:r>
        <w:rPr>
          <w:lang w:eastAsia="zh-CN"/>
        </w:rPr>
        <w:t>13．7子曰：“鲁、卫之政，兄弟也。</w:t>
      </w:r>
      <w:r>
        <w:t>”</w:t>
      </w:r>
    </w:p>
    <w:p w14:paraId="5246F1D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13．8子谓卫公子荆善居室。始有，曰：“苟合矣。”少有，曰：“苟完矣。”富有，曰：“苟美矣。”</w:t>
      </w:r>
    </w:p>
    <w:p w14:paraId="06B843F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13．9子适卫，冉有仆。子曰：“庶矣哉！”</w:t>
      </w:r>
    </w:p>
    <w:p w14:paraId="6614D896" w14:textId="77777777" w:rsidR="004D1A51" w:rsidRDefault="00791D2D">
      <w:pPr>
        <w:pStyle w:val="UserStyle3"/>
      </w:pPr>
      <w:r>
        <w:t>冉有曰：“既庶矣，又何加焉？”曰：“富之。”</w:t>
      </w:r>
    </w:p>
    <w:p w14:paraId="48C5DB9E" w14:textId="77777777" w:rsidR="004D1A51" w:rsidRDefault="00791D2D">
      <w:pPr>
        <w:pStyle w:val="UserStyle3"/>
      </w:pPr>
      <w:r>
        <w:t>曰：“既富矣，又何加焉？”曰：“教之。”</w:t>
      </w:r>
    </w:p>
    <w:p w14:paraId="6987102B" w14:textId="77777777" w:rsidR="004D1A51" w:rsidRDefault="00791D2D">
      <w:pPr>
        <w:pStyle w:val="UserStyle3"/>
      </w:pPr>
      <w:r>
        <w:t>13．10子曰：“苟有用我者，期月而已可也，三年有成。”</w:t>
      </w:r>
    </w:p>
    <w:p w14:paraId="7D841E4E" w14:textId="77777777" w:rsidR="004D1A51" w:rsidRDefault="00791D2D">
      <w:pPr>
        <w:pStyle w:val="UserStyle3"/>
      </w:pPr>
      <w:r>
        <w:rPr>
          <w:lang w:eastAsia="zh-CN"/>
        </w:rPr>
        <w:t>13．11子曰：“‘善人为邦百年，亦可以胜残去杀矣。</w:t>
      </w:r>
      <w:r>
        <w:t>’诚哉是言也！”</w:t>
      </w:r>
    </w:p>
    <w:p w14:paraId="508B8AA0" w14:textId="77777777" w:rsidR="004D1A51" w:rsidRDefault="00791D2D">
      <w:pPr>
        <w:pStyle w:val="UserStyle3"/>
      </w:pPr>
      <w:r>
        <w:t>13．12子曰：“如有王者，必世而后仁。”</w:t>
      </w:r>
    </w:p>
    <w:p w14:paraId="1451F25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13．13子曰：“苟正其身矣，于从政乎何有？不能正其身，如正人何？”</w:t>
      </w:r>
    </w:p>
    <w:p w14:paraId="26CBDC9D" w14:textId="77777777" w:rsidR="004D1A51" w:rsidRDefault="00791D2D">
      <w:pPr>
        <w:pStyle w:val="UserStyle3"/>
      </w:pPr>
      <w:r>
        <w:rPr>
          <w:lang w:eastAsia="zh-CN"/>
        </w:rPr>
        <w:t>13．14冉子退朝。子曰：“何晏也？”对曰：“有政。”子曰：“其事也。如有政，虽不吾以，吾其与闻之。</w:t>
      </w:r>
      <w:r>
        <w:t>”</w:t>
      </w:r>
    </w:p>
    <w:p w14:paraId="75DB2C0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13．15．定公问：“一言而可以兴邦，有诸？”</w:t>
      </w:r>
    </w:p>
    <w:p w14:paraId="7435F7B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孔子对曰：“言不可以若是其几也。人之言曰：‘为君难，为臣不易。’如知为君之难也，不几乎一言而兴邦乎？”</w:t>
      </w:r>
    </w:p>
    <w:p w14:paraId="556C1CA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曰：“一言而丧邦，有诸？”</w:t>
      </w:r>
    </w:p>
    <w:p w14:paraId="2F93833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孔子对曰：“言不可以若是其几也。人之言曰：‘予无乐乎为君，唯其言而莫予违也。’如其善而莫之违也，不亦善乎？如不善而莫之违也，不几乎一言而丧邦乎？”</w:t>
      </w:r>
    </w:p>
    <w:p w14:paraId="491E95D3" w14:textId="77777777" w:rsidR="004D1A51" w:rsidRDefault="00791D2D">
      <w:pPr>
        <w:pStyle w:val="UserStyle3"/>
      </w:pPr>
      <w:r>
        <w:rPr>
          <w:lang w:eastAsia="zh-CN"/>
        </w:rPr>
        <w:t>13．16叶公问政。子曰：“近者说，远者来。</w:t>
      </w:r>
      <w:r>
        <w:t>”</w:t>
      </w:r>
    </w:p>
    <w:p w14:paraId="35669140" w14:textId="77777777" w:rsidR="004D1A51" w:rsidRDefault="00791D2D">
      <w:pPr>
        <w:pStyle w:val="UserStyle3"/>
      </w:pPr>
      <w:r>
        <w:rPr>
          <w:lang w:eastAsia="zh-CN"/>
        </w:rPr>
        <w:t>13．17子夏为莒父宰，问政。子曰：“无欲速，无见小利。欲速，则不达；见小利，〔则〕大事不成。</w:t>
      </w:r>
      <w:r>
        <w:t>”</w:t>
      </w:r>
    </w:p>
    <w:p w14:paraId="3ADF16A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13．18叶公语孔子曰：“吾党有直躬者，其父攘羊，而子证之。”孔子曰：“吾党之直者异于是：父为子隐，子为父隐。直在其中矣。”</w:t>
      </w:r>
    </w:p>
    <w:p w14:paraId="1B7596D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13．19樊迟问仁。子曰：“居处恭，执事敬，与人忠。虽之夷狄，不可弃也。”</w:t>
      </w:r>
    </w:p>
    <w:p w14:paraId="092834C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13．20子贡问曰：“何如斯可谓之士矣？”子曰：“行己有耻，使于四方，不辱君命，可谓士矣。”</w:t>
      </w:r>
    </w:p>
    <w:p w14:paraId="667CC5F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曰：“敢问其次。”曰：“宗族称孝焉，乡党称弟焉。”</w:t>
      </w:r>
    </w:p>
    <w:p w14:paraId="5BC3D6F1" w14:textId="77777777" w:rsidR="004D1A51" w:rsidRDefault="00791D2D">
      <w:pPr>
        <w:pStyle w:val="UserStyle3"/>
      </w:pPr>
      <w:r>
        <w:rPr>
          <w:lang w:eastAsia="zh-CN"/>
        </w:rPr>
        <w:t>曰：“敢问其次。”曰：“言必信，行必果，硁硁然小人哉！抑亦可以为次矣。</w:t>
      </w:r>
      <w:r>
        <w:t>”</w:t>
      </w:r>
    </w:p>
    <w:p w14:paraId="0319D49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曰：“今之从政者何如？”子曰：“噫！斗筲之人，何足算也？”</w:t>
      </w:r>
    </w:p>
    <w:p w14:paraId="10FC5934" w14:textId="77777777" w:rsidR="004D1A51" w:rsidRDefault="00791D2D">
      <w:pPr>
        <w:pStyle w:val="UserStyle3"/>
      </w:pPr>
      <w:r>
        <w:rPr>
          <w:lang w:eastAsia="zh-CN"/>
        </w:rPr>
        <w:t>13．21子曰：“不得中行而与之，必也狂狷乎！狂者进取，狷者有所不为也。</w:t>
      </w:r>
      <w:r>
        <w:t>”</w:t>
      </w:r>
    </w:p>
    <w:p w14:paraId="3BF6DEE9" w14:textId="77777777" w:rsidR="004D1A51" w:rsidRDefault="00791D2D">
      <w:pPr>
        <w:pStyle w:val="UserStyle3"/>
      </w:pPr>
      <w:r>
        <w:rPr>
          <w:lang w:eastAsia="zh-CN"/>
        </w:rPr>
        <w:t>13．22子曰：“南人有言曰：‘人而无恒，不可以作巫医。’善夫！‘不恒其德，或承之羞。</w:t>
      </w:r>
      <w:r>
        <w:t>’”子曰：“不占而已矣。”</w:t>
      </w:r>
    </w:p>
    <w:p w14:paraId="08D251E9" w14:textId="77777777" w:rsidR="004D1A51" w:rsidRDefault="00791D2D">
      <w:pPr>
        <w:pStyle w:val="UserStyle3"/>
      </w:pPr>
      <w:r>
        <w:t>13．23子曰：“君子和而不同，小人同而不和。”</w:t>
      </w:r>
    </w:p>
    <w:p w14:paraId="079D1324" w14:textId="77777777" w:rsidR="004D1A51" w:rsidRDefault="00791D2D">
      <w:pPr>
        <w:pStyle w:val="UserStyle3"/>
      </w:pPr>
      <w:r>
        <w:rPr>
          <w:lang w:eastAsia="zh-CN"/>
        </w:rPr>
        <w:t>13．24子贡问曰：“乡人皆好之，何如？”子曰：“未可也。</w:t>
      </w:r>
      <w:r>
        <w:t>”</w:t>
      </w:r>
    </w:p>
    <w:p w14:paraId="2FF40819" w14:textId="77777777" w:rsidR="004D1A51" w:rsidRDefault="00791D2D">
      <w:pPr>
        <w:pStyle w:val="UserStyle3"/>
      </w:pPr>
      <w:r>
        <w:rPr>
          <w:lang w:eastAsia="zh-CN"/>
        </w:rPr>
        <w:t>“乡人皆恶之，何如？”子曰：“未可也；不如乡人之善者好之，其不善者恶之。</w:t>
      </w:r>
      <w:r>
        <w:t>”</w:t>
      </w:r>
    </w:p>
    <w:p w14:paraId="3FE76D84" w14:textId="77777777" w:rsidR="004D1A51" w:rsidRDefault="00791D2D">
      <w:pPr>
        <w:pStyle w:val="UserStyle3"/>
      </w:pPr>
      <w:r>
        <w:rPr>
          <w:lang w:eastAsia="zh-CN"/>
        </w:rPr>
        <w:lastRenderedPageBreak/>
        <w:t>13．25子曰：“君子易事而难说也。说之不以道，不说也；及其使人也，器之。小人难事而易说也。说之虽不以道，说也；及其使人也，求备焉。</w:t>
      </w:r>
      <w:r>
        <w:t>”</w:t>
      </w:r>
    </w:p>
    <w:p w14:paraId="2C6130E7" w14:textId="77777777" w:rsidR="004D1A51" w:rsidRDefault="00791D2D">
      <w:pPr>
        <w:pStyle w:val="UserStyle3"/>
      </w:pPr>
      <w:r>
        <w:rPr>
          <w:lang w:eastAsia="zh-CN"/>
        </w:rPr>
        <w:t>13．26子曰：“君子泰而不骄，小人骄而不泰。</w:t>
      </w:r>
      <w:r>
        <w:t>”</w:t>
      </w:r>
    </w:p>
    <w:p w14:paraId="279DE07E" w14:textId="77777777" w:rsidR="004D1A51" w:rsidRDefault="00791D2D">
      <w:pPr>
        <w:pStyle w:val="UserStyle3"/>
      </w:pPr>
      <w:r>
        <w:rPr>
          <w:lang w:eastAsia="zh-CN"/>
        </w:rPr>
        <w:t>13．27子曰：“刚、毅、木、讷近仁。</w:t>
      </w:r>
      <w:r>
        <w:t>”</w:t>
      </w:r>
    </w:p>
    <w:p w14:paraId="6EB9FBB1" w14:textId="77777777" w:rsidR="004D1A51" w:rsidRDefault="00791D2D">
      <w:pPr>
        <w:pStyle w:val="UserStyle3"/>
      </w:pPr>
      <w:r>
        <w:rPr>
          <w:lang w:eastAsia="zh-CN"/>
        </w:rPr>
        <w:t>13．28子路问曰：“何如斯可谓之士矣？”子曰：“切切偲偲，怡怡如也，可谓士矣。朋友切切偲偲，兄弟怡怡。</w:t>
      </w:r>
      <w:r>
        <w:t>”</w:t>
      </w:r>
    </w:p>
    <w:p w14:paraId="6FF99ECC" w14:textId="77777777" w:rsidR="004D1A51" w:rsidRDefault="00791D2D">
      <w:pPr>
        <w:pStyle w:val="UserStyle3"/>
      </w:pPr>
      <w:r>
        <w:t>13．29子曰：“善人教民七年，亦可以即戎矣。”</w:t>
      </w:r>
    </w:p>
    <w:p w14:paraId="564DEEB8" w14:textId="77777777" w:rsidR="004D1A51" w:rsidRDefault="00791D2D">
      <w:pPr>
        <w:pStyle w:val="UserStyle3"/>
      </w:pPr>
      <w:r>
        <w:rPr>
          <w:lang w:eastAsia="zh-CN"/>
        </w:rPr>
        <w:t>13．30子曰：“以不教民战，是谓弃之。</w:t>
      </w:r>
      <w:r>
        <w:t>”</w:t>
      </w:r>
    </w:p>
    <w:p w14:paraId="06CBF75E" w14:textId="77777777" w:rsidR="004D1A51" w:rsidRDefault="004D1A51">
      <w:pPr>
        <w:pStyle w:val="UserStyle3"/>
      </w:pPr>
    </w:p>
    <w:p w14:paraId="4904AC22" w14:textId="26DA0212" w:rsidR="004D1A51" w:rsidRPr="001A2998" w:rsidRDefault="004D1A51" w:rsidP="00396A46">
      <w:pPr>
        <w:rPr>
          <w:rFonts w:hint="eastAsia"/>
          <w:lang w:eastAsia="zh-CN"/>
        </w:rPr>
      </w:pPr>
    </w:p>
    <w:sectPr w:rsidR="004D1A51" w:rsidRPr="001A2998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23198" w14:textId="77777777" w:rsidR="005A6E2C" w:rsidRDefault="005A6E2C" w:rsidP="00791D2D">
      <w:pPr>
        <w:spacing w:after="0" w:line="240" w:lineRule="auto"/>
      </w:pPr>
      <w:r>
        <w:separator/>
      </w:r>
    </w:p>
  </w:endnote>
  <w:endnote w:type="continuationSeparator" w:id="0">
    <w:p w14:paraId="7A9337BF" w14:textId="77777777" w:rsidR="005A6E2C" w:rsidRDefault="005A6E2C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1260B" w14:textId="77777777" w:rsidR="005A6E2C" w:rsidRDefault="005A6E2C" w:rsidP="00791D2D">
      <w:pPr>
        <w:spacing w:after="0" w:line="240" w:lineRule="auto"/>
      </w:pPr>
      <w:r>
        <w:separator/>
      </w:r>
    </w:p>
  </w:footnote>
  <w:footnote w:type="continuationSeparator" w:id="0">
    <w:p w14:paraId="172B5BE6" w14:textId="77777777" w:rsidR="005A6E2C" w:rsidRDefault="005A6E2C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A2998"/>
    <w:rsid w:val="001E71D4"/>
    <w:rsid w:val="002637AD"/>
    <w:rsid w:val="0029639D"/>
    <w:rsid w:val="00326F90"/>
    <w:rsid w:val="00396A46"/>
    <w:rsid w:val="004D1A51"/>
    <w:rsid w:val="005A6E2C"/>
    <w:rsid w:val="00791D2D"/>
    <w:rsid w:val="00AA1D8D"/>
    <w:rsid w:val="00B47730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2025-08-24T05:17:00Z</dcterms:modified>
  <cp:category/>
</cp:coreProperties>
</file>