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B353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4．1子曰：“里仁为美。择不处仁，焉得知？”</w:t>
      </w:r>
    </w:p>
    <w:p w14:paraId="3EB6363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4．2子曰：“不仁者不可以久处约，不可以长处乐。仁者安仁，知者利仁。”</w:t>
      </w:r>
    </w:p>
    <w:p w14:paraId="6F4B63C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4．3子曰：“唯仁者能好人，能恶人。”</w:t>
      </w:r>
    </w:p>
    <w:p w14:paraId="3A409EAB" w14:textId="77777777" w:rsidR="004D1A51" w:rsidRDefault="00791D2D">
      <w:pPr>
        <w:pStyle w:val="UserStyle3"/>
      </w:pPr>
      <w:r>
        <w:rPr>
          <w:lang w:eastAsia="zh-CN"/>
        </w:rPr>
        <w:t>4．4子曰：“苟志于仁矣，无恶也。</w:t>
      </w:r>
      <w:r>
        <w:t>”</w:t>
      </w:r>
    </w:p>
    <w:p w14:paraId="5C13CEE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4．5子曰：“富与贵，是人之所欲也；不以其道得之，不处也。贫与贱，是人之所恶也；不以其道得之，不去也。君子去仁，恶乎成名？君子无终食之间违仁，造次必于是，颠沛必于是。”</w:t>
      </w:r>
    </w:p>
    <w:p w14:paraId="7EF44F86" w14:textId="77777777" w:rsidR="004D1A51" w:rsidRDefault="00791D2D">
      <w:pPr>
        <w:pStyle w:val="UserStyle3"/>
      </w:pPr>
      <w:r>
        <w:rPr>
          <w:lang w:eastAsia="zh-CN"/>
        </w:rPr>
        <w:t>4．6子曰：“我未见好仁者、恶不仁者。好仁者，无以尚之；恶不仁者，其为仁矣，不使不仁者加乎其身。有能一日用其力于仁矣乎？我未见力不足者。</w:t>
      </w:r>
      <w:r>
        <w:t>盖有之矣，我未之见也。”</w:t>
      </w:r>
    </w:p>
    <w:p w14:paraId="7D9BB3F3" w14:textId="77777777" w:rsidR="004D1A51" w:rsidRDefault="00791D2D">
      <w:pPr>
        <w:pStyle w:val="UserStyle3"/>
      </w:pPr>
      <w:r>
        <w:rPr>
          <w:lang w:eastAsia="zh-CN"/>
        </w:rPr>
        <w:t>4．7子曰：“人之过也，各于其党。观过，斯知（仁）〔人〕矣。</w:t>
      </w:r>
      <w:r>
        <w:t>”</w:t>
      </w:r>
    </w:p>
    <w:p w14:paraId="59535D3F" w14:textId="77777777" w:rsidR="004D1A51" w:rsidRDefault="00791D2D">
      <w:pPr>
        <w:pStyle w:val="UserStyle3"/>
      </w:pPr>
      <w:r>
        <w:rPr>
          <w:lang w:eastAsia="zh-CN"/>
        </w:rPr>
        <w:t>4．8子曰：“朝闻道，夕死可矣。</w:t>
      </w:r>
      <w:r>
        <w:t>”</w:t>
      </w:r>
    </w:p>
    <w:p w14:paraId="6E2D3059" w14:textId="77777777" w:rsidR="004D1A51" w:rsidRDefault="00791D2D">
      <w:pPr>
        <w:pStyle w:val="UserStyle3"/>
      </w:pPr>
      <w:r>
        <w:rPr>
          <w:lang w:eastAsia="zh-CN"/>
        </w:rPr>
        <w:t>4．9子曰：“士志于道，而耻恶衣恶食者，未足与议也。</w:t>
      </w:r>
      <w:r>
        <w:t>”</w:t>
      </w:r>
    </w:p>
    <w:p w14:paraId="56A4A6D7" w14:textId="77777777" w:rsidR="004D1A51" w:rsidRDefault="00791D2D">
      <w:pPr>
        <w:pStyle w:val="UserStyle3"/>
      </w:pPr>
      <w:r>
        <w:rPr>
          <w:lang w:eastAsia="zh-CN"/>
        </w:rPr>
        <w:t>4．10子曰：“君子之于天下也，无适也，无莫也，义之与比。</w:t>
      </w:r>
      <w:r>
        <w:t>”</w:t>
      </w:r>
    </w:p>
    <w:p w14:paraId="05A15E26" w14:textId="77777777" w:rsidR="004D1A51" w:rsidRDefault="00791D2D">
      <w:pPr>
        <w:pStyle w:val="UserStyle3"/>
      </w:pPr>
      <w:r>
        <w:t>4．11子曰：“君子怀德，小人怀土；君子怀刑，小人怀惠。”</w:t>
      </w:r>
    </w:p>
    <w:p w14:paraId="1AA59BB1" w14:textId="77777777" w:rsidR="004D1A51" w:rsidRDefault="00791D2D">
      <w:pPr>
        <w:pStyle w:val="UserStyle3"/>
      </w:pPr>
      <w:r>
        <w:t>4．12子曰：“放于利而行，多怨。”</w:t>
      </w:r>
    </w:p>
    <w:p w14:paraId="5E529E8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4．13子曰：“能以礼让为国，〔于从政〕乎何有？不能以礼让为国，如礼何？”</w:t>
      </w:r>
    </w:p>
    <w:p w14:paraId="2297A676" w14:textId="77777777" w:rsidR="004D1A51" w:rsidRDefault="00791D2D">
      <w:pPr>
        <w:pStyle w:val="UserStyle3"/>
      </w:pPr>
      <w:r>
        <w:rPr>
          <w:lang w:eastAsia="zh-CN"/>
        </w:rPr>
        <w:t>4．14子曰：“不患无位，患所以立。不患莫己知，求为可知也。</w:t>
      </w:r>
      <w:r>
        <w:t>”</w:t>
      </w:r>
    </w:p>
    <w:p w14:paraId="2ED9D06A" w14:textId="77777777" w:rsidR="004D1A51" w:rsidRDefault="00791D2D">
      <w:pPr>
        <w:pStyle w:val="UserStyle3"/>
      </w:pPr>
      <w:r>
        <w:rPr>
          <w:lang w:eastAsia="zh-CN"/>
        </w:rPr>
        <w:t>4．15子曰：“参乎！吾道一以贯之。</w:t>
      </w:r>
      <w:r>
        <w:t>”曾子曰：“唯。”</w:t>
      </w:r>
    </w:p>
    <w:p w14:paraId="751D3A49" w14:textId="77777777" w:rsidR="004D1A51" w:rsidRDefault="00791D2D">
      <w:pPr>
        <w:pStyle w:val="UserStyle3"/>
      </w:pPr>
      <w:r>
        <w:rPr>
          <w:lang w:eastAsia="zh-CN"/>
        </w:rPr>
        <w:t>子出，门人问曰：“何谓也？”曾子曰：“夫子之道，忠恕而已矣。</w:t>
      </w:r>
      <w:r>
        <w:t>”</w:t>
      </w:r>
    </w:p>
    <w:p w14:paraId="7D52032B" w14:textId="77777777" w:rsidR="004D1A51" w:rsidRDefault="00791D2D">
      <w:pPr>
        <w:pStyle w:val="UserStyle3"/>
      </w:pPr>
      <w:r>
        <w:rPr>
          <w:lang w:eastAsia="zh-CN"/>
        </w:rPr>
        <w:t>4．16子曰：“君子喻于义，小人喻于利。</w:t>
      </w:r>
      <w:r>
        <w:t>”</w:t>
      </w:r>
    </w:p>
    <w:p w14:paraId="4E50842D" w14:textId="77777777" w:rsidR="004D1A51" w:rsidRDefault="00791D2D">
      <w:pPr>
        <w:pStyle w:val="UserStyle3"/>
      </w:pPr>
      <w:r>
        <w:rPr>
          <w:lang w:eastAsia="zh-CN"/>
        </w:rPr>
        <w:t>4．17子曰：“见贤思齐焉，见不贤而内自省也。</w:t>
      </w:r>
      <w:r>
        <w:t>”</w:t>
      </w:r>
    </w:p>
    <w:p w14:paraId="01EBA06C" w14:textId="77777777" w:rsidR="004D1A51" w:rsidRDefault="00791D2D">
      <w:pPr>
        <w:pStyle w:val="UserStyle3"/>
      </w:pPr>
      <w:r>
        <w:rPr>
          <w:lang w:eastAsia="zh-CN"/>
        </w:rPr>
        <w:t>4．18子曰：“事父母几谏，见志不从，又敬不违，劳而不怨。</w:t>
      </w:r>
      <w:r>
        <w:t>”</w:t>
      </w:r>
    </w:p>
    <w:p w14:paraId="4775FC31" w14:textId="77777777" w:rsidR="004D1A51" w:rsidRDefault="00791D2D">
      <w:pPr>
        <w:pStyle w:val="UserStyle3"/>
      </w:pPr>
      <w:r>
        <w:rPr>
          <w:lang w:eastAsia="zh-CN"/>
        </w:rPr>
        <w:t>4．19子曰：“父母在，不远游，游必有方。</w:t>
      </w:r>
      <w:r>
        <w:t>”</w:t>
      </w:r>
    </w:p>
    <w:p w14:paraId="1458BD0C" w14:textId="77777777" w:rsidR="004D1A51" w:rsidRDefault="00791D2D">
      <w:pPr>
        <w:pStyle w:val="UserStyle3"/>
      </w:pPr>
      <w:r>
        <w:rPr>
          <w:lang w:eastAsia="zh-CN"/>
        </w:rPr>
        <w:t>4．20子曰：“三年无改于父之道，可谓孝矣。</w:t>
      </w:r>
      <w:r>
        <w:t>”</w:t>
      </w:r>
    </w:p>
    <w:p w14:paraId="2B59264A" w14:textId="77777777" w:rsidR="004D1A51" w:rsidRDefault="00791D2D">
      <w:pPr>
        <w:pStyle w:val="UserStyle3"/>
        <w:rPr>
          <w:lang w:eastAsia="zh-CN"/>
        </w:rPr>
      </w:pPr>
      <w:r>
        <w:t>4．21子曰：“父母之年，不可不知也。</w:t>
      </w:r>
      <w:r>
        <w:rPr>
          <w:lang w:eastAsia="zh-CN"/>
        </w:rPr>
        <w:t>一则以喜，一则以惧。”</w:t>
      </w:r>
    </w:p>
    <w:p w14:paraId="161EAFD0" w14:textId="77777777" w:rsidR="004D1A51" w:rsidRDefault="00791D2D">
      <w:pPr>
        <w:pStyle w:val="UserStyle3"/>
      </w:pPr>
      <w:r>
        <w:rPr>
          <w:lang w:eastAsia="zh-CN"/>
        </w:rPr>
        <w:t>4．22子曰：“古者言之不出，耻躬之不逮也。</w:t>
      </w:r>
      <w:r>
        <w:t>”</w:t>
      </w:r>
    </w:p>
    <w:p w14:paraId="324B8A9E" w14:textId="77777777" w:rsidR="004D1A51" w:rsidRDefault="00791D2D">
      <w:pPr>
        <w:pStyle w:val="UserStyle3"/>
      </w:pPr>
      <w:r>
        <w:rPr>
          <w:lang w:eastAsia="zh-CN"/>
        </w:rPr>
        <w:t>4．23子曰：“以约失之者鲜矣。</w:t>
      </w:r>
      <w:r>
        <w:t>”</w:t>
      </w:r>
    </w:p>
    <w:p w14:paraId="171190E3" w14:textId="77777777" w:rsidR="004D1A51" w:rsidRDefault="00791D2D">
      <w:pPr>
        <w:pStyle w:val="UserStyle3"/>
      </w:pPr>
      <w:r>
        <w:rPr>
          <w:lang w:eastAsia="zh-CN"/>
        </w:rPr>
        <w:t>4．24子曰：“君子欲讷于言而敏于行。</w:t>
      </w:r>
      <w:r>
        <w:t>”</w:t>
      </w:r>
    </w:p>
    <w:p w14:paraId="17F024DE" w14:textId="77777777" w:rsidR="004D1A51" w:rsidRDefault="00791D2D">
      <w:pPr>
        <w:pStyle w:val="UserStyle3"/>
      </w:pPr>
      <w:r>
        <w:rPr>
          <w:lang w:eastAsia="zh-CN"/>
        </w:rPr>
        <w:t>4．25子曰：“德不孤，必有邻。</w:t>
      </w:r>
      <w:r>
        <w:t>”</w:t>
      </w:r>
    </w:p>
    <w:p w14:paraId="72C3084D" w14:textId="77777777" w:rsidR="004D1A51" w:rsidRDefault="00791D2D">
      <w:pPr>
        <w:pStyle w:val="UserStyle3"/>
      </w:pPr>
      <w:r>
        <w:rPr>
          <w:lang w:eastAsia="zh-CN"/>
        </w:rPr>
        <w:t>4．26子游曰：“事君数，斯辱矣；朋友数，斯疏矣。</w:t>
      </w:r>
      <w:r>
        <w:t>”</w:t>
      </w:r>
    </w:p>
    <w:p w14:paraId="3F225FE5" w14:textId="77777777" w:rsidR="004D1A51" w:rsidRDefault="004D1A51">
      <w:pPr>
        <w:pStyle w:val="UserStyle3"/>
      </w:pPr>
    </w:p>
    <w:p w14:paraId="4904AC22" w14:textId="46D05444" w:rsidR="004D1A51" w:rsidRPr="00E6395C" w:rsidRDefault="004D1A51" w:rsidP="00396A46">
      <w:pPr>
        <w:rPr>
          <w:rFonts w:hint="eastAsia"/>
          <w:lang w:eastAsia="zh-CN"/>
        </w:rPr>
      </w:pPr>
    </w:p>
    <w:sectPr w:rsidR="004D1A51" w:rsidRPr="00E6395C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A97AA" w14:textId="77777777" w:rsidR="004550B0" w:rsidRDefault="004550B0" w:rsidP="00791D2D">
      <w:pPr>
        <w:spacing w:after="0" w:line="240" w:lineRule="auto"/>
      </w:pPr>
      <w:r>
        <w:separator/>
      </w:r>
    </w:p>
  </w:endnote>
  <w:endnote w:type="continuationSeparator" w:id="0">
    <w:p w14:paraId="7B131A09" w14:textId="77777777" w:rsidR="004550B0" w:rsidRDefault="004550B0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A13BF" w14:textId="77777777" w:rsidR="004550B0" w:rsidRDefault="004550B0" w:rsidP="00791D2D">
      <w:pPr>
        <w:spacing w:after="0" w:line="240" w:lineRule="auto"/>
      </w:pPr>
      <w:r>
        <w:separator/>
      </w:r>
    </w:p>
  </w:footnote>
  <w:footnote w:type="continuationSeparator" w:id="0">
    <w:p w14:paraId="513485F9" w14:textId="77777777" w:rsidR="004550B0" w:rsidRDefault="004550B0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96A46"/>
    <w:rsid w:val="004550B0"/>
    <w:rsid w:val="004D1A51"/>
    <w:rsid w:val="00791D2D"/>
    <w:rsid w:val="00AA1D8D"/>
    <w:rsid w:val="00B47730"/>
    <w:rsid w:val="00C710F5"/>
    <w:rsid w:val="00CB0664"/>
    <w:rsid w:val="00E6395C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2025-08-24T05:11:00Z</dcterms:modified>
  <cp:category/>
</cp:coreProperties>
</file>