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8F436" w14:textId="77777777" w:rsidR="004D1A51" w:rsidRDefault="00791D2D">
      <w:pPr>
        <w:pStyle w:val="UserStyle3"/>
        <w:rPr>
          <w:lang w:eastAsia="zh-CN"/>
        </w:rPr>
      </w:pPr>
      <w:r>
        <w:t>6．1子曰：“雍也可使南面。</w:t>
      </w:r>
      <w:r>
        <w:rPr>
          <w:lang w:eastAsia="zh-CN"/>
        </w:rPr>
        <w:t>”</w:t>
      </w:r>
    </w:p>
    <w:p w14:paraId="365DC257" w14:textId="77777777" w:rsidR="004D1A51" w:rsidRDefault="00791D2D">
      <w:pPr>
        <w:pStyle w:val="UserStyle3"/>
      </w:pPr>
      <w:r>
        <w:rPr>
          <w:lang w:eastAsia="zh-CN"/>
        </w:rPr>
        <w:t>6．2仲弓问子桑伯子。子曰：“可也简。</w:t>
      </w:r>
      <w:r>
        <w:t>”</w:t>
      </w:r>
    </w:p>
    <w:p w14:paraId="45F54DDC" w14:textId="77777777" w:rsidR="004D1A51" w:rsidRDefault="00791D2D">
      <w:pPr>
        <w:pStyle w:val="UserStyle3"/>
      </w:pPr>
      <w:r>
        <w:rPr>
          <w:lang w:eastAsia="zh-CN"/>
        </w:rPr>
        <w:t>仲弓曰：“居敬而行简，以临其民，不亦可乎？居简而行简，无乃大简乎？”子曰：“雍之言然。</w:t>
      </w:r>
      <w:r>
        <w:t>”</w:t>
      </w:r>
    </w:p>
    <w:p w14:paraId="6EB8CAFC" w14:textId="77777777" w:rsidR="004D1A51" w:rsidRDefault="00791D2D">
      <w:pPr>
        <w:pStyle w:val="UserStyle3"/>
      </w:pPr>
      <w:r>
        <w:rPr>
          <w:lang w:eastAsia="zh-CN"/>
        </w:rPr>
        <w:t>6．3哀公问：“弟子孰为好学？”孔子对曰：“有颜回者好学，不迁怒，不贰过。不幸短命死矣，今也则亡，未闻好学者也。</w:t>
      </w:r>
      <w:r>
        <w:t>”</w:t>
      </w:r>
    </w:p>
    <w:p w14:paraId="42500C2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6．4子华使于齐，冉子为其母请粟。子曰：“与之釜。”</w:t>
      </w:r>
    </w:p>
    <w:p w14:paraId="13EDF4BB" w14:textId="77777777" w:rsidR="004D1A51" w:rsidRDefault="00791D2D">
      <w:pPr>
        <w:pStyle w:val="UserStyle3"/>
      </w:pPr>
      <w:r>
        <w:rPr>
          <w:lang w:eastAsia="zh-CN"/>
        </w:rPr>
        <w:t>请益。曰：“与之庾。</w:t>
      </w:r>
      <w:r>
        <w:t>”</w:t>
      </w:r>
    </w:p>
    <w:p w14:paraId="2AD259E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冉子与之粟五秉。</w:t>
      </w:r>
    </w:p>
    <w:p w14:paraId="62CF3CE5" w14:textId="77777777" w:rsidR="004D1A51" w:rsidRDefault="00791D2D">
      <w:pPr>
        <w:pStyle w:val="UserStyle3"/>
      </w:pPr>
      <w:r>
        <w:rPr>
          <w:lang w:eastAsia="zh-CN"/>
        </w:rPr>
        <w:t>子曰：“赤之适齐也，乘肥马，衣轻裘。吾闻之也：君子周急不继富。</w:t>
      </w:r>
      <w:r>
        <w:t>”</w:t>
      </w:r>
    </w:p>
    <w:p w14:paraId="435FF87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6．5原思为之宰，与之粟九百，辞。子曰：“毋以与尔邻里乡党乎？”</w:t>
      </w:r>
    </w:p>
    <w:p w14:paraId="53CB5D1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6．6子谓仲弓曰：“犂牛之子骍且角，虽欲勿用，山川其舍诸？”</w:t>
      </w:r>
    </w:p>
    <w:p w14:paraId="3BC04614" w14:textId="77777777" w:rsidR="004D1A51" w:rsidRDefault="00791D2D">
      <w:pPr>
        <w:pStyle w:val="UserStyle3"/>
      </w:pPr>
      <w:r>
        <w:rPr>
          <w:lang w:eastAsia="zh-CN"/>
        </w:rPr>
        <w:t>6．7子曰：“回也，其心三月不违仁，其馀则日月至焉而已矣。</w:t>
      </w:r>
      <w:r>
        <w:t>”</w:t>
      </w:r>
    </w:p>
    <w:p w14:paraId="5A4D429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6．8季康子问：“仲由可使从政也与？”子曰：“由也果，于从政乎何有？”</w:t>
      </w:r>
    </w:p>
    <w:p w14:paraId="6101303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曰：“赐也可使从政也与？”曰：“赐也达，于从政乎何有？”</w:t>
      </w:r>
    </w:p>
    <w:p w14:paraId="05A47EA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曰：“求也可使从政也与？”曰：“求也艺，于从政乎何有？”</w:t>
      </w:r>
    </w:p>
    <w:p w14:paraId="129AEAF7" w14:textId="77777777" w:rsidR="004D1A51" w:rsidRDefault="00791D2D">
      <w:pPr>
        <w:pStyle w:val="UserStyle3"/>
      </w:pPr>
      <w:r>
        <w:rPr>
          <w:lang w:eastAsia="zh-CN"/>
        </w:rPr>
        <w:t>6．9季氏使闵子骞为费宰。闵子骞曰：“善为我辞焉！如有复我者，则吾必在汶上矣。</w:t>
      </w:r>
      <w:r>
        <w:t>”</w:t>
      </w:r>
    </w:p>
    <w:p w14:paraId="5C34BE9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6．10伯牛有疾，子问之，自牖执其手，曰：“亡之，命矣夫！斯人也而有斯疾也！斯人也而有斯疾也！”</w:t>
      </w:r>
    </w:p>
    <w:p w14:paraId="6E80EE9D" w14:textId="77777777" w:rsidR="004D1A51" w:rsidRDefault="00791D2D">
      <w:pPr>
        <w:pStyle w:val="UserStyle3"/>
      </w:pPr>
      <w:r>
        <w:rPr>
          <w:lang w:eastAsia="zh-CN"/>
        </w:rPr>
        <w:t>6．11子曰：“贤哉回也！一箪食，一瓢饮，在陋巷，人不堪其忧，回也不改其乐。</w:t>
      </w:r>
      <w:r>
        <w:t>贤哉回也！”</w:t>
      </w:r>
    </w:p>
    <w:p w14:paraId="634EE09D" w14:textId="77777777" w:rsidR="004D1A51" w:rsidRDefault="00791D2D">
      <w:pPr>
        <w:pStyle w:val="UserStyle3"/>
      </w:pPr>
      <w:r>
        <w:rPr>
          <w:lang w:eastAsia="zh-CN"/>
        </w:rPr>
        <w:t>6．12冉求曰：“非不说子之道，力不足也。”子曰：“力不足者，中道而废。</w:t>
      </w:r>
      <w:r>
        <w:t>今女画。”</w:t>
      </w:r>
    </w:p>
    <w:p w14:paraId="640BD04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6．13子谓子夏曰：“女为君子儒！无为小人儒！”</w:t>
      </w:r>
    </w:p>
    <w:p w14:paraId="34434868" w14:textId="77777777" w:rsidR="004D1A51" w:rsidRDefault="00791D2D">
      <w:pPr>
        <w:pStyle w:val="UserStyle3"/>
      </w:pPr>
      <w:r>
        <w:rPr>
          <w:lang w:eastAsia="zh-CN"/>
        </w:rPr>
        <w:t>6．14子游为武城宰。子曰：“女得人焉耳乎？”曰：“有澹台灭明者，行不由径，非公事，未尝至于偃之室也。</w:t>
      </w:r>
      <w:r>
        <w:t>”</w:t>
      </w:r>
    </w:p>
    <w:p w14:paraId="143D923A" w14:textId="77777777" w:rsidR="004D1A51" w:rsidRDefault="00791D2D">
      <w:pPr>
        <w:pStyle w:val="UserStyle3"/>
      </w:pPr>
      <w:r>
        <w:rPr>
          <w:lang w:eastAsia="zh-CN"/>
        </w:rPr>
        <w:t>6．15子曰：“孟之反不伐，奔而殿，将入门，策其马，曰：‘非敢后也，马不进也。</w:t>
      </w:r>
      <w:r>
        <w:t>’”</w:t>
      </w:r>
    </w:p>
    <w:p w14:paraId="191F89BF" w14:textId="77777777" w:rsidR="004D1A51" w:rsidRDefault="00791D2D">
      <w:pPr>
        <w:pStyle w:val="UserStyle3"/>
      </w:pPr>
      <w:r>
        <w:rPr>
          <w:lang w:eastAsia="zh-CN"/>
        </w:rPr>
        <w:t>6．16子曰：“不有祝鮀之佞，而有宋朝之美，难乎免于今之世矣。</w:t>
      </w:r>
      <w:r>
        <w:t>”</w:t>
      </w:r>
    </w:p>
    <w:p w14:paraId="69F4339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6．17子曰：“谁能出不由户？何莫由斯道也？”</w:t>
      </w:r>
    </w:p>
    <w:p w14:paraId="586BDB1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6．18子曰：“质胜文则野，文胜质则史。文质彬彬，然后君子。”</w:t>
      </w:r>
    </w:p>
    <w:p w14:paraId="3CC17DF0" w14:textId="77777777" w:rsidR="004D1A51" w:rsidRDefault="00791D2D">
      <w:pPr>
        <w:pStyle w:val="UserStyle3"/>
      </w:pPr>
      <w:r>
        <w:t>6．19子曰：“人之生也直，罔之生也幸而免。”</w:t>
      </w:r>
    </w:p>
    <w:p w14:paraId="660945F0" w14:textId="77777777" w:rsidR="004D1A51" w:rsidRDefault="00791D2D">
      <w:pPr>
        <w:pStyle w:val="UserStyle3"/>
      </w:pPr>
      <w:r>
        <w:rPr>
          <w:lang w:eastAsia="zh-CN"/>
        </w:rPr>
        <w:t>6．20子曰：“知之者不如好之者，好之者不如乐之者。</w:t>
      </w:r>
      <w:r>
        <w:t>”</w:t>
      </w:r>
    </w:p>
    <w:p w14:paraId="0CCCFBA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6．21子曰：“中人以上，可以语上也；中人以下，不可以语上也。”</w:t>
      </w:r>
    </w:p>
    <w:p w14:paraId="2EDF0BF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6．22樊迟问知。子曰：“务民之义，敬鬼神而远之，可谓知矣。”</w:t>
      </w:r>
    </w:p>
    <w:p w14:paraId="3DDBA5FA" w14:textId="77777777" w:rsidR="004D1A51" w:rsidRDefault="00791D2D">
      <w:pPr>
        <w:pStyle w:val="UserStyle3"/>
      </w:pPr>
      <w:r>
        <w:rPr>
          <w:lang w:eastAsia="zh-CN"/>
        </w:rPr>
        <w:t>问仁。曰：“仁者先难而后获，可谓仁矣。</w:t>
      </w:r>
      <w:r>
        <w:t>”</w:t>
      </w:r>
    </w:p>
    <w:p w14:paraId="2E7B4316" w14:textId="77777777" w:rsidR="004D1A51" w:rsidRDefault="00791D2D">
      <w:pPr>
        <w:pStyle w:val="UserStyle3"/>
      </w:pPr>
      <w:r>
        <w:rPr>
          <w:lang w:eastAsia="zh-CN"/>
        </w:rPr>
        <w:t>6．23子曰：“知者乐水，仁者乐山。知者动，仁者静。知者乐，仁者寿。</w:t>
      </w:r>
      <w:r>
        <w:t>”</w:t>
      </w:r>
    </w:p>
    <w:p w14:paraId="49C95F9C" w14:textId="77777777" w:rsidR="004D1A51" w:rsidRDefault="00791D2D">
      <w:pPr>
        <w:pStyle w:val="UserStyle3"/>
      </w:pPr>
      <w:r>
        <w:rPr>
          <w:lang w:eastAsia="zh-CN"/>
        </w:rPr>
        <w:t>6．24子曰：“齐一变，至于鲁；鲁一变，至于道。</w:t>
      </w:r>
      <w:r>
        <w:t>”</w:t>
      </w:r>
    </w:p>
    <w:p w14:paraId="4D65BB7D" w14:textId="77777777" w:rsidR="004D1A51" w:rsidRDefault="00791D2D">
      <w:pPr>
        <w:pStyle w:val="UserStyle3"/>
      </w:pPr>
      <w:r>
        <w:t>6．25子曰：“觚不觚，觚哉！觚哉！”</w:t>
      </w:r>
    </w:p>
    <w:p w14:paraId="52D67FC1" w14:textId="77777777" w:rsidR="004D1A51" w:rsidRDefault="00791D2D">
      <w:pPr>
        <w:pStyle w:val="UserStyle3"/>
      </w:pPr>
      <w:r>
        <w:rPr>
          <w:lang w:eastAsia="zh-CN"/>
        </w:rPr>
        <w:t>6．26宰我问曰：“仁者，虽告之曰，‘井有仁焉。’其从之也？”子曰：“何为其然也。君子可逝也，不可陷也；可欺也，不可罔也。</w:t>
      </w:r>
      <w:r>
        <w:t>”</w:t>
      </w:r>
    </w:p>
    <w:p w14:paraId="09EFE4A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6．27子曰：“君子博学于文，约之以礼，亦可以弗畔矣夫！”</w:t>
      </w:r>
    </w:p>
    <w:p w14:paraId="5324D1A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6．28子见南子，子路不说。夫子矢之曰：“予所否者，天厌之！天厌之！”</w:t>
      </w:r>
    </w:p>
    <w:p w14:paraId="468D04AF" w14:textId="77777777" w:rsidR="004D1A51" w:rsidRDefault="00791D2D">
      <w:pPr>
        <w:pStyle w:val="UserStyle3"/>
      </w:pPr>
      <w:r>
        <w:rPr>
          <w:lang w:eastAsia="zh-CN"/>
        </w:rPr>
        <w:t>6．29子曰：“中庸之为德也，其至矣乎！民鲜久矣。</w:t>
      </w:r>
      <w:r>
        <w:t>”</w:t>
      </w:r>
    </w:p>
    <w:p w14:paraId="2AF98CC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6．30子贡曰：“如有博施于民而能济众，何如？可谓仁乎？”子曰：“何事于仁！必也圣乎！尧、舜其犹病诸！夫仁者，己欲立而立人，己欲达而达人。能近取譬，可谓仁之方也已。”</w:t>
      </w:r>
    </w:p>
    <w:p w14:paraId="429BB5DE" w14:textId="77777777" w:rsidR="004D1A51" w:rsidRDefault="004D1A51">
      <w:pPr>
        <w:pStyle w:val="UserStyle3"/>
        <w:rPr>
          <w:lang w:eastAsia="zh-CN"/>
        </w:rPr>
      </w:pPr>
    </w:p>
    <w:p w14:paraId="4904AC22" w14:textId="22F69997" w:rsidR="004D1A51" w:rsidRPr="00396A46" w:rsidRDefault="004D1A51" w:rsidP="00396A46">
      <w:pPr>
        <w:rPr>
          <w:color w:val="000000"/>
          <w:sz w:val="21"/>
        </w:rPr>
      </w:pPr>
    </w:p>
    <w:sectPr w:rsidR="004D1A51" w:rsidRPr="00396A46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3127D" w14:textId="77777777" w:rsidR="00F57263" w:rsidRDefault="00F57263" w:rsidP="00791D2D">
      <w:pPr>
        <w:spacing w:after="0" w:line="240" w:lineRule="auto"/>
      </w:pPr>
      <w:r>
        <w:separator/>
      </w:r>
    </w:p>
  </w:endnote>
  <w:endnote w:type="continuationSeparator" w:id="0">
    <w:p w14:paraId="4B7FEF3A" w14:textId="77777777" w:rsidR="00F57263" w:rsidRDefault="00F57263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52CEC" w14:textId="77777777" w:rsidR="00F57263" w:rsidRDefault="00F57263" w:rsidP="00791D2D">
      <w:pPr>
        <w:spacing w:after="0" w:line="240" w:lineRule="auto"/>
      </w:pPr>
      <w:r>
        <w:separator/>
      </w:r>
    </w:p>
  </w:footnote>
  <w:footnote w:type="continuationSeparator" w:id="0">
    <w:p w14:paraId="1F68AEB5" w14:textId="77777777" w:rsidR="00F57263" w:rsidRDefault="00F57263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707014"/>
    <w:rsid w:val="00791D2D"/>
    <w:rsid w:val="00AA1D8D"/>
    <w:rsid w:val="00B47730"/>
    <w:rsid w:val="00C710F5"/>
    <w:rsid w:val="00CB0664"/>
    <w:rsid w:val="00F14135"/>
    <w:rsid w:val="00F57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2025-08-24T05:13:00Z</dcterms:modified>
  <cp:category/>
</cp:coreProperties>
</file>