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Before Pandemic default 4%, Post pandemic 20%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Want predictive model to predict for 1 person, likelihood of default/time before payment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and when to chase for payment, who to apply harsh methods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Challenge: which models to apply: yes/no, percentage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Challenge: need model output to be integrated into Vespucio and bring value, other people need to understand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main documents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876800" cy="1390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Partner ID: unique for each client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FethchaEmsision invoice date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FetchaV due date (usually 16 days or more if holiday)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Fechcompensation: date transaction was paid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Dias compensation: difference btw payment and due date, may pay in advance negative values, 0 on due date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OperationPricipal: collection agency, but we want to focus on costs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info on the collection process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collection process after 600 pesos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CuentaContract: 1 client could have multiple contracts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Products: there are 2, T if they have device, E if they do not (manual pass, will take time for invoice)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HoraCreation: date transaction created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 of compensation: 3 categories: 0 is unpaid, 9 is paid, 8 is unpaid but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cancelled(after long time, run a writeoff)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Partial payment not an option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 associated with collection companies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contracts each client has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vehicles the client has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of operation: device/tool, same as products, if don’t have device, need to invoice later based on number of car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Divide yealy data based on compensation date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also have data of chilean FICO score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