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3.png" ContentType="image/png"/>
  <Override PartName="/word/media/rId69.png" ContentType="image/png"/>
  <Override PartName="/word/media/rId77.png" ContentType="image/png"/>
  <Override PartName="/word/media/rId65.png" ContentType="image/png"/>
  <Override PartName="/word/media/rId81.png" ContentType="image/png"/>
  <Override PartName="/word/media/rId88.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Reappraisal</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2024-04-26</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Should a child or an adolescent receive psychotherapy or medication for their depression, and what information should patients, carers and clinicians use to decide?</w:t>
      </w:r>
    </w:p>
    <w:p>
      <w:pPr>
        <w:pStyle w:val="BodyText"/>
      </w:pPr>
      <w:r>
        <w:t xml:space="preserve">The internationally influential UK National Institute of Health and Care Excellence (NICE) guidelines for adolescent depression recommend that youth are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medication meta-analyses that cast doubt on the efficacy of most antidepressants, with the exception of fluoxetine, for child and adolescent depression</w:t>
      </w:r>
      <w:r>
        <w:t xml:space="preserve"> </w:t>
      </w:r>
      <w:r>
        <w:t xml:space="preserve">(Cipriani et al. 2016)</w:t>
      </w:r>
      <w:r>
        <w:t xml:space="preserve">; and psychotherapy meta-analyses that conclude psychotherapy to be efficacious for child and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medication control (i.e. pill placebo) or psychotherapy controls. Given this confusing evidence base, how should patients, carers, clinicians and policy makers make treatment decisions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test a series of hypotheses using data from existing trials. Two points are crucial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i.e. the requirement that the different sets of randomized trials are similar on average</w:t>
      </w:r>
      <w:r>
        <w:t xml:space="preserve"> </w:t>
      </w:r>
      <w:r>
        <w:t xml:space="preserve">(Chaimani et al. 2023)</w:t>
      </w:r>
      <w:r>
        <w:t xml:space="preserve">) are questionable (we provide a more formal account of this in the Supplement).</w:t>
      </w:r>
    </w:p>
    <w:p>
      <w:pPr>
        <w:pStyle w:val="BodyText"/>
      </w:pPr>
      <w:r>
        <w:t xml:space="preserve">This assumption, that medication and psychotherapy trials sample from the same population,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and medication trials. Moreover, these treatment preferences correlate with clinically-relevant characteristics of the participants, including severity, sex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antidepressant and psychotherapy trials</w:t>
      </w:r>
      <w:r>
        <w:t xml:space="preserve"> </w:t>
      </w:r>
      <w:r>
        <w:t xml:space="preserve">(Del Giovane, Cortese, and Cipriani 2019)</w:t>
      </w:r>
      <w:r>
        <w:t xml:space="preserve">. Perhaps the most obvious way in which this happens is the fact that participants in psychotherapy trials are unblinded in terms of treatment allocation, with the exception perhaps of trials that compare two equally plausible treatment arms</w:t>
      </w:r>
      <w:r>
        <w:t xml:space="preserve"> </w:t>
      </w:r>
      <w:r>
        <w:t xml:space="preserve">(Calvo et al. 2014)</w:t>
      </w:r>
      <w:r>
        <w:t xml:space="preserve">.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pill-placebo has been developed as the standard medication control in order to match as closely as possible the intervention condition, so as to minimise differences in expectancy between conditions. By contrast, psychotherapy control arms vary across waitlist controls, treatment as usual and active controls. These differences in expectation favour the psychotherapy active condition and disadvantage the psychotherapy control (thus potentially magnifying the difference between them). This is because of what has been aptly described as</w:t>
      </w:r>
      <w:r>
        <w:t xml:space="preserve"> </w:t>
      </w:r>
      <w:r>
        <w:t xml:space="preserve">“</w:t>
      </w:r>
      <w:r>
        <w:t xml:space="preserve">disappointment bias</w:t>
      </w:r>
      <w:r>
        <w:t xml:space="preserve">”</w:t>
      </w:r>
      <w:r>
        <w:t xml:space="preserve"> </w:t>
      </w:r>
      <w:r>
        <w:t xml:space="preserve">(the SPIN investigators et al. 2017)</w:t>
      </w:r>
      <w:r>
        <w:t xml:space="preserve">, where participants in the active condition are content for receiving the</w:t>
      </w:r>
      <w:r>
        <w:t xml:space="preserve"> </w:t>
      </w:r>
      <w:r>
        <w:t xml:space="preserve">“</w:t>
      </w:r>
      <w:r>
        <w:t xml:space="preserve">cutting edge treatment</w:t>
      </w:r>
      <w:r>
        <w:t xml:space="preserve">”</w:t>
      </w:r>
      <w:r>
        <w:t xml:space="preserve"> </w:t>
      </w:r>
      <w:r>
        <w:t xml:space="preserve">whilst those in the control are dissatisfied for having missed out on</w:t>
      </w:r>
      <w:r>
        <w:t xml:space="preserve"> </w:t>
      </w:r>
      <w:r>
        <w:t xml:space="preserve">“</w:t>
      </w:r>
      <w:r>
        <w:t xml:space="preserve">proper treatment</w:t>
      </w:r>
      <w:r>
        <w:t xml:space="preserve">”</w:t>
      </w:r>
      <w:r>
        <w:t xml:space="preserve">. Expectancy is substantially associated with treatment outcomes</w:t>
      </w:r>
      <w:r>
        <w:t xml:space="preserve"> </w:t>
      </w:r>
      <w:r>
        <w:t xml:space="preserve">(Constantino et al. 2011)</w:t>
      </w:r>
      <w:r>
        <w:t xml:space="preserve">; i.e., it is an effect modifier. If expectancy effects are different for psychotherapy controls and pill placebo, comparisons between them, including in network metanalysis, become questionable.</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 Dechartres et al. 2011)</w:t>
      </w:r>
      <w:r>
        <w:t xml:space="preserve">. This phenomenon may be due to lower quality of phenotyping in such studies, with higher rates of classification errors, entailing higher rates of spontaneous remission or regression to the mean. It is therefore important to examine whether this basic trial design feature differs between medication and psychotherapy trials.</w:t>
      </w:r>
    </w:p>
    <w:p>
      <w:pPr>
        <w:pStyle w:val="BodyText"/>
      </w:pPr>
      <w:r>
        <w:t xml:space="preserve">An inter-related issue concerns the nature of control interventions being used. Control conditions in trials are meant to generate counterfactual conditions</w:t>
      </w:r>
      <w:r>
        <w:t xml:space="preserve"> </w:t>
      </w:r>
      <w:r>
        <w:t xml:space="preserve">(Guo and Fraser 2014)</w:t>
      </w:r>
      <w:r>
        <w:t xml:space="preserve"> </w:t>
      </w:r>
      <w:r>
        <w:t xml:space="preserve">to the intervention: what would have been the outcome in an individual had they not received the intervention, with all else being equal. A control condition such as pill placebo, where the appearance of the drug is faithfully emulated, is an effort for all else to be equal. The question is whether psychotherapy trials make a similar effort: are for example the number of hours of contact with a human comparable between active and control arms in psychotherapy trials?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randomised controlled trials (RCTs) of psychotherapy and medication for child and adolescent (mean age = 14.05, SE = 0.26) depression in the following ways. First, we compare key baseline characteristics of medication and psychotherapy trials, specifically the extent to which they are comparable in a) baseline severity of depression; b) percentage females vs males; c) mean age; and d) number of sites involved. Second, we determine the standardised mean differences of psychotherapy controls and medication controls using random effects metanalysis. Third, we examine the quality of psychotherapy control conditions by scrutinising the extent to which they are matched to the active intervention in ways such as number and frequency of sessions, and therefore, whether they represent fair pairings from which to draw valid efficacy inferences.</w:t>
      </w:r>
    </w:p>
    <w:bookmarkEnd w:id="21"/>
    <w:bookmarkStart w:id="31" w:name="method"/>
    <w:p>
      <w:pPr>
        <w:pStyle w:val="Heading1"/>
      </w:pPr>
      <w:r>
        <w:t xml:space="preserve">Method</w:t>
      </w:r>
    </w:p>
    <w:p>
      <w:pPr>
        <w:pStyle w:val="FirstParagraph"/>
      </w:pPr>
      <w:r>
        <w:t xml:space="preserve">This study was registered on the Open Science Framework (OSF); the protocol can be found</w:t>
      </w:r>
      <w:r>
        <w:t xml:space="preserve"> </w:t>
      </w:r>
      <w:hyperlink r:id="rId22">
        <w:r>
          <w:rPr>
            <w:rStyle w:val="Hyperlink"/>
          </w:rPr>
          <w:t xml:space="preserve">here</w:t>
        </w:r>
      </w:hyperlink>
      <w:r>
        <w:t xml:space="preserve">.</w:t>
      </w:r>
    </w:p>
    <w:bookmarkStart w:id="23" w:name="studies-included"/>
    <w:p>
      <w:pPr>
        <w:pStyle w:val="Heading2"/>
      </w:pPr>
      <w:r>
        <w:t xml:space="preserve">Studies included</w:t>
      </w:r>
    </w:p>
    <w:p>
      <w:pPr>
        <w:pStyle w:val="FirstParagraph"/>
      </w:pPr>
      <w:r>
        <w:t xml:space="preserve">We primarily drew upon RCTs included in two recent comprehensive meta-analyses with open data available for each medication and psychotherapy, and supplemented them with an updated systematic review, described below and in extensive detail in the supplement.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original meta-analysis. Whilst the online database is regularly updated, we chose to exclude studies published after the final date of Cuijpers et al.’s (2023) literature search.</w:t>
      </w:r>
    </w:p>
    <w:p>
      <w:pPr>
        <w:pStyle w:val="BodyText"/>
      </w:pPr>
      <w:r>
        <w:t xml:space="preserve">Medication studies were drawn from a network meta-analysis examining the efficacy and tolerability of a range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did not include a control arm. We were unable to locate and therefore complete extraction for two papers.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to ensure we analysed an equivalently up-to-date database of medication trials. Please see the Supplementary Materials for further details. Our search produced 538 studies, 88 of which were duplicates and subsequently removed. Two study authors independently completed title and abstract screenings for 450 studies, and full text screening for 38 studies. 7 studies met inclusion criteria and data extraction was completed for these papers.</w:t>
      </w:r>
    </w:p>
    <w:bookmarkEnd w:id="23"/>
    <w:bookmarkStart w:id="30" w:name="statistical-analysis"/>
    <w:p>
      <w:pPr>
        <w:pStyle w:val="Heading2"/>
      </w:pPr>
      <w:r>
        <w:t xml:space="preserve">Statistical Analysis</w:t>
      </w:r>
    </w:p>
    <w:p>
      <w:pPr>
        <w:pStyle w:val="FirstParagraph"/>
      </w:pPr>
      <w:r>
        <w:t xml:space="preserve">Please refer to the Supplementary Materials for a detailed description of our analyses including the formalisms on which they are based.</w:t>
      </w:r>
    </w:p>
    <w:bookmarkStart w:id="24"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and medication trials in sample characteristics including severity of depressive symptoms at baseline, sex and age. Meta-analyses were implemented using R’s Meta package.</w:t>
      </w:r>
    </w:p>
    <w:p>
      <w:pPr>
        <w:pStyle w:val="BodyText"/>
      </w:pPr>
      <w:r>
        <w:t xml:space="preserve">We also conducted a t-test to compare mean number of trial sites between psychotherapy and medication trials.</w:t>
      </w:r>
    </w:p>
    <w:bookmarkEnd w:id="24"/>
    <w:bookmarkStart w:id="27" w:name="trial-efficacy"/>
    <w:p>
      <w:pPr>
        <w:pStyle w:val="Heading3"/>
      </w:pPr>
      <w:r>
        <w:t xml:space="preserve">Trial efficacy</w:t>
      </w:r>
    </w:p>
    <w:bookmarkStart w:id="25" w:name="measures-of-effect"/>
    <w:p>
      <w:pPr>
        <w:pStyle w:val="Heading4"/>
      </w:pPr>
      <w:r>
        <w:t xml:space="preserve">Measures of Effect</w:t>
      </w:r>
    </w:p>
    <w:p>
      <w:pPr>
        <w:pStyle w:val="FirstParagraph"/>
      </w:pPr>
      <w:r>
        <w:t xml:space="preserve">As the measure of effect of each individual study, we used the within-group Standardised Mean Difference (SMD).</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(Higgins, Li, and Deeks 2023)</w:t>
      </w:r>
      <w:r>
        <w:t xml:space="preserve">, as detailed in the Supplementary Materials.</w:t>
      </w:r>
    </w:p>
    <w:p>
      <w:pPr>
        <w:pStyle w:val="BodyText"/>
      </w:pPr>
      <w:r>
        <w:t xml:space="preserve">For the purposes of metanalysis, it is necessary to estimate a standard error of the SMD. This requires a correlation between the pre- and post-measures, a statistic typically not reported. To ensure that our results are not biased by misestimation we simulated n = 1000 datasets for different values (0.45 to 0.9) of this correlation and used these datasets in the subsequent analyses (please refer to Supplement for full details).</w:t>
      </w:r>
    </w:p>
    <w:bookmarkEnd w:id="25"/>
    <w:bookmarkStart w:id="26" w:name="random-effects-metaregression"/>
    <w:p>
      <w:pPr>
        <w:pStyle w:val="Heading4"/>
      </w:pPr>
      <w:r>
        <w:t xml:space="preserve">Random Effects Metaregression</w:t>
      </w:r>
    </w:p>
    <w:p>
      <w:pPr>
        <w:pStyle w:val="FirstParagraph"/>
      </w:pPr>
      <w:r>
        <w:t xml:space="preserve">We estimated the pooled standardised mean difference for each arm by using a random effects metanalysis implemented in R’s metafor package.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26"/>
    <w:bookmarkEnd w:id="27"/>
    <w:bookmarkStart w:id="28" w:name="sensitivity-analyses"/>
    <w:p>
      <w:pPr>
        <w:pStyle w:val="Heading3"/>
      </w:pPr>
      <w:r>
        <w:t xml:space="preserve">Sensitivity Analyses</w:t>
      </w:r>
    </w:p>
    <w:p>
      <w:pPr>
        <w:pStyle w:val="FirstParagraph"/>
      </w:pPr>
      <w:r>
        <w:t xml:space="preserve">We then conducted a series of sensitivity analyses of our results. For each of the metanalyses we excluded 1) studies that used waitlist as their control condition and 2) studies which recruited participants with subclinical levels of depression.</w:t>
      </w:r>
    </w:p>
    <w:p>
      <w:pPr>
        <w:pStyle w:val="BodyText"/>
      </w:pPr>
      <w:r>
        <w:t xml:space="preserve">Next, we compared the control and active arms of studies where either the CDRS or the HAM-D where used as outcome instruments.</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28"/>
    <w:bookmarkStart w:id="29" w:name="X410151af923173774adc775fc90626d1d67fb9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nature and intensity of the interventions. We extracted data pertaining to the number, duration and intensity of sessions, and the total cumulative hours and duration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9"/>
    <w:bookmarkEnd w:id="30"/>
    <w:bookmarkEnd w:id="31"/>
    <w:bookmarkStart w:id="53" w:name="results"/>
    <w:p>
      <w:pPr>
        <w:pStyle w:val="Heading1"/>
      </w:pPr>
      <w:r>
        <w:t xml:space="preserve">Results</w:t>
      </w:r>
    </w:p>
    <w:bookmarkStart w:id="33"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2">
        <w:r>
          <w:rPr>
            <w:rStyle w:val="Hyperlink"/>
          </w:rPr>
          <w:t xml:space="preserve">https://github.com/transatlantic-comppsych/apples_oranges</w:t>
        </w:r>
      </w:hyperlink>
      <w:r>
        <w:t xml:space="preserve">].</w:t>
      </w:r>
    </w:p>
    <w:p>
      <w:pPr>
        <w:pStyle w:val="BodyText"/>
      </w:pPr>
      <w:r>
        <w:t xml:space="preserve">In total, there were 88 RCTs which included 44 active arms and 32 control arms of medication trials; and 55 active arms and 52 control arms from psychotherapy RCTs. Note that the number of active and control arms does not exactly match because some studies feature more than one control or active arm. For the meta-regression examining trial efficacy,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pill was the control condition for all medication trials. In psychotherapy trials, the control arm included 14 WL controls, 25 care as usual and several other conditions such as 4 attention control conditions. All included trials and the types of treatment controls can be found in Table X in the Supplementary Materials.</w:t>
      </w:r>
    </w:p>
    <w:bookmarkEnd w:id="33"/>
    <w:bookmarkStart w:id="38" w:name="Xedf6060810712fb73fe9d57adba32ee41dd2165"/>
    <w:p>
      <w:pPr>
        <w:pStyle w:val="Heading2"/>
      </w:pPr>
      <w:r>
        <w:t xml:space="preserve">Sample characteristics at baseline in medication and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for medication and psychotherapy RCTs) and the p-value derives from the test for subgroup differences.</w:t>
      </w:r>
    </w:p>
    <w:p>
      <w:pPr>
        <w:pStyle w:val="SourceCode"/>
      </w:pPr>
      <w:r>
        <w:rPr>
          <w:rStyle w:val="VerbatimChar"/>
        </w:rPr>
        <w:t xml:space="preserve">[1] 0.255055</w:t>
      </w:r>
    </w:p>
    <w:tbl>
      <w:tblPr>
        <w:tblStyle w:val="Table"/>
        <w:tblW w:type="pct" w:w="5000"/>
        <w:tblLook w:firstRow="0" w:lastRow="0" w:firstColumn="0" w:lastColumn="0" w:noHBand="0" w:noVBand="0" w:val="0000"/>
        <w:jc w:val="start"/>
        <w:tblLayout w:type="fixed"/>
      </w:tblPr>
      <w:tblGrid>
        <w:gridCol w:w="7920"/>
      </w:tblGrid>
      <w:tr>
        <w:tc>
          <w:tcPr/>
          <w:bookmarkStart w:id="34" w:name="tbl-baseline_results"/>
          <w:p>
            <w:pPr>
              <w:jc w:val="center"/>
            </w:pPr>
            <w:pPr>
              <w:jc w:val="start"/>
              <w:spacing w:before="200"/>
              <w:pStyle w:val="ImageCaption"/>
            </w:pPr>
            <w:r>
              <w:t xml:space="preserve">Table 1: Sample characteristics at baseline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78"/>
              <w:gridCol w:w="634"/>
              <w:gridCol w:w="940"/>
              <w:gridCol w:w="801"/>
              <w:gridCol w:w="1200"/>
              <w:gridCol w:w="1204"/>
              <w:gridCol w:w="1024"/>
              <w:gridCol w:w="1092"/>
            </w:tblGrid>
            <w:tr>
              <w:trPr>
                <w:trHeight w:val="599"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99"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w:t>
                  </w:r>
                </w:p>
              </w:tc>
            </w:tr>
            <w:tr>
              <w:trPr>
                <w:trHeight w:val="563"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599"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599"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599"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3"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63"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599"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599"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599"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0"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63"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599"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599"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599"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34"/>
        </w:tc>
      </w:tr>
    </w:tbl>
    <w:bookmarkStart w:id="35"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w:t>
      </w:r>
      <w:r>
        <w:t xml:space="preserve"> </w:t>
      </w:r>
      <w:hyperlink w:anchor="tbl-baseline_results">
        <w:r>
          <w:rPr>
            <w:rStyle w:val="Hyperlink"/>
          </w:rPr>
          <w:t xml:space="preserve">Table 1</w:t>
        </w:r>
      </w:hyperlink>
      <w:r>
        <w:t xml:space="preserve"> </w:t>
      </w:r>
      <w:r>
        <w:t xml:space="preserve">are baseline depression scores transformed to reflect percentage of a scale range. To take an example, the CDRS gives a possible total score from 17 to 113 (i.e. range of 96). From</w:t>
      </w:r>
      <w:r>
        <w:t xml:space="preserve"> </w:t>
      </w:r>
      <w:hyperlink w:anchor="tbl-baseline_results">
        <w:r>
          <w:rPr>
            <w:rStyle w:val="Hyperlink"/>
          </w:rPr>
          <w:t xml:space="preserve">Table 1</w:t>
        </w:r>
      </w:hyperlink>
      <w:r>
        <w:t xml:space="preserve">, mean severity was 0.36 for psychotherapy studies and 0.42 for medication studies, which would translate to 51.56 (17 + 0.36 x 96) and 57.32 (17 + 0.42 x 96), respectively, as equivalent scores on the CDRS.</w:t>
      </w:r>
    </w:p>
    <w:p>
      <w:pPr>
        <w:pStyle w:val="BodyText"/>
      </w:pPr>
      <w:r>
        <w:t xml:space="preserve">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bookmarkEnd w:id="35"/>
    <w:bookmarkStart w:id="36" w:name="sex"/>
    <w:p>
      <w:pPr>
        <w:pStyle w:val="Heading3"/>
      </w:pPr>
      <w:r>
        <w:t xml:space="preserve">Sex</w:t>
      </w:r>
    </w:p>
    <w:p>
      <w:pPr>
        <w:pStyle w:val="FirstParagraph"/>
      </w:pPr>
      <w:r>
        <w:t xml:space="preserve">For this analysis, we excluded the two psychotherapy trials which included entirely female samples.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60.9% (</w:t>
      </w:r>
      <w:r>
        <w:rPr>
          <w:iCs/>
          <w:i/>
        </w:rPr>
        <w:t xml:space="preserve">SE</w:t>
      </w:r>
      <w:r>
        <w:t xml:space="preserve"> </w:t>
      </w:r>
      <w:r>
        <w:t xml:space="preserve">= 2.38)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36"/>
    <w:bookmarkStart w:id="37"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7"/>
    <w:bookmarkEnd w:id="38"/>
    <w:bookmarkStart w:id="40" w:name="number-of-trial-sites"/>
    <w:p>
      <w:pPr>
        <w:pStyle w:val="Heading2"/>
      </w:pPr>
      <w:r>
        <w:t xml:space="preserve">Number of trial sites</w:t>
      </w:r>
    </w:p>
    <w:tbl>
      <w:tblPr>
        <w:tblStyle w:val="Table"/>
        <w:tblW w:type="pct" w:w="5000"/>
        <w:tblLook w:firstRow="0" w:lastRow="0" w:firstColumn="0" w:lastColumn="0" w:noHBand="0" w:noVBand="0" w:val="0000"/>
        <w:jc w:val="start"/>
        <w:tblLayout w:type="fixed"/>
      </w:tblPr>
      <w:tblGrid>
        <w:gridCol w:w="7920"/>
      </w:tblGrid>
      <w:tr>
        <w:tc>
          <w:tcPr/>
          <w:bookmarkStart w:id="39" w:name="tbl-sites-summary"/>
          <w:p>
            <w:pPr>
              <w:jc w:val="center"/>
            </w:pPr>
            <w:pPr>
              <w:jc w:val="start"/>
              <w:spacing w:before="200"/>
              <w:pStyle w:val="ImageCaption"/>
            </w:pPr>
            <w:r>
              <w:t xml:space="preserve">Table 2: Number of sites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64"/>
              <w:gridCol w:w="1080"/>
              <w:gridCol w:w="1080"/>
              <w:gridCol w:w="1080"/>
            </w:tblGrid>
            <w:tr>
              <w:trPr>
                <w:trHeight w:val="599"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62"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r>
              <w:trPr>
                <w:trHeight w:val="360" w:hRule="auto"/>
              </w:trPr>
              footer1
              <w:tc>
                <w:tcPr>
                  <w:gridSpan w:val="4"/>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95% CI: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39"/>
        </w:tc>
      </w:tr>
    </w:tbl>
    <w:p>
      <w:pPr>
        <w:pStyle w:val="BodyText"/>
      </w:pPr>
      <w:r>
        <w:t xml:space="preserve">There was a significant difference between the number of sites in medication and psychotherapy trials, as can be seen in</w:t>
      </w:r>
      <w:r>
        <w:t xml:space="preserve"> </w:t>
      </w:r>
      <w:hyperlink w:anchor="tbl-sites-summary">
        <w:r>
          <w:rPr>
            <w:rStyle w:val="Hyperlink"/>
          </w:rPr>
          <w:t xml:space="preserve">Table 2</w:t>
        </w:r>
      </w:hyperlink>
      <w:r>
        <w:t xml:space="preserve">.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40"/>
    <w:bookmarkStart w:id="49" w:name="X5f0c3e396d9b4f6d8c8b0d9d35f1ce2625683c4"/>
    <w:p>
      <w:pPr>
        <w:pStyle w:val="Heading2"/>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study arms.</w:t>
      </w:r>
    </w:p>
    <w:p>
      <w:pPr>
        <w:pStyle w:val="BodyText"/>
      </w:pPr>
      <w:r>
        <w:t xml:space="preserve">As can be seen in</w:t>
      </w:r>
      <w:r>
        <w:t xml:space="preserve"> </w:t>
      </w:r>
      <w:hyperlink w:anchor="fig-plot-means-all">
        <w:r>
          <w:rPr>
            <w:rStyle w:val="Hyperlink"/>
          </w:rPr>
          <w:t xml:space="preserve">Figure 1</w:t>
        </w:r>
      </w:hyperlink>
      <w:r>
        <w:t xml:space="preserve"> </w:t>
      </w:r>
      <w:r>
        <w:t xml:space="preserve">there were substantial differences between the four arms of the metanalysis with striking differences between the medication and the psychotherapy control arms. In particular, pill placebo had an SMD = -1.9 (95% CI: -2.1 to -1.7) whereas psychotherapy controls had an SMD = -0.5 (95% CI: -0.75 to -0.25 ) (see</w:t>
      </w:r>
      <w:r>
        <w:t xml:space="preserve"> </w:t>
      </w:r>
      <w:hyperlink w:anchor="tbl-coefs-overall">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plot-means-all"/>
          <w:p>
            <w:pPr>
              <w:jc w:val="center"/>
            </w:pPr>
            <w:pPr>
              <w:jc w:val="start"/>
              <w:spacing w:before="200"/>
              <w:pStyle w:val="ImageCaption"/>
            </w:pPr>
            <w:r>
              <w:t xml:space="preserve">Figure 1: Metanalytic estimates of within-group changes: all studies</w:t>
            </w:r>
          </w:p>
          <w:p>
            <w:pPr>
              <w:pStyle w:val="Compact"/>
              <w:jc w:val="center"/>
            </w:pPr>
            <w:r>
              <w:drawing>
                <wp:inline>
                  <wp:extent cx="5943600" cy="4622800"/>
                  <wp:effectExtent b="0" l="0" r="0" t="0"/>
                  <wp:docPr descr="" title="" id="42" name="Picture"/>
                  <a:graphic>
                    <a:graphicData uri="http://schemas.openxmlformats.org/drawingml/2006/picture">
                      <pic:pic>
                        <pic:nvPicPr>
                          <pic:cNvPr descr="Manuscript_for_rendering_in_word_files/figure-docx/fig-plot-means-all-1.png" id="43" name="Picture"/>
                          <pic:cNvPicPr>
                            <a:picLocks noChangeArrowheads="1" noChangeAspect="1"/>
                          </pic:cNvPicPr>
                        </pic:nvPicPr>
                        <pic:blipFill>
                          <a:blip r:embed="rId41"/>
                          <a:stretch>
                            <a:fillRect/>
                          </a:stretch>
                        </pic:blipFill>
                        <pic:spPr bwMode="auto">
                          <a:xfrm>
                            <a:off x="0" y="0"/>
                            <a:ext cx="5943600" cy="4622800"/>
                          </a:xfrm>
                          <a:prstGeom prst="rect">
                            <a:avLst/>
                          </a:prstGeom>
                          <a:noFill/>
                          <a:ln w="9525">
                            <a:noFill/>
                            <a:headEnd/>
                            <a:tailEnd/>
                          </a:ln>
                        </pic:spPr>
                      </pic:pic>
                    </a:graphicData>
                  </a:graphic>
                </wp:inline>
              </w:drawing>
            </w:r>
          </w:p>
          <w:bookmarkEnd w:id="44"/>
        </w:tc>
      </w:tr>
    </w:tbl>
    <w:tbl>
      <w:tblPr>
        <w:tblStyle w:val="Table"/>
        <w:tblW w:type="pct" w:w="5000"/>
        <w:tblLook w:firstRow="0" w:lastRow="0" w:firstColumn="0" w:lastColumn="0" w:noHBand="0" w:noVBand="0" w:val="0000"/>
        <w:jc w:val="start"/>
        <w:tblLayout w:type="fixed"/>
      </w:tblPr>
      <w:tblGrid>
        <w:gridCol w:w="7920"/>
      </w:tblGrid>
      <w:tr>
        <w:tc>
          <w:tcPr/>
          <w:bookmarkStart w:id="45" w:name="tbl-coefs-overall"/>
          <w:p>
            <w:pPr>
              <w:jc w:val="center"/>
            </w:pPr>
            <w:pPr>
              <w:jc w:val="start"/>
              <w:spacing w:before="200"/>
              <w:pStyle w:val="ImageCaption"/>
            </w:pPr>
            <w:r>
              <w:t xml:space="preserve">Table 3: Summary statistics of the estimated SMDs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655"/>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bookmarkEnd w:id="45"/>
        </w:tc>
      </w:tr>
    </w:tbl>
    <w:p>
      <w:pPr>
        <w:pStyle w:val="BodyText"/>
      </w:pPr>
      <w:r>
        <w:t xml:space="preserve">In</w:t>
      </w:r>
      <w:r>
        <w:t xml:space="preserve"> </w:t>
      </w:r>
      <w:hyperlink w:anchor="tbl-results-overall">
        <w:r>
          <w:rPr>
            <w:rStyle w:val="Hyperlink"/>
          </w:rPr>
          <w:t xml:space="preserve">Table 4</w:t>
        </w:r>
      </w:hyperlink>
      <w:r>
        <w:t xml:space="preserve">,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p>
      <w:pPr>
        <w:pStyle w:val="SourceCode"/>
      </w:pPr>
      <w:r>
        <w:rPr>
          <w:rStyle w:val="VerbatimChar"/>
        </w:rPr>
        <w:t xml:space="preserve">function (color = "black", font.size = 10, bold = FALSE, italic = FALSE, </w:t>
      </w:r>
      <w:r>
        <w:br/>
      </w:r>
      <w:r>
        <w:rPr>
          <w:rStyle w:val="VerbatimChar"/>
        </w:rPr>
        <w:t xml:space="preserve">    underlined = FALSE, font.family = "Arial", cs.family = NULL, </w:t>
      </w:r>
      <w:r>
        <w:br/>
      </w:r>
      <w:r>
        <w:rPr>
          <w:rStyle w:val="VerbatimChar"/>
        </w:rPr>
        <w:t xml:space="preserve">    eastasia.family = NULL, hansi.family = NULL, vertical.align = "baseline", </w:t>
      </w:r>
      <w:r>
        <w:br/>
      </w:r>
      <w:r>
        <w:rPr>
          <w:rStyle w:val="VerbatimChar"/>
        </w:rPr>
        <w:t xml:space="preserve">    shading.color = "transparent") </w:t>
      </w:r>
      <w:r>
        <w:br/>
      </w:r>
      <w:r>
        <w:rPr>
          <w:rStyle w:val="VerbatimChar"/>
        </w:rPr>
        <w:t xml:space="preserve">{</w:t>
      </w:r>
      <w:r>
        <w:br/>
      </w:r>
      <w:r>
        <w:rPr>
          <w:rStyle w:val="VerbatimChar"/>
        </w:rPr>
        <w:t xml:space="preserve">    out &lt;- default_rpr</w:t>
      </w:r>
      <w:r>
        <w:br/>
      </w:r>
      <w:r>
        <w:rPr>
          <w:rStyle w:val="VerbatimChar"/>
        </w:rPr>
        <w:t xml:space="preserve">    if (is_positive_numeric(font.size)) {</w:t>
      </w:r>
      <w:r>
        <w:br/>
      </w:r>
      <w:r>
        <w:rPr>
          <w:rStyle w:val="VerbatimChar"/>
        </w:rPr>
        <w:t xml:space="preserve">        out$font.size &lt;- font.size</w:t>
      </w:r>
      <w:r>
        <w:br/>
      </w:r>
      <w:r>
        <w:rPr>
          <w:rStyle w:val="VerbatimChar"/>
        </w:rPr>
        <w:t xml:space="preserve">        out$font.size.cs &lt;- font.size</w:t>
      </w:r>
      <w:r>
        <w:br/>
      </w:r>
      <w:r>
        <w:rPr>
          <w:rStyle w:val="VerbatimChar"/>
        </w:rPr>
        <w:t xml:space="preserve">    }</w:t>
      </w:r>
      <w:r>
        <w:br/>
      </w:r>
      <w:r>
        <w:rPr>
          <w:rStyle w:val="VerbatimChar"/>
        </w:rPr>
        <w:t xml:space="preserve">    if (is_bool(bold)) {</w:t>
      </w:r>
      <w:r>
        <w:br/>
      </w:r>
      <w:r>
        <w:rPr>
          <w:rStyle w:val="VerbatimChar"/>
        </w:rPr>
        <w:t xml:space="preserve">        out$bold &lt;- bold</w:t>
      </w:r>
      <w:r>
        <w:br/>
      </w:r>
      <w:r>
        <w:rPr>
          <w:rStyle w:val="VerbatimChar"/>
        </w:rPr>
        <w:t xml:space="preserve">        out$bold.cs &lt;- bold</w:t>
      </w:r>
      <w:r>
        <w:br/>
      </w:r>
      <w:r>
        <w:rPr>
          <w:rStyle w:val="VerbatimChar"/>
        </w:rPr>
        <w:t xml:space="preserve">    }</w:t>
      </w:r>
      <w:r>
        <w:br/>
      </w:r>
      <w:r>
        <w:rPr>
          <w:rStyle w:val="VerbatimChar"/>
        </w:rPr>
        <w:t xml:space="preserve">    if (is_bool(italic)) {</w:t>
      </w:r>
      <w:r>
        <w:br/>
      </w:r>
      <w:r>
        <w:rPr>
          <w:rStyle w:val="VerbatimChar"/>
        </w:rPr>
        <w:t xml:space="preserve">        out$italic &lt;- italic</w:t>
      </w:r>
      <w:r>
        <w:br/>
      </w:r>
      <w:r>
        <w:rPr>
          <w:rStyle w:val="VerbatimChar"/>
        </w:rPr>
        <w:t xml:space="preserve">    }</w:t>
      </w:r>
      <w:r>
        <w:br/>
      </w:r>
      <w:r>
        <w:rPr>
          <w:rStyle w:val="VerbatimChar"/>
        </w:rPr>
        <w:t xml:space="preserve">    if (is_bool(underlined)) {</w:t>
      </w:r>
      <w:r>
        <w:br/>
      </w:r>
      <w:r>
        <w:rPr>
          <w:rStyle w:val="VerbatimChar"/>
        </w:rPr>
        <w:t xml:space="preserve">        out$underlined &lt;- underlined</w:t>
      </w:r>
      <w:r>
        <w:br/>
      </w:r>
      <w:r>
        <w:rPr>
          <w:rStyle w:val="VerbatimChar"/>
        </w:rPr>
        <w:t xml:space="preserve">    }</w:t>
      </w:r>
      <w:r>
        <w:br/>
      </w:r>
      <w:r>
        <w:rPr>
          <w:rStyle w:val="VerbatimChar"/>
        </w:rPr>
        <w:t xml:space="preserve">    if (is_color(color)) {</w:t>
      </w:r>
      <w:r>
        <w:br/>
      </w:r>
      <w:r>
        <w:rPr>
          <w:rStyle w:val="VerbatimChar"/>
        </w:rPr>
        <w:t xml:space="preserve">        out$color &lt;- color</w:t>
      </w:r>
      <w:r>
        <w:br/>
      </w:r>
      <w:r>
        <w:rPr>
          <w:rStyle w:val="VerbatimChar"/>
        </w:rPr>
        <w:t xml:space="preserve">    }</w:t>
      </w:r>
      <w:r>
        <w:br/>
      </w:r>
      <w:r>
        <w:rPr>
          <w:rStyle w:val="VerbatimChar"/>
        </w:rPr>
        <w:t xml:space="preserve">    if (is_character(font.family)) {</w:t>
      </w:r>
      <w:r>
        <w:br/>
      </w:r>
      <w:r>
        <w:rPr>
          <w:rStyle w:val="VerbatimChar"/>
        </w:rPr>
        <w:t xml:space="preserve">        out$font.family &lt;- font.family</w:t>
      </w:r>
      <w:r>
        <w:br/>
      </w:r>
      <w:r>
        <w:rPr>
          <w:rStyle w:val="VerbatimChar"/>
        </w:rPr>
        <w:t xml:space="preserve">    }</w:t>
      </w:r>
      <w:r>
        <w:br/>
      </w:r>
      <w:r>
        <w:rPr>
          <w:rStyle w:val="VerbatimChar"/>
        </w:rPr>
        <w:t xml:space="preserve">    if (is.null(cs.family)) </w:t>
      </w:r>
      <w:r>
        <w:br/>
      </w:r>
      <w:r>
        <w:rPr>
          <w:rStyle w:val="VerbatimChar"/>
        </w:rPr>
        <w:t xml:space="preserve">        cs.family &lt;- font.family</w:t>
      </w:r>
      <w:r>
        <w:br/>
      </w:r>
      <w:r>
        <w:rPr>
          <w:rStyle w:val="VerbatimChar"/>
        </w:rPr>
        <w:t xml:space="preserve">    if (is.null(eastasia.family)) </w:t>
      </w:r>
      <w:r>
        <w:br/>
      </w:r>
      <w:r>
        <w:rPr>
          <w:rStyle w:val="VerbatimChar"/>
        </w:rPr>
        <w:t xml:space="preserve">        eastasia.family &lt;- font.family</w:t>
      </w:r>
      <w:r>
        <w:br/>
      </w:r>
      <w:r>
        <w:rPr>
          <w:rStyle w:val="VerbatimChar"/>
        </w:rPr>
        <w:t xml:space="preserve">    if (is.null(hansi.family)) </w:t>
      </w:r>
      <w:r>
        <w:br/>
      </w:r>
      <w:r>
        <w:rPr>
          <w:rStyle w:val="VerbatimChar"/>
        </w:rPr>
        <w:t xml:space="preserve">        hansi.family &lt;- font.family</w:t>
      </w:r>
      <w:r>
        <w:br/>
      </w:r>
      <w:r>
        <w:rPr>
          <w:rStyle w:val="VerbatimChar"/>
        </w:rPr>
        <w:t xml:space="preserve">    if (is_character(cs.family)) {</w:t>
      </w:r>
      <w:r>
        <w:br/>
      </w:r>
      <w:r>
        <w:rPr>
          <w:rStyle w:val="VerbatimChar"/>
        </w:rPr>
        <w:t xml:space="preserve">        out$cs.family &lt;- cs.family</w:t>
      </w:r>
      <w:r>
        <w:br/>
      </w:r>
      <w:r>
        <w:rPr>
          <w:rStyle w:val="VerbatimChar"/>
        </w:rPr>
        <w:t xml:space="preserve">    }</w:t>
      </w:r>
      <w:r>
        <w:br/>
      </w:r>
      <w:r>
        <w:rPr>
          <w:rStyle w:val="VerbatimChar"/>
        </w:rPr>
        <w:t xml:space="preserve">    if (is_character(eastasia.family)) {</w:t>
      </w:r>
      <w:r>
        <w:br/>
      </w:r>
      <w:r>
        <w:rPr>
          <w:rStyle w:val="VerbatimChar"/>
        </w:rPr>
        <w:t xml:space="preserve">        out$eastasia.family &lt;- eastasia.family</w:t>
      </w:r>
      <w:r>
        <w:br/>
      </w:r>
      <w:r>
        <w:rPr>
          <w:rStyle w:val="VerbatimChar"/>
        </w:rPr>
        <w:t xml:space="preserve">    }</w:t>
      </w:r>
      <w:r>
        <w:br/>
      </w:r>
      <w:r>
        <w:rPr>
          <w:rStyle w:val="VerbatimChar"/>
        </w:rPr>
        <w:t xml:space="preserve">    if (is_character(hansi.family)) {</w:t>
      </w:r>
      <w:r>
        <w:br/>
      </w:r>
      <w:r>
        <w:rPr>
          <w:rStyle w:val="VerbatimChar"/>
        </w:rPr>
        <w:t xml:space="preserve">        out$hansi.family &lt;- hansi.family</w:t>
      </w:r>
      <w:r>
        <w:br/>
      </w:r>
      <w:r>
        <w:rPr>
          <w:rStyle w:val="VerbatimChar"/>
        </w:rPr>
        <w:t xml:space="preserve">    }</w:t>
      </w:r>
      <w:r>
        <w:br/>
      </w:r>
      <w:r>
        <w:rPr>
          <w:rStyle w:val="VerbatimChar"/>
        </w:rPr>
        <w:t xml:space="preserve">    out &lt;- check_set_choice(obj = out, value = vertical.align, </w:t>
      </w:r>
      <w:r>
        <w:br/>
      </w:r>
      <w:r>
        <w:rPr>
          <w:rStyle w:val="VerbatimChar"/>
        </w:rPr>
        <w:t xml:space="preserve">        choices = c("subscript", "superscript", "baseline"))</w:t>
      </w:r>
      <w:r>
        <w:br/>
      </w:r>
      <w:r>
        <w:rPr>
          <w:rStyle w:val="VerbatimChar"/>
        </w:rPr>
        <w:t xml:space="preserve">    out &lt;- check_set_color(out, shading.color)</w:t>
      </w:r>
      <w:r>
        <w:br/>
      </w:r>
      <w:r>
        <w:rPr>
          <w:rStyle w:val="VerbatimChar"/>
        </w:rPr>
        <w:t xml:space="preserve">    class(out) &lt;- "fp_text"</w:t>
      </w:r>
      <w:r>
        <w:br/>
      </w:r>
      <w:r>
        <w:rPr>
          <w:rStyle w:val="VerbatimChar"/>
        </w:rPr>
        <w:t xml:space="preserve">    out</w:t>
      </w:r>
      <w:r>
        <w:br/>
      </w:r>
      <w:r>
        <w:rPr>
          <w:rStyle w:val="VerbatimChar"/>
        </w:rPr>
        <w:t xml:space="preserve">}</w:t>
      </w:r>
      <w:r>
        <w:br/>
      </w:r>
      <w:r>
        <w:rPr>
          <w:rStyle w:val="VerbatimChar"/>
        </w:rPr>
        <w:t xml:space="preserve">&lt;bytecode: 0x000002041ff9ad00&gt;</w:t>
      </w:r>
      <w:r>
        <w:br/>
      </w:r>
      <w:r>
        <w:rPr>
          <w:rStyle w:val="VerbatimChar"/>
        </w:rPr>
        <w:t xml:space="preserve">&lt;environment: namespace:officer&gt;</w:t>
      </w:r>
    </w:p>
    <w:tbl>
      <w:tblPr>
        <w:tblStyle w:val="Table"/>
        <w:tblW w:type="pct" w:w="5000"/>
        <w:tblLook w:firstRow="0" w:lastRow="0" w:firstColumn="0" w:lastColumn="0" w:noHBand="0" w:noVBand="0" w:val="0000"/>
        <w:jc w:val="start"/>
        <w:tblLayout w:type="fixed"/>
      </w:tblPr>
      <w:tblGrid>
        <w:gridCol w:w="7920"/>
      </w:tblGrid>
      <w:tr>
        <w:tc>
          <w:tcPr/>
          <w:bookmarkStart w:id="46" w:name="tbl-results-overall"/>
          <w:p>
            <w:pPr>
              <w:jc w:val="center"/>
            </w:pPr>
            <w:pPr>
              <w:jc w:val="start"/>
              <w:spacing w:before="200"/>
              <w:pStyle w:val="ImageCaption"/>
            </w:pPr>
            <w:r>
              <w:t xml:space="preserve">Table 4: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46"/>
        </w:tc>
      </w:tr>
    </w:tbl>
    <w:bookmarkStart w:id="48" w:name="sensitivity-analyses-1"/>
    <w:p>
      <w:pPr>
        <w:pStyle w:val="Heading4"/>
      </w:pPr>
      <w:r>
        <w:t xml:space="preserve">Sensitivity analyses</w:t>
      </w:r>
    </w:p>
    <w:p>
      <w:pPr>
        <w:pStyle w:val="FirstParagraph"/>
      </w:pPr>
      <w:r>
        <w:t xml:space="preserve">We then conducted a series of sensitivity analyses of our results. First, we analysed the data after excluding waitlist control studies. As can be seen in</w:t>
      </w:r>
      <w:r>
        <w:t xml:space="preserve"> </w:t>
      </w:r>
      <w:hyperlink w:anchor="fig-plot-means-no-wl">
        <w:r>
          <w:rPr>
            <w:rStyle w:val="Hyperlink"/>
          </w:rPr>
          <w:t xml:space="preserve">Figure 3</w:t>
        </w:r>
      </w:hyperlink>
      <w:r>
        <w:t xml:space="preserve"> </w:t>
      </w:r>
      <w:r>
        <w:t xml:space="preserve">(see Supplementary Materials), the pattern of results is very similar to that of the overall analyses.</w:t>
      </w:r>
    </w:p>
    <w:p>
      <w:pPr>
        <w:pStyle w:val="BodyText"/>
      </w:pPr>
      <w:r>
        <w:t xml:space="preserve">We next analysed the data after excluding sub-clinical studies. Again, the pattern of results was very similar to that of the overall analyses (see</w:t>
      </w:r>
      <w:r>
        <w:t xml:space="preserve"> </w:t>
      </w:r>
      <w:hyperlink w:anchor="fig-plot-means-clin">
        <w:r>
          <w:rPr>
            <w:rStyle w:val="Hyperlink"/>
          </w:rPr>
          <w:t xml:space="preserve">Figure 4</w:t>
        </w:r>
      </w:hyperlink>
      <w:r>
        <w:t xml:space="preserve"> </w:t>
      </w:r>
      <w:r>
        <w:t xml:space="preserve">in Supplementary Materials).</w:t>
      </w:r>
    </w:p>
    <w:p>
      <w:pPr>
        <w:pStyle w:val="BodyText"/>
      </w:pPr>
      <w:r>
        <w:t xml:space="preserve">Next, we examined the data including only those studies that used the CDRS (see</w:t>
      </w:r>
      <w:r>
        <w:t xml:space="preserve"> </w:t>
      </w:r>
      <w:hyperlink w:anchor="fig-plot-means-cdrs">
        <w:r>
          <w:rPr>
            <w:rStyle w:val="Hyperlink"/>
          </w:rPr>
          <w:t xml:space="preserve">Figure 5</w:t>
        </w:r>
      </w:hyperlink>
      <w:r>
        <w:t xml:space="preserve"> </w:t>
      </w:r>
      <w:r>
        <w:t xml:space="preserve">in Supplementary Materials). Medication control and psychotherapy control conditions remained significantly different, however the small number of psychotherapy studies using the CDRS resulted in less precise metanalytic estimates of within-group changes.</w:t>
      </w:r>
    </w:p>
    <w:p>
      <w:pPr>
        <w:pStyle w:val="BodyText"/>
      </w:pPr>
      <w:r>
        <w:t xml:space="preserve">Similarly, when we examined the data including only those studies that used the HAM-D (see</w:t>
      </w:r>
      <w:r>
        <w:t xml:space="preserve"> </w:t>
      </w:r>
      <w:hyperlink w:anchor="fig-plot-means-hamd">
        <w:r>
          <w:rPr>
            <w:rStyle w:val="Hyperlink"/>
          </w:rPr>
          <w:t xml:space="preserve">Figure 6</w:t>
        </w:r>
      </w:hyperlink>
      <w:r>
        <w:t xml:space="preserve"> </w:t>
      </w:r>
      <w:r>
        <w:t xml:space="preserve">in Supplementary Materials), medication control and psychotherapy control conditions remained significantly different though the small number of medication studies using the HAM-D resulted in less precise metanalytic estimates.</w:t>
      </w:r>
    </w:p>
    <w:p>
      <w:pPr>
        <w:pStyle w:val="BodyText"/>
      </w:pPr>
      <w:r>
        <w:t xml:space="preserve">Further, we showed with our simulations that the effects of different values for the pre-post measures had minimal effect on the estimated outcomes; please refer to</w:t>
      </w:r>
      <w:r>
        <w:t xml:space="preserve"> </w:t>
      </w:r>
      <w:hyperlink w:anchor="fig-stab-sims">
        <w:r>
          <w:rPr>
            <w:rStyle w:val="Hyperlink"/>
          </w:rPr>
          <w:t xml:space="preserve">Figure 7</w:t>
        </w:r>
      </w:hyperlink>
      <w:r>
        <w:t xml:space="preserve"> </w:t>
      </w:r>
      <w:r>
        <w:t xml:space="preserve">in the Supplement.</w:t>
      </w:r>
    </w:p>
    <w:bookmarkStart w:id="47" w:name="addressing-regression-to-the-mean"/>
    <w:p>
      <w:pPr>
        <w:pStyle w:val="Heading5"/>
      </w:pPr>
      <w:r>
        <w:t xml:space="preserve">Addressing Regression to the Mean</w:t>
      </w:r>
    </w:p>
    <w:p>
      <w:pPr>
        <w:pStyle w:val="FirstParagraph"/>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w:t>
      </w:r>
      <w:r>
        <w:t xml:space="preserve"> </w:t>
      </w:r>
      <w:hyperlink w:anchor="tbl-cdrs-baseline">
        <w:r>
          <w:rPr>
            <w:rStyle w:val="Hyperlink"/>
          </w:rPr>
          <w:t xml:space="preserve">Table 7</w:t>
        </w:r>
      </w:hyperlink>
      <w:r>
        <w:t xml:space="preserve"> </w:t>
      </w:r>
      <w:r>
        <w:t xml:space="preserve">and</w:t>
      </w:r>
      <w:r>
        <w:t xml:space="preserve"> </w:t>
      </w:r>
      <w:hyperlink w:anchor="tbl-hamd-baseline">
        <w:r>
          <w:rPr>
            <w:rStyle w:val="Hyperlink"/>
          </w:rPr>
          <w:t xml:space="preserve">Table 8</w:t>
        </w:r>
      </w:hyperlink>
      <w:r>
        <w:t xml:space="preserve"> </w:t>
      </w:r>
      <w:r>
        <w:t xml:space="preserve">(see Supplementary Materials), the baseline scores in medication studies were on average substantially higher than psychotherapy studies for the CDRS and the HAM-D. The differences between medication control and psychotherapy control arms were significant at p&lt;0.05 for the CDRS, though they did not reach statistical significance for the HAM-D (p =</w:t>
      </w:r>
    </w:p>
    <w:tbl>
      <w:tblPr>
        <w:tblLayout w:type="autofit"/>
        <w:jc w:val="center"/>
        <w:tblW w:type="pct" w:w="5000"/>
        <w:tblLook w:firstRow="1" w:lastRow="0" w:firstColumn="0" w:lastColumn="0" w:noHBand="1" w:noVBand="1"/>
      </w:tblPr>
      <w:tr>
        <w:trPr>
          <w:tblHeader/>
        </w:trPr>
        <w:tc>
          <w:p>
            <w:pPr>
              <w:pStyle w:stlname="Normal"/>
            </w:pPr>
            <w:r>
              <w:t>p.value</w:t>
            </w:r>
          </w:p>
        </w:tc>
      </w:tr>
      <w:tr>
        <w:tc>
          <w:p>
            <w:pPr>
              <w:pStyle w:stlname="Normal"/>
            </w:pPr>
            <w:r>
              <w:t>0.032</w:t>
            </w:r>
          </w:p>
        </w:tc>
      </w:tr>
    </w:tbl>
    <w:p>
      <w:pPr>
        <w:pStyle w:val="BodyText"/>
      </w:pPr>
      <w:r>
        <w:t xml:space="preserve">).</w:t>
      </w:r>
    </w:p>
    <w:p>
      <w:pPr>
        <w:pStyle w:val="BodyText"/>
      </w:pPr>
      <w:r>
        <w:t xml:space="preserve">We next addressed potential regression to the mean by residualising SMDs by the percentage adjusted baseline scores in one regression model (see</w:t>
      </w:r>
      <w:r>
        <w:t xml:space="preserve"> </w:t>
      </w:r>
      <w:hyperlink w:anchor="tbl-adj-smds">
        <w:r>
          <w:rPr>
            <w:rStyle w:val="Hyperlink"/>
          </w:rPr>
          <w:t xml:space="preserve">Table 9</w:t>
        </w:r>
      </w:hyperlink>
      <w:r>
        <w:t xml:space="preserve"> </w:t>
      </w:r>
      <w:r>
        <w:t xml:space="preserve">in the Supplementary Materials for the adjusted SMDs with their confidence intervals). As can be inferred from the non-overlapping confidence intervals, there were significant differences between the medication control and psychotherapy control arms.</w:t>
      </w:r>
    </w:p>
    <w:bookmarkEnd w:id="47"/>
    <w:bookmarkEnd w:id="48"/>
    <w:bookmarkEnd w:id="49"/>
    <w:bookmarkStart w:id="52"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50" w:name="tbl-intensity-of-int"/>
          <w:p>
            <w:pPr>
              <w:jc w:val="center"/>
            </w:pPr>
            <w:pPr>
              <w:jc w:val="start"/>
              <w:spacing w:before="200"/>
              <w:pStyle w:val="ImageCaption"/>
            </w:pPr>
            <w:r>
              <w:t xml:space="preserve">Table 5: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bookmarkEnd w:id="50"/>
        </w:tc>
      </w:tr>
    </w:tbl>
    <w:tbl>
      <w:tblPr>
        <w:tblStyle w:val="Table"/>
        <w:tblW w:type="pct" w:w="5000"/>
        <w:tblLook w:firstRow="0" w:lastRow="0" w:firstColumn="0" w:lastColumn="0" w:noHBand="0" w:noVBand="0" w:val="0000"/>
        <w:jc w:val="start"/>
        <w:tblLayout w:type="fixed"/>
      </w:tblPr>
      <w:tblGrid>
        <w:gridCol w:w="7920"/>
      </w:tblGrid>
      <w:tr>
        <w:tc>
          <w:tcPr/>
          <w:bookmarkStart w:id="51" w:name="tbl-t-tests-intensity"/>
          <w:p>
            <w:pPr>
              <w:jc w:val="center"/>
            </w:pPr>
            <w:pPr>
              <w:jc w:val="start"/>
              <w:spacing w:before="200"/>
              <w:pStyle w:val="ImageCaption"/>
            </w:pPr>
            <w:r>
              <w:t xml:space="preserve">Table 6: Results for t-tests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248"/>
              <w:gridCol w:w="1266"/>
              <w:gridCol w:w="961"/>
              <w:gridCol w:w="1132"/>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bookmarkEnd w:id="51"/>
        </w:tc>
      </w:tr>
    </w:tbl>
    <w:p>
      <w:pPr>
        <w:pStyle w:val="BodyText"/>
      </w:pPr>
      <w:r>
        <w:t xml:space="preserve">Overall, the active arms of psychotherapy studies were considerably more intensive than the control arms they were compared against (see</w:t>
      </w:r>
      <w:r>
        <w:t xml:space="preserve"> </w:t>
      </w:r>
      <w:hyperlink w:anchor="tbl-intensity-of-int">
        <w:r>
          <w:rPr>
            <w:rStyle w:val="Hyperlink"/>
          </w:rPr>
          <w:t xml:space="preserve">Table 5</w:t>
        </w:r>
      </w:hyperlink>
      <w:r>
        <w:t xml:space="preserve"> </w:t>
      </w:r>
      <w:r>
        <w:t xml:space="preserve">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bookmarkEnd w:id="52"/>
    <w:bookmarkEnd w:id="53"/>
    <w:bookmarkStart w:id="54"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or sex moderate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NIH-funded (i.e. non industry) trials which are also more likely to show higher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psychotherapy controls have moderate effect size (-0.5) whereas pill-placebo has very large effect size (-1.9). Our analysis could be critiqued as it relies on comparing the within arm symptom change of each trial taken out of randomization, which is generally ill advised.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(67.24%)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such as</w:t>
      </w:r>
      <w:r>
        <w:t xml:space="preserve"> </w:t>
      </w:r>
      <w:r>
        <w:t xml:space="preserve">Young et al. (2016)</w:t>
      </w:r>
      <w:r>
        <w:t xml:space="preserve"> </w:t>
      </w:r>
      <w:r>
        <w:t xml:space="preserve">in the current study, 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54"/>
    <w:bookmarkStart w:id="93" w:name="supplementary-materials"/>
    <w:p>
      <w:pPr>
        <w:pStyle w:val="Heading1"/>
      </w:pPr>
      <w:r>
        <w:t xml:space="preserve">Supplementary Materials</w:t>
      </w:r>
    </w:p>
    <w:bookmarkStart w:id="59" w:name="Xba5de5a5ac6bc9db82726bbc820779013e1dff9"/>
    <w:p>
      <w:pPr>
        <w:pStyle w:val="Heading2"/>
      </w:pPr>
      <w:r>
        <w:t xml:space="preserve">Systematic review search terms and PRISMA chart</w:t>
      </w:r>
    </w:p>
    <w:p>
      <w:pPr>
        <w:pStyle w:val="FirstParagraph"/>
      </w:pPr>
      <w:r>
        <w:t xml:space="preserve">We conducted a systematic search for medication studies published from 31 May 2015 up to 1 Jan 2021 (i.e. after the final search date of Cipriani’s (2016) review up to the final search date of Cuijpers et al’s (2023) 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 (2016) 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2</w:t>
        </w:r>
      </w:hyperlink>
      <w:r>
        <w:t xml:space="preserve"> </w:t>
      </w:r>
      <w:r>
        <w:t xml:space="preserve">for the PRISMA flow diagram. We used Covidence, an online software tool, to manage our systematic review.</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tbl>
      <w:tblPr>
        <w:tblStyle w:val="Table"/>
        <w:tblW w:type="pct" w:w="5000"/>
        <w:tblLook w:firstRow="0" w:lastRow="0" w:firstColumn="0" w:lastColumn="0" w:noHBand="0" w:noVBand="0" w:val="0000"/>
        <w:jc w:val="start"/>
        <w:tblLayout w:type="fixed"/>
      </w:tblPr>
      <w:tblGrid>
        <w:gridCol w:w="7920"/>
      </w:tblGrid>
      <w:tr>
        <w:tc>
          <w:tcPr/>
          <w:bookmarkStart w:id="58" w:name="fig-prisma"/>
          <w:p>
            <w:pPr>
              <w:jc w:val="center"/>
            </w:pPr>
            <w:pPr>
              <w:jc w:val="start"/>
              <w:spacing w:before="200"/>
              <w:pStyle w:val="ImageCaption"/>
            </w:pPr>
            <w:r>
              <w:t xml:space="preserve">Figure 2: PRISMA chart summarising the screening process for the systematic review</w:t>
            </w:r>
          </w:p>
          <w:p>
            <w:pPr>
              <w:pStyle w:val="Compact"/>
              <w:jc w:val="center"/>
            </w:pPr>
            <w:r>
              <w:drawing>
                <wp:inline>
                  <wp:extent cx="5943600" cy="8090549"/>
                  <wp:effectExtent b="0" l="0" r="0" t="0"/>
                  <wp:docPr descr="" title="" id="56" name="Picture"/>
                  <a:graphic>
                    <a:graphicData uri="http://schemas.openxmlformats.org/drawingml/2006/picture">
                      <pic:pic>
                        <pic:nvPicPr>
                          <pic:cNvPr descr="PRISMA.png" id="57" name="Picture"/>
                          <pic:cNvPicPr>
                            <a:picLocks noChangeArrowheads="1" noChangeAspect="1"/>
                          </pic:cNvPicPr>
                        </pic:nvPicPr>
                        <pic:blipFill>
                          <a:blip r:embed="rId55"/>
                          <a:stretch>
                            <a:fillRect/>
                          </a:stretch>
                        </pic:blipFill>
                        <pic:spPr bwMode="auto">
                          <a:xfrm>
                            <a:off x="0" y="0"/>
                            <a:ext cx="5943600" cy="8090549"/>
                          </a:xfrm>
                          <a:prstGeom prst="rect">
                            <a:avLst/>
                          </a:prstGeom>
                          <a:noFill/>
                          <a:ln w="9525">
                            <a:noFill/>
                            <a:headEnd/>
                            <a:tailEnd/>
                          </a:ln>
                        </pic:spPr>
                      </pic:pic>
                    </a:graphicData>
                  </a:graphic>
                </wp:inline>
              </w:drawing>
            </w:r>
          </w:p>
          <w:bookmarkEnd w:id="58"/>
        </w:tc>
      </w:tr>
    </w:tbl>
    <w:bookmarkEnd w:id="59"/>
    <w:bookmarkStart w:id="64" w:name="X769e041921aea7313265666fa290e6e883dfa7b"/>
    <w:p>
      <w:pPr>
        <w:pStyle w:val="Heading2"/>
      </w:pPr>
      <w:r>
        <w:t xml:space="preserve">Full description of statistical analysis (including formalisms)</w:t>
      </w:r>
    </w:p>
    <w:bookmarkStart w:id="60" w:name="trial-and-sample-characteristics-1"/>
    <w:p>
      <w:pPr>
        <w:pStyle w:val="Heading3"/>
      </w:pPr>
      <w:r>
        <w:t xml:space="preserve">Trial and sample characteristics</w:t>
      </w:r>
    </w:p>
    <w:p>
      <w:pPr>
        <w:pStyle w:val="FirstParagraph"/>
      </w:pPr>
      <w:r>
        <w:t xml:space="preserve">We conducted a series of random effects meta-analyses and tested for subgroup differences between psychotherapy and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60"/>
    <w:bookmarkStart w:id="63" w:name="trial-efficacy-1"/>
    <w:p>
      <w:pPr>
        <w:pStyle w:val="Heading3"/>
      </w:pPr>
      <w:r>
        <w:t xml:space="preserve">Trial efficacy</w:t>
      </w:r>
    </w:p>
    <w:bookmarkStart w:id="61" w:name="measures-of-effect-1"/>
    <w:p>
      <w:pPr>
        <w:pStyle w:val="Heading4"/>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61"/>
    <w:bookmarkStart w:id="62" w:name="random-effects-metaregression-1"/>
    <w:p>
      <w:pPr>
        <w:pStyle w:val="Heading4"/>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62"/>
    <w:bookmarkEnd w:id="63"/>
    <w:bookmarkEnd w:id="64"/>
    <w:bookmarkStart w:id="92"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68" w:name="fig-plot-means-no-wl"/>
          <w:p>
            <w:pPr>
              <w:jc w:val="center"/>
            </w:pPr>
            <w:pPr>
              <w:jc w:val="start"/>
              <w:spacing w:before="200"/>
              <w:pStyle w:val="ImageCaption"/>
            </w:pPr>
            <w:r>
              <w:t xml:space="preserve">Figure 3: Metanalytic estimates of within-group changes: wl excluded</w:t>
            </w:r>
          </w:p>
          <w:p>
            <w:pPr>
              <w:pStyle w:val="Compact"/>
              <w:jc w:val="center"/>
            </w:pPr>
            <w:r>
              <w:drawing>
                <wp:inline>
                  <wp:extent cx="5943600" cy="4622800"/>
                  <wp:effectExtent b="0" l="0" r="0" t="0"/>
                  <wp:docPr descr="" title="" id="66" name="Picture"/>
                  <a:graphic>
                    <a:graphicData uri="http://schemas.openxmlformats.org/drawingml/2006/picture">
                      <pic:pic>
                        <pic:nvPicPr>
                          <pic:cNvPr descr="Manuscript_for_rendering_in_word_files/figure-docx/fig-plot-means-no-wl-1.png" id="67" name="Picture"/>
                          <pic:cNvPicPr>
                            <a:picLocks noChangeArrowheads="1" noChangeAspect="1"/>
                          </pic:cNvPicPr>
                        </pic:nvPicPr>
                        <pic:blipFill>
                          <a:blip r:embed="rId65"/>
                          <a:stretch>
                            <a:fillRect/>
                          </a:stretch>
                        </pic:blipFill>
                        <pic:spPr bwMode="auto">
                          <a:xfrm>
                            <a:off x="0" y="0"/>
                            <a:ext cx="5943600" cy="4622800"/>
                          </a:xfrm>
                          <a:prstGeom prst="rect">
                            <a:avLst/>
                          </a:prstGeom>
                          <a:noFill/>
                          <a:ln w="9525">
                            <a:noFill/>
                            <a:headEnd/>
                            <a:tailEnd/>
                          </a:ln>
                        </pic:spPr>
                      </pic:pic>
                    </a:graphicData>
                  </a:graphic>
                </wp:inline>
              </w:drawing>
            </w:r>
          </w:p>
          <w:bookmarkEnd w:id="68"/>
        </w:tc>
      </w:tr>
    </w:tbl>
    <w:tbl>
      <w:tblPr>
        <w:tblStyle w:val="Table"/>
        <w:tblW w:type="pct" w:w="5000"/>
        <w:tblLook w:firstRow="0" w:lastRow="0" w:firstColumn="0" w:lastColumn="0" w:noHBand="0" w:noVBand="0" w:val="0000"/>
        <w:jc w:val="start"/>
        <w:tblLayout w:type="fixed"/>
      </w:tblPr>
      <w:tblGrid>
        <w:gridCol w:w="7920"/>
      </w:tblGrid>
      <w:tr>
        <w:tc>
          <w:tcPr/>
          <w:bookmarkStart w:id="72" w:name="fig-plot-means-clin"/>
          <w:p>
            <w:pPr>
              <w:jc w:val="center"/>
            </w:pPr>
            <w:pPr>
              <w:jc w:val="start"/>
              <w:spacing w:before="200"/>
              <w:pStyle w:val="ImageCaption"/>
            </w:pPr>
            <w:r>
              <w:t xml:space="preserve">Figure 4: Metanalytic estimates of within-group changes: subclinical studies excluded</w:t>
            </w:r>
          </w:p>
          <w:p>
            <w:pPr>
              <w:pStyle w:val="Compact"/>
              <w:jc w:val="center"/>
            </w:pPr>
            <w:r>
              <w:drawing>
                <wp:inline>
                  <wp:extent cx="5943600" cy="4622800"/>
                  <wp:effectExtent b="0" l="0" r="0" t="0"/>
                  <wp:docPr descr="" title="" id="70" name="Picture"/>
                  <a:graphic>
                    <a:graphicData uri="http://schemas.openxmlformats.org/drawingml/2006/picture">
                      <pic:pic>
                        <pic:nvPicPr>
                          <pic:cNvPr descr="Manuscript_for_rendering_in_word_files/figure-docx/fig-plot-means-clin-1.png" id="71" name="Picture"/>
                          <pic:cNvPicPr>
                            <a:picLocks noChangeArrowheads="1" noChangeAspect="1"/>
                          </pic:cNvPicPr>
                        </pic:nvPicPr>
                        <pic:blipFill>
                          <a:blip r:embed="rId69"/>
                          <a:stretch>
                            <a:fillRect/>
                          </a:stretch>
                        </pic:blipFill>
                        <pic:spPr bwMode="auto">
                          <a:xfrm>
                            <a:off x="0" y="0"/>
                            <a:ext cx="5943600" cy="4622800"/>
                          </a:xfrm>
                          <a:prstGeom prst="rect">
                            <a:avLst/>
                          </a:prstGeom>
                          <a:noFill/>
                          <a:ln w="9525">
                            <a:noFill/>
                            <a:headEnd/>
                            <a:tailEnd/>
                          </a:ln>
                        </pic:spPr>
                      </pic:pic>
                    </a:graphicData>
                  </a:graphic>
                </wp:inline>
              </w:drawing>
            </w:r>
          </w:p>
          <w:bookmarkEnd w:id="72"/>
        </w:tc>
      </w:tr>
    </w:tbl>
    <w:tbl>
      <w:tblPr>
        <w:tblStyle w:val="Table"/>
        <w:tblW w:type="pct" w:w="5000"/>
        <w:tblLook w:firstRow="0" w:lastRow="0" w:firstColumn="0" w:lastColumn="0" w:noHBand="0" w:noVBand="0" w:val="0000"/>
        <w:jc w:val="start"/>
        <w:tblLayout w:type="fixed"/>
      </w:tblPr>
      <w:tblGrid>
        <w:gridCol w:w="7920"/>
      </w:tblGrid>
      <w:tr>
        <w:tc>
          <w:tcPr/>
          <w:bookmarkStart w:id="76" w:name="fig-plot-means-cdrs"/>
          <w:p>
            <w:pPr>
              <w:jc w:val="center"/>
            </w:pPr>
            <w:pPr>
              <w:jc w:val="start"/>
              <w:spacing w:before="200"/>
              <w:pStyle w:val="ImageCaption"/>
            </w:pPr>
            <w:r>
              <w:t xml:space="preserve">Figure 5: Metanalytic estimates of within-group changes: CDRS studies only</w:t>
            </w:r>
          </w:p>
          <w:p>
            <w:pPr>
              <w:pStyle w:val="Compact"/>
              <w:jc w:val="center"/>
            </w:pPr>
            <w:r>
              <w:drawing>
                <wp:inline>
                  <wp:extent cx="5943600" cy="4622800"/>
                  <wp:effectExtent b="0" l="0" r="0" t="0"/>
                  <wp:docPr descr="" title="" id="74" name="Picture"/>
                  <a:graphic>
                    <a:graphicData uri="http://schemas.openxmlformats.org/drawingml/2006/picture">
                      <pic:pic>
                        <pic:nvPicPr>
                          <pic:cNvPr descr="Manuscript_for_rendering_in_word_files/figure-docx/fig-plot-means-cdrs-1.png" id="75" name="Picture"/>
                          <pic:cNvPicPr>
                            <a:picLocks noChangeArrowheads="1" noChangeAspect="1"/>
                          </pic:cNvPicPr>
                        </pic:nvPicPr>
                        <pic:blipFill>
                          <a:blip r:embed="rId73"/>
                          <a:stretch>
                            <a:fillRect/>
                          </a:stretch>
                        </pic:blipFill>
                        <pic:spPr bwMode="auto">
                          <a:xfrm>
                            <a:off x="0" y="0"/>
                            <a:ext cx="5943600" cy="4622800"/>
                          </a:xfrm>
                          <a:prstGeom prst="rect">
                            <a:avLst/>
                          </a:prstGeom>
                          <a:noFill/>
                          <a:ln w="9525">
                            <a:noFill/>
                            <a:headEnd/>
                            <a:tailEnd/>
                          </a:ln>
                        </pic:spPr>
                      </pic:pic>
                    </a:graphicData>
                  </a:graphic>
                </wp:inline>
              </w:drawing>
            </w:r>
          </w:p>
          <w:bookmarkEnd w:id="76"/>
        </w:tc>
      </w:tr>
    </w:tbl>
    <w:tbl>
      <w:tblPr>
        <w:tblStyle w:val="Table"/>
        <w:tblW w:type="pct" w:w="5000"/>
        <w:tblLook w:firstRow="0" w:lastRow="0" w:firstColumn="0" w:lastColumn="0" w:noHBand="0" w:noVBand="0" w:val="0000"/>
        <w:jc w:val="start"/>
        <w:tblLayout w:type="fixed"/>
      </w:tblPr>
      <w:tblGrid>
        <w:gridCol w:w="7920"/>
      </w:tblGrid>
      <w:tr>
        <w:tc>
          <w:tcPr/>
          <w:bookmarkStart w:id="80" w:name="fig-plot-means-hamd"/>
          <w:p>
            <w:pPr>
              <w:jc w:val="center"/>
            </w:pPr>
            <w:pPr>
              <w:jc w:val="start"/>
              <w:spacing w:before="200"/>
              <w:pStyle w:val="ImageCaption"/>
            </w:pPr>
            <w:r>
              <w:t xml:space="preserve">Figure 6: Metanalytic estimates of within-group changes: HAM-D studies only</w:t>
            </w:r>
          </w:p>
          <w:p>
            <w:pPr>
              <w:pStyle w:val="Compact"/>
              <w:jc w:val="center"/>
            </w:pPr>
            <w:r>
              <w:drawing>
                <wp:inline>
                  <wp:extent cx="5943600" cy="4622800"/>
                  <wp:effectExtent b="0" l="0" r="0" t="0"/>
                  <wp:docPr descr="" title="" id="78" name="Picture"/>
                  <a:graphic>
                    <a:graphicData uri="http://schemas.openxmlformats.org/drawingml/2006/picture">
                      <pic:pic>
                        <pic:nvPicPr>
                          <pic:cNvPr descr="Manuscript_for_rendering_in_word_files/figure-docx/fig-plot-means-hamd-1.png" id="79" name="Picture"/>
                          <pic:cNvPicPr>
                            <a:picLocks noChangeArrowheads="1" noChangeAspect="1"/>
                          </pic:cNvPicPr>
                        </pic:nvPicPr>
                        <pic:blipFill>
                          <a:blip r:embed="rId77"/>
                          <a:stretch>
                            <a:fillRect/>
                          </a:stretch>
                        </pic:blipFill>
                        <pic:spPr bwMode="auto">
                          <a:xfrm>
                            <a:off x="0" y="0"/>
                            <a:ext cx="5943600" cy="4622800"/>
                          </a:xfrm>
                          <a:prstGeom prst="rect">
                            <a:avLst/>
                          </a:prstGeom>
                          <a:noFill/>
                          <a:ln w="9525">
                            <a:noFill/>
                            <a:headEnd/>
                            <a:tailEnd/>
                          </a:ln>
                        </pic:spPr>
                      </pic:pic>
                    </a:graphicData>
                  </a:graphic>
                </wp:inline>
              </w:drawing>
            </w:r>
          </w:p>
          <w:bookmarkEnd w:id="80"/>
        </w:tc>
      </w:tr>
    </w:tbl>
    <w:bookmarkStart w:id="91"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hyperlink w:anchor="fig-stab-sims">
        <w:r>
          <w:rPr>
            <w:rStyle w:val="Hyperlink"/>
          </w:rPr>
          <w:t xml:space="preserve">Figure 7</w:t>
        </w:r>
      </w:hyperlink>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4</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84" w:name="fig-stab-sims"/>
          <w:p>
            <w:pPr>
              <w:jc w:val="center"/>
            </w:pPr>
            <w:pPr>
              <w:jc w:val="start"/>
              <w:spacing w:before="200"/>
              <w:pStyle w:val="ImageCaption"/>
            </w:pPr>
            <w:r>
              <w:t xml:space="preserve">Figure 7: Stability of the Statistic of the Difference between Medication and Psychotherapy Control Arms</w:t>
            </w:r>
          </w:p>
          <w:p>
            <w:pPr>
              <w:pStyle w:val="Compact"/>
              <w:jc w:val="center"/>
            </w:pPr>
            <w:r>
              <w:drawing>
                <wp:inline>
                  <wp:extent cx="5943600" cy="4622800"/>
                  <wp:effectExtent b="0" l="0" r="0" t="0"/>
                  <wp:docPr descr="" title="" id="82" name="Picture"/>
                  <a:graphic>
                    <a:graphicData uri="http://schemas.openxmlformats.org/drawingml/2006/picture">
                      <pic:pic>
                        <pic:nvPicPr>
                          <pic:cNvPr descr="Manuscript_for_rendering_in_word_files/figure-docx/fig-stab-sims-1.png" id="83" name="Picture"/>
                          <pic:cNvPicPr>
                            <a:picLocks noChangeArrowheads="1" noChangeAspect="1"/>
                          </pic:cNvPicPr>
                        </pic:nvPicPr>
                        <pic:blipFill>
                          <a:blip r:embed="rId81"/>
                          <a:stretch>
                            <a:fillRect/>
                          </a:stretch>
                        </pic:blipFill>
                        <pic:spPr bwMode="auto">
                          <a:xfrm>
                            <a:off x="0" y="0"/>
                            <a:ext cx="5943600" cy="4622800"/>
                          </a:xfrm>
                          <a:prstGeom prst="rect">
                            <a:avLst/>
                          </a:prstGeom>
                          <a:noFill/>
                          <a:ln w="9525">
                            <a:noFill/>
                            <a:headEnd/>
                            <a:tailEnd/>
                          </a:ln>
                        </pic:spPr>
                      </pic:pic>
                    </a:graphicData>
                  </a:graphic>
                </wp:inline>
              </w:drawing>
            </w:r>
          </w:p>
          <w:bookmarkEnd w:id="84"/>
        </w:tc>
      </w:tr>
    </w:tbl>
    <w:p>
      <w:pPr>
        <w:pStyle w:val="BodyText"/>
      </w:pPr>
      <w:r>
        <w:t xml:space="preserve">The following tables still need some work including adding n</w:t>
      </w:r>
    </w:p>
    <w:tbl>
      <w:tblPr>
        <w:tblStyle w:val="Table"/>
        <w:tblW w:type="pct" w:w="5000"/>
        <w:tblLook w:firstRow="0" w:lastRow="0" w:firstColumn="0" w:lastColumn="0" w:noHBand="0" w:noVBand="0" w:val="0000"/>
        <w:jc w:val="start"/>
        <w:tblLayout w:type="fixed"/>
      </w:tblPr>
      <w:tblGrid>
        <w:gridCol w:w="7920"/>
      </w:tblGrid>
      <w:tr>
        <w:tc>
          <w:tcPr/>
          <w:bookmarkStart w:id="85" w:name="tbl-cdrs-baseline"/>
          <w:p>
            <w:pPr>
              <w:jc w:val="center"/>
            </w:pPr>
            <w:pPr>
              <w:jc w:val="start"/>
              <w:spacing w:before="200"/>
              <w:pStyle w:val="ImageCaption"/>
            </w:pPr>
            <w:r>
              <w:t xml:space="preserve">Table 7: CDRS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655"/>
              <w:gridCol w:w="2000"/>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Scores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56.98</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59.41</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52.11</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266"/>
              <w:gridCol w:w="839"/>
              <w:gridCol w:w="1181"/>
              <w:gridCol w:w="1120"/>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 value</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56.98</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46.07</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r>
            <w:tr>
              <w:trPr>
                <w:trHeight w:val="571"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r>
          </w:tbl>
          <w:bookmarkEnd w:id="85"/>
        </w:tc>
      </w:tr>
    </w:tbl>
    <w:tbl>
      <w:tblPr>
        <w:tblStyle w:val="Table"/>
        <w:tblW w:type="pct" w:w="5000"/>
        <w:tblLook w:firstRow="0" w:lastRow="0" w:firstColumn="0" w:lastColumn="0" w:noHBand="0" w:noVBand="0" w:val="0000"/>
        <w:jc w:val="start"/>
        <w:tblLayout w:type="fixed"/>
      </w:tblPr>
      <w:tblGrid>
        <w:gridCol w:w="7920"/>
      </w:tblGrid>
      <w:tr>
        <w:tc>
          <w:tcPr/>
          <w:bookmarkStart w:id="86" w:name="tbl-hamd-baseline"/>
          <w:p>
            <w:pPr>
              <w:jc w:val="center"/>
            </w:pPr>
            <w:pPr>
              <w:jc w:val="start"/>
              <w:spacing w:before="200"/>
              <w:pStyle w:val="ImageCaption"/>
            </w:pPr>
            <w:r>
              <w:t xml:space="preserve">Table 8: HAM-D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655"/>
              <w:gridCol w:w="2000"/>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Scores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14.14</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24.39</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25.30</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266"/>
              <w:gridCol w:w="839"/>
              <w:gridCol w:w="1181"/>
              <w:gridCol w:w="1120"/>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 value</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7.37</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0.85</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w:t>
                  </w:r>
                </w:p>
              </w:tc>
            </w:tr>
          </w:tbl>
          <w:bookmarkEnd w:id="86"/>
        </w:tc>
      </w:tr>
    </w:tbl>
    <w:tbl>
      <w:tblPr>
        <w:tblStyle w:val="Table"/>
        <w:tblW w:type="pct" w:w="5000"/>
        <w:tblLook w:firstRow="0" w:lastRow="0" w:firstColumn="0" w:lastColumn="0" w:noHBand="0" w:noVBand="0" w:val="0000"/>
        <w:jc w:val="start"/>
        <w:tblLayout w:type="fixed"/>
      </w:tblPr>
      <w:tblGrid>
        <w:gridCol w:w="7920"/>
      </w:tblGrid>
      <w:tr>
        <w:tc>
          <w:tcPr/>
          <w:bookmarkStart w:id="87" w:name="tbl-adj-smds"/>
          <w:p>
            <w:pPr>
              <w:jc w:val="center"/>
            </w:pPr>
            <w:pPr>
              <w:jc w:val="start"/>
              <w:spacing w:before="200"/>
              <w:pStyle w:val="ImageCaption"/>
            </w:pPr>
            <w:r>
              <w:t xml:space="preserve">Table 9: SMDs adjusted by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r>
          </w:tbl>
          <w:bookmarkEnd w:id="87"/>
        </w:tc>
      </w:tr>
    </w:tbl>
    <w:p>
      <w:pPr>
        <w:pStyle w:val="BodyText"/>
      </w:pPr>
      <w:r>
        <w:drawing>
          <wp:inline>
            <wp:extent cx="5943600" cy="4622800"/>
            <wp:effectExtent b="0" l="0" r="0" t="0"/>
            <wp:docPr descr="" title="" id="89" name="Picture"/>
            <a:graphic>
              <a:graphicData uri="http://schemas.openxmlformats.org/drawingml/2006/picture">
                <pic:pic>
                  <pic:nvPicPr>
                    <pic:cNvPr descr="Manuscript_for_rendering_in_word_files/figure-docx/unnamed-chunk-29-1.png" id="90" name="Picture"/>
                    <pic:cNvPicPr>
                      <a:picLocks noChangeArrowheads="1" noChangeAspect="1"/>
                    </pic:cNvPicPr>
                  </pic:nvPicPr>
                  <pic:blipFill>
                    <a:blip r:embed="rId88"/>
                    <a:stretch>
                      <a:fillRect/>
                    </a:stretch>
                  </pic:blipFill>
                  <pic:spPr bwMode="auto">
                    <a:xfrm>
                      <a:off x="0" y="0"/>
                      <a:ext cx="5943600" cy="4622800"/>
                    </a:xfrm>
                    <a:prstGeom prst="rect">
                      <a:avLst/>
                    </a:prstGeom>
                    <a:noFill/>
                    <a:ln w="9525">
                      <a:noFill/>
                      <a:headEnd/>
                      <a:tailEnd/>
                    </a:ln>
                  </pic:spPr>
                </pic:pic>
              </a:graphicData>
            </a:graphic>
          </wp:inline>
        </w:drawing>
      </w:r>
    </w:p>
    <w:bookmarkEnd w:id="91"/>
    <w:bookmarkEnd w:id="92"/>
    <w:bookmarkEnd w:id="93"/>
    <w:bookmarkStart w:id="150" w:name="references"/>
    <w:p>
      <w:pPr>
        <w:pStyle w:val="Heading1"/>
      </w:pPr>
      <w:r>
        <w:t xml:space="preserve">References</w:t>
      </w:r>
    </w:p>
    <w:bookmarkStart w:id="149" w:name="refs"/>
    <w:bookmarkStart w:id="95"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94">
        <w:r>
          <w:rPr>
            <w:rStyle w:val="Hyperlink"/>
          </w:rPr>
          <w:t xml:space="preserve">https://doi.org/10.1176/appi.ajp.2008.08020247</w:t>
        </w:r>
      </w:hyperlink>
      <w:r>
        <w:t xml:space="preserve">.</w:t>
      </w:r>
    </w:p>
    <w:bookmarkEnd w:id="95"/>
    <w:bookmarkStart w:id="97"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96">
        <w:r>
          <w:rPr>
            <w:rStyle w:val="Hyperlink"/>
          </w:rPr>
          <w:t xml:space="preserve">https://doi.org/10.1016/j.jaac.2014.04.004</w:t>
        </w:r>
      </w:hyperlink>
      <w:r>
        <w:t xml:space="preserve">.</w:t>
      </w:r>
    </w:p>
    <w:bookmarkEnd w:id="97"/>
    <w:bookmarkStart w:id="98"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98"/>
    <w:bookmarkStart w:id="100"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99">
        <w:r>
          <w:rPr>
            <w:rStyle w:val="Hyperlink"/>
          </w:rPr>
          <w:t xml:space="preserve">https://doi.org/10.1016/S0140-6736(16)30385-3</w:t>
        </w:r>
      </w:hyperlink>
      <w:r>
        <w:t xml:space="preserve">.</w:t>
      </w:r>
    </w:p>
    <w:bookmarkEnd w:id="100"/>
    <w:bookmarkStart w:id="102"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101">
        <w:r>
          <w:rPr>
            <w:rStyle w:val="Hyperlink"/>
          </w:rPr>
          <w:t xml:space="preserve">https://doi.org/10.1002/jclp.20754</w:t>
        </w:r>
      </w:hyperlink>
      <w:r>
        <w:t xml:space="preserve">.</w:t>
      </w:r>
    </w:p>
    <w:bookmarkEnd w:id="102"/>
    <w:bookmarkStart w:id="104"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103">
        <w:r>
          <w:rPr>
            <w:rStyle w:val="Hyperlink"/>
          </w:rPr>
          <w:t xml:space="preserve">https://doi.org/10.1001/jamanetworkopen.2021.46331</w:t>
        </w:r>
      </w:hyperlink>
      <w:r>
        <w:t xml:space="preserve">.</w:t>
      </w:r>
    </w:p>
    <w:bookmarkEnd w:id="104"/>
    <w:bookmarkStart w:id="106"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105">
        <w:r>
          <w:rPr>
            <w:rStyle w:val="Hyperlink"/>
          </w:rPr>
          <w:t xml:space="preserve">https://doi.org/10.1007/s00787-021-01884-6</w:t>
        </w:r>
      </w:hyperlink>
      <w:r>
        <w:t xml:space="preserve">.</w:t>
      </w:r>
    </w:p>
    <w:bookmarkEnd w:id="106"/>
    <w:bookmarkStart w:id="108"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107">
        <w:r>
          <w:rPr>
            <w:rStyle w:val="Hyperlink"/>
          </w:rPr>
          <w:t xml:space="preserve">https://doi.org/10.1002/da.22328</w:t>
        </w:r>
      </w:hyperlink>
      <w:r>
        <w:t xml:space="preserve">.</w:t>
      </w:r>
    </w:p>
    <w:bookmarkEnd w:id="108"/>
    <w:bookmarkStart w:id="110"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109">
        <w:r>
          <w:rPr>
            <w:rStyle w:val="Hyperlink"/>
          </w:rPr>
          <w:t xml:space="preserve">https://doi.org/10.4324/9780203807002</w:t>
        </w:r>
      </w:hyperlink>
      <w:r>
        <w:t xml:space="preserve">.</w:t>
      </w:r>
    </w:p>
    <w:bookmarkEnd w:id="110"/>
    <w:bookmarkStart w:id="112"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111">
        <w:r>
          <w:rPr>
            <w:rStyle w:val="Hyperlink"/>
          </w:rPr>
          <w:t xml:space="preserve">https://doi.org/10.7326/0003-4819-155-1-201107050-00006</w:t>
        </w:r>
      </w:hyperlink>
      <w:r>
        <w:t xml:space="preserve">.</w:t>
      </w:r>
    </w:p>
    <w:bookmarkEnd w:id="112"/>
    <w:bookmarkStart w:id="114"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113">
        <w:r>
          <w:rPr>
            <w:rStyle w:val="Hyperlink"/>
          </w:rPr>
          <w:t xml:space="preserve">https://doi.org/10.1001/jamapsychiatry.2019.0574</w:t>
        </w:r>
      </w:hyperlink>
      <w:r>
        <w:t xml:space="preserve">.</w:t>
      </w:r>
    </w:p>
    <w:bookmarkEnd w:id="114"/>
    <w:bookmarkStart w:id="116"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115">
        <w:r>
          <w:rPr>
            <w:rStyle w:val="Hyperlink"/>
          </w:rPr>
          <w:t xml:space="preserve">https://doi.org/10.1001/jama.292.7.807</w:t>
        </w:r>
      </w:hyperlink>
      <w:r>
        <w:t xml:space="preserve">.</w:t>
      </w:r>
    </w:p>
    <w:bookmarkEnd w:id="116"/>
    <w:bookmarkStart w:id="117"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117"/>
    <w:bookmarkStart w:id="118"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18"/>
    <w:bookmarkStart w:id="120"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119">
        <w:r>
          <w:rPr>
            <w:rStyle w:val="Hyperlink"/>
          </w:rPr>
          <w:t xml:space="preserve">https://doi.org/10.1186/1471-2288-14-25</w:t>
        </w:r>
      </w:hyperlink>
      <w:r>
        <w:t xml:space="preserve">.</w:t>
      </w:r>
    </w:p>
    <w:bookmarkEnd w:id="120"/>
    <w:bookmarkStart w:id="122"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121">
        <w:r>
          <w:rPr>
            <w:rStyle w:val="Hyperlink"/>
          </w:rPr>
          <w:t xml:space="preserve">https://doi.org/10.1007/s10488-006-0033-7</w:t>
        </w:r>
      </w:hyperlink>
      <w:r>
        <w:t xml:space="preserve">.</w:t>
      </w:r>
    </w:p>
    <w:bookmarkEnd w:id="122"/>
    <w:bookmarkStart w:id="123"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123"/>
    <w:bookmarkStart w:id="125"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124">
        <w:r>
          <w:rPr>
            <w:rStyle w:val="Hyperlink"/>
          </w:rPr>
          <w:t xml:space="preserve">https://doi.org/10.1192/bjp.bp.114.153098</w:t>
        </w:r>
      </w:hyperlink>
      <w:r>
        <w:t xml:space="preserve">.</w:t>
      </w:r>
    </w:p>
    <w:bookmarkEnd w:id="125"/>
    <w:bookmarkStart w:id="127"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26">
        <w:r>
          <w:rPr>
            <w:rStyle w:val="Hyperlink"/>
          </w:rPr>
          <w:t xml:space="preserve">https://doi.org/10.1007/s10578-020-01006-4</w:t>
        </w:r>
      </w:hyperlink>
      <w:r>
        <w:t xml:space="preserve">.</w:t>
      </w:r>
    </w:p>
    <w:bookmarkEnd w:id="127"/>
    <w:bookmarkStart w:id="129"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28">
        <w:r>
          <w:rPr>
            <w:rStyle w:val="Hyperlink"/>
          </w:rPr>
          <w:t xml:space="preserve">https://doi.org/10.1016/j.eclinm.2022.101505</w:t>
        </w:r>
      </w:hyperlink>
      <w:r>
        <w:t xml:space="preserve">.</w:t>
      </w:r>
    </w:p>
    <w:bookmarkEnd w:id="129"/>
    <w:bookmarkStart w:id="131"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30">
        <w:r>
          <w:rPr>
            <w:rStyle w:val="Hyperlink"/>
          </w:rPr>
          <w:t xml:space="preserve">https://doi.org/10.1016/j.brat.2020.103637</w:t>
        </w:r>
      </w:hyperlink>
      <w:r>
        <w:t xml:space="preserve">.</w:t>
      </w:r>
    </w:p>
    <w:bookmarkEnd w:id="131"/>
    <w:bookmarkStart w:id="133"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32">
        <w:r>
          <w:rPr>
            <w:rStyle w:val="Hyperlink"/>
          </w:rPr>
          <w:t xml:space="preserve">https://doi.org/10.4088/JCP.12r07757</w:t>
        </w:r>
      </w:hyperlink>
      <w:r>
        <w:t xml:space="preserve">.</w:t>
      </w:r>
    </w:p>
    <w:bookmarkEnd w:id="133"/>
    <w:bookmarkStart w:id="134" w:name="ref-niceDepressionChildrenYoung2023"/>
    <w:p>
      <w:pPr>
        <w:pStyle w:val="Bibliography"/>
      </w:pPr>
      <w:r>
        <w:t xml:space="preserve">NICE. 2023.</w:t>
      </w:r>
      <w:r>
        <w:t xml:space="preserve"> </w:t>
      </w:r>
      <w:r>
        <w:t xml:space="preserve">“Depression in Children and Young People: Identification and Management.”</w:t>
      </w:r>
    </w:p>
    <w:bookmarkEnd w:id="134"/>
    <w:bookmarkStart w:id="136"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35">
        <w:r>
          <w:rPr>
            <w:rStyle w:val="Hyperlink"/>
          </w:rPr>
          <w:t xml:space="preserve">https://doi.org/10.1002/da.23161</w:t>
        </w:r>
      </w:hyperlink>
      <w:r>
        <w:t xml:space="preserve">.</w:t>
      </w:r>
    </w:p>
    <w:bookmarkEnd w:id="136"/>
    <w:bookmarkStart w:id="138"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37">
        <w:r>
          <w:rPr>
            <w:rStyle w:val="Hyperlink"/>
          </w:rPr>
          <w:t xml:space="preserve">https://doi.org/10.1136/bmj-2021-067606</w:t>
        </w:r>
      </w:hyperlink>
      <w:r>
        <w:t xml:space="preserve">.</w:t>
      </w:r>
    </w:p>
    <w:bookmarkEnd w:id="138"/>
    <w:bookmarkStart w:id="140" w:name="X1115f032eb6705c2f62a0352134079225ad1eee"/>
    <w:p>
      <w:pPr>
        <w:pStyle w:val="Bibliography"/>
      </w:pPr>
      <w:r>
        <w:t xml:space="preserve">the SPIN investigators, Clare Relton, Maarten Burbach, Clive Collett, James Flory, Sophie Gerlich, Soren Holm,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39">
        <w:r>
          <w:rPr>
            <w:rStyle w:val="Hyperlink"/>
          </w:rPr>
          <w:t xml:space="preserve">https://doi.org/10.1186/s13063-017-1961-0</w:t>
        </w:r>
      </w:hyperlink>
      <w:r>
        <w:t xml:space="preserve">.</w:t>
      </w:r>
    </w:p>
    <w:bookmarkEnd w:id="140"/>
    <w:bookmarkStart w:id="142"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41">
        <w:r>
          <w:rPr>
            <w:rStyle w:val="Hyperlink"/>
          </w:rPr>
          <w:t xml:space="preserve">https://doi.org/10.1016/j.jad.2023.10.047</w:t>
        </w:r>
      </w:hyperlink>
      <w:r>
        <w:t xml:space="preserve">.</w:t>
      </w:r>
    </w:p>
    <w:bookmarkEnd w:id="142"/>
    <w:bookmarkStart w:id="144"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43">
        <w:r>
          <w:rPr>
            <w:rStyle w:val="Hyperlink"/>
          </w:rPr>
          <w:t xml:space="preserve">https://doi.org/10.1001/jamapsychiatry.2015.1516</w:t>
        </w:r>
      </w:hyperlink>
      <w:r>
        <w:t xml:space="preserve">.</w:t>
      </w:r>
    </w:p>
    <w:bookmarkEnd w:id="144"/>
    <w:bookmarkStart w:id="146" w:name="X166d2f0bbf74a18bd404c5e0f5ab670bd4946ea"/>
    <w:p>
      <w:pPr>
        <w:pStyle w:val="Bibliography"/>
      </w:pPr>
      <w:r>
        <w:t xml:space="preserve">Young, Jami F., Jessica S. Benas, Christie M. Schueler, Robert Gallop, Jane E. Gillham, and Laura Mufson. 2016.</w:t>
      </w:r>
      <w:r>
        <w:t xml:space="preserve"> </w:t>
      </w:r>
      <w:r>
        <w:t xml:space="preserve">“A</w:t>
      </w:r>
      <w:r>
        <w:t xml:space="preserve"> </w:t>
      </w:r>
      <w:r>
        <w:t xml:space="preserve">Randomized Depression Prevention Trial Comparing Interpersonal Psychotherapy</w:t>
      </w:r>
      <w:r>
        <w:t xml:space="preserve">—</w:t>
      </w:r>
      <w:r>
        <w:t xml:space="preserve">Adolescent Skills Training</w:t>
      </w:r>
      <w:r>
        <w:t xml:space="preserve"> </w:t>
      </w:r>
      <w:r>
        <w:t xml:space="preserve">to</w:t>
      </w:r>
      <w:r>
        <w:t xml:space="preserve"> </w:t>
      </w:r>
      <w:r>
        <w:t xml:space="preserve">Group Counseling</w:t>
      </w:r>
      <w:r>
        <w:t xml:space="preserve"> </w:t>
      </w:r>
      <w:r>
        <w:t xml:space="preserve">in</w:t>
      </w:r>
      <w:r>
        <w:t xml:space="preserve"> </w:t>
      </w:r>
      <w:r>
        <w:t xml:space="preserve">Schools</w:t>
      </w:r>
      <w:r>
        <w:t xml:space="preserve">.”</w:t>
      </w:r>
      <w:r>
        <w:t xml:space="preserve"> </w:t>
      </w:r>
      <w:r>
        <w:rPr>
          <w:iCs/>
          <w:i/>
        </w:rPr>
        <w:t xml:space="preserve">Prevention Science</w:t>
      </w:r>
      <w:r>
        <w:t xml:space="preserve"> </w:t>
      </w:r>
      <w:r>
        <w:t xml:space="preserve">17 (3): 314–24.</w:t>
      </w:r>
      <w:r>
        <w:t xml:space="preserve"> </w:t>
      </w:r>
      <w:hyperlink r:id="rId145">
        <w:r>
          <w:rPr>
            <w:rStyle w:val="Hyperlink"/>
          </w:rPr>
          <w:t xml:space="preserve">https://doi.org/10.1007/s11121-015-0620-5</w:t>
        </w:r>
      </w:hyperlink>
      <w:r>
        <w:t xml:space="preserve">.</w:t>
      </w:r>
    </w:p>
    <w:bookmarkEnd w:id="146"/>
    <w:bookmarkStart w:id="148"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47">
        <w:r>
          <w:rPr>
            <w:rStyle w:val="Hyperlink"/>
          </w:rPr>
          <w:t xml:space="preserve">https://doi.org/10.1016/S2215-0366(20)30137-1</w:t>
        </w:r>
      </w:hyperlink>
      <w:r>
        <w:t xml:space="preserve">.</w:t>
      </w:r>
    </w:p>
    <w:bookmarkEnd w:id="148"/>
    <w:bookmarkEnd w:id="149"/>
    <w:bookmarkEnd w:id="150"/>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1847E4"/>
    <w:rPr>
      <w:rFonts w:ascii="Calibri" w:hAnsi="Calibri"/>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4D3975"/>
    <w:rPr>
      <w:rFonts w:ascii="Calibri" w:hAnsi="Calibri"/>
      <w:b w:val="0"/>
      <w:i/>
      <w:iCs/>
      <w:color w:val="0070C0"/>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65" Target="media/rId65.png" /><Relationship Type="http://schemas.openxmlformats.org/officeDocument/2006/relationships/image" Id="rId81" Target="media/rId81.png" /><Relationship Type="http://schemas.openxmlformats.org/officeDocument/2006/relationships/image" Id="rId88" Target="media/rId88.png" /><Relationship Type="http://schemas.openxmlformats.org/officeDocument/2006/relationships/image" Id="rId55" Target="media/rId55.png" /><Relationship Type="http://schemas.openxmlformats.org/officeDocument/2006/relationships/hyperlink" Id="rId115" Target="https://doi.org/10.1001/jama.292.7.807" TargetMode="External" /><Relationship Type="http://schemas.openxmlformats.org/officeDocument/2006/relationships/hyperlink" Id="rId103" Target="https://doi.org/10.1001/jamanetworkopen.2021.46331" TargetMode="External" /><Relationship Type="http://schemas.openxmlformats.org/officeDocument/2006/relationships/hyperlink" Id="rId143" Target="https://doi.org/10.1001/jamapsychiatry.2015.1516" TargetMode="External" /><Relationship Type="http://schemas.openxmlformats.org/officeDocument/2006/relationships/hyperlink" Id="rId113" Target="https://doi.org/10.1001/jamapsychiatry.2019.0574" TargetMode="External" /><Relationship Type="http://schemas.openxmlformats.org/officeDocument/2006/relationships/hyperlink" Id="rId107" Target="https://doi.org/10.1002/da.22328" TargetMode="External" /><Relationship Type="http://schemas.openxmlformats.org/officeDocument/2006/relationships/hyperlink" Id="rId135" Target="https://doi.org/10.1002/da.23161" TargetMode="External" /><Relationship Type="http://schemas.openxmlformats.org/officeDocument/2006/relationships/hyperlink" Id="rId101" Target="https://doi.org/10.1002/jclp.20754" TargetMode="External" /><Relationship Type="http://schemas.openxmlformats.org/officeDocument/2006/relationships/hyperlink" Id="rId105" Target="https://doi.org/10.1007/s00787-021-01884-6" TargetMode="External" /><Relationship Type="http://schemas.openxmlformats.org/officeDocument/2006/relationships/hyperlink" Id="rId121" Target="https://doi.org/10.1007/s10488-006-0033-7" TargetMode="External" /><Relationship Type="http://schemas.openxmlformats.org/officeDocument/2006/relationships/hyperlink" Id="rId126" Target="https://doi.org/10.1007/s10578-020-01006-4" TargetMode="External" /><Relationship Type="http://schemas.openxmlformats.org/officeDocument/2006/relationships/hyperlink" Id="rId145" Target="https://doi.org/10.1007/s11121-015-0620-5" TargetMode="External" /><Relationship Type="http://schemas.openxmlformats.org/officeDocument/2006/relationships/hyperlink" Id="rId99" Target="https://doi.org/10.1016/S0140-6736(16)30385-3" TargetMode="External" /><Relationship Type="http://schemas.openxmlformats.org/officeDocument/2006/relationships/hyperlink" Id="rId147" Target="https://doi.org/10.1016/S2215-0366(20)30137-1" TargetMode="External" /><Relationship Type="http://schemas.openxmlformats.org/officeDocument/2006/relationships/hyperlink" Id="rId130" Target="https://doi.org/10.1016/j.brat.2020.103637" TargetMode="External" /><Relationship Type="http://schemas.openxmlformats.org/officeDocument/2006/relationships/hyperlink" Id="rId128" Target="https://doi.org/10.1016/j.eclinm.2022.101505" TargetMode="External" /><Relationship Type="http://schemas.openxmlformats.org/officeDocument/2006/relationships/hyperlink" Id="rId96" Target="https://doi.org/10.1016/j.jaac.2014.04.004" TargetMode="External" /><Relationship Type="http://schemas.openxmlformats.org/officeDocument/2006/relationships/hyperlink" Id="rId141" Target="https://doi.org/10.1016/j.jad.2023.10.047" TargetMode="External" /><Relationship Type="http://schemas.openxmlformats.org/officeDocument/2006/relationships/hyperlink" Id="rId137" Target="https://doi.org/10.1136/bmj-2021-067606" TargetMode="External" /><Relationship Type="http://schemas.openxmlformats.org/officeDocument/2006/relationships/hyperlink" Id="rId94" Target="https://doi.org/10.1176/appi.ajp.2008.08020247" TargetMode="External" /><Relationship Type="http://schemas.openxmlformats.org/officeDocument/2006/relationships/hyperlink" Id="rId119" Target="https://doi.org/10.1186/1471-2288-14-25" TargetMode="External" /><Relationship Type="http://schemas.openxmlformats.org/officeDocument/2006/relationships/hyperlink" Id="rId139" Target="https://doi.org/10.1186/s13063-017-1961-0" TargetMode="External" /><Relationship Type="http://schemas.openxmlformats.org/officeDocument/2006/relationships/hyperlink" Id="rId124" Target="https://doi.org/10.1192/bjp.bp.114.153098" TargetMode="External" /><Relationship Type="http://schemas.openxmlformats.org/officeDocument/2006/relationships/hyperlink" Id="rId132" Target="https://doi.org/10.4088/JCP.12r07757" TargetMode="External" /><Relationship Type="http://schemas.openxmlformats.org/officeDocument/2006/relationships/hyperlink" Id="rId109" Target="https://doi.org/10.4324/9780203807002" TargetMode="External" /><Relationship Type="http://schemas.openxmlformats.org/officeDocument/2006/relationships/hyperlink" Id="rId111" Target="https://doi.org/10.7326/0003-4819-155-1-201107050-00006" TargetMode="External" /><Relationship Type="http://schemas.openxmlformats.org/officeDocument/2006/relationships/hyperlink" Id="rId32" Target="https://github.com/transatlantic-comppsych/apples_oranges" TargetMode="External" /><Relationship Type="http://schemas.openxmlformats.org/officeDocument/2006/relationships/hyperlink" Id="rId22"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01/jama.292.7.807" TargetMode="External" /><Relationship Type="http://schemas.openxmlformats.org/officeDocument/2006/relationships/hyperlink" Id="rId103" Target="https://doi.org/10.1001/jamanetworkopen.2021.46331" TargetMode="External" /><Relationship Type="http://schemas.openxmlformats.org/officeDocument/2006/relationships/hyperlink" Id="rId143" Target="https://doi.org/10.1001/jamapsychiatry.2015.1516" TargetMode="External" /><Relationship Type="http://schemas.openxmlformats.org/officeDocument/2006/relationships/hyperlink" Id="rId113" Target="https://doi.org/10.1001/jamapsychiatry.2019.0574" TargetMode="External" /><Relationship Type="http://schemas.openxmlformats.org/officeDocument/2006/relationships/hyperlink" Id="rId107" Target="https://doi.org/10.1002/da.22328" TargetMode="External" /><Relationship Type="http://schemas.openxmlformats.org/officeDocument/2006/relationships/hyperlink" Id="rId135" Target="https://doi.org/10.1002/da.23161" TargetMode="External" /><Relationship Type="http://schemas.openxmlformats.org/officeDocument/2006/relationships/hyperlink" Id="rId101" Target="https://doi.org/10.1002/jclp.20754" TargetMode="External" /><Relationship Type="http://schemas.openxmlformats.org/officeDocument/2006/relationships/hyperlink" Id="rId105" Target="https://doi.org/10.1007/s00787-021-01884-6" TargetMode="External" /><Relationship Type="http://schemas.openxmlformats.org/officeDocument/2006/relationships/hyperlink" Id="rId121" Target="https://doi.org/10.1007/s10488-006-0033-7" TargetMode="External" /><Relationship Type="http://schemas.openxmlformats.org/officeDocument/2006/relationships/hyperlink" Id="rId126" Target="https://doi.org/10.1007/s10578-020-01006-4" TargetMode="External" /><Relationship Type="http://schemas.openxmlformats.org/officeDocument/2006/relationships/hyperlink" Id="rId145" Target="https://doi.org/10.1007/s11121-015-0620-5" TargetMode="External" /><Relationship Type="http://schemas.openxmlformats.org/officeDocument/2006/relationships/hyperlink" Id="rId99" Target="https://doi.org/10.1016/S0140-6736(16)30385-3" TargetMode="External" /><Relationship Type="http://schemas.openxmlformats.org/officeDocument/2006/relationships/hyperlink" Id="rId147" Target="https://doi.org/10.1016/S2215-0366(20)30137-1" TargetMode="External" /><Relationship Type="http://schemas.openxmlformats.org/officeDocument/2006/relationships/hyperlink" Id="rId130" Target="https://doi.org/10.1016/j.brat.2020.103637" TargetMode="External" /><Relationship Type="http://schemas.openxmlformats.org/officeDocument/2006/relationships/hyperlink" Id="rId128" Target="https://doi.org/10.1016/j.eclinm.2022.101505" TargetMode="External" /><Relationship Type="http://schemas.openxmlformats.org/officeDocument/2006/relationships/hyperlink" Id="rId96" Target="https://doi.org/10.1016/j.jaac.2014.04.004" TargetMode="External" /><Relationship Type="http://schemas.openxmlformats.org/officeDocument/2006/relationships/hyperlink" Id="rId141" Target="https://doi.org/10.1016/j.jad.2023.10.047" TargetMode="External" /><Relationship Type="http://schemas.openxmlformats.org/officeDocument/2006/relationships/hyperlink" Id="rId137" Target="https://doi.org/10.1136/bmj-2021-067606" TargetMode="External" /><Relationship Type="http://schemas.openxmlformats.org/officeDocument/2006/relationships/hyperlink" Id="rId94" Target="https://doi.org/10.1176/appi.ajp.2008.08020247" TargetMode="External" /><Relationship Type="http://schemas.openxmlformats.org/officeDocument/2006/relationships/hyperlink" Id="rId119" Target="https://doi.org/10.1186/1471-2288-14-25" TargetMode="External" /><Relationship Type="http://schemas.openxmlformats.org/officeDocument/2006/relationships/hyperlink" Id="rId139" Target="https://doi.org/10.1186/s13063-017-1961-0" TargetMode="External" /><Relationship Type="http://schemas.openxmlformats.org/officeDocument/2006/relationships/hyperlink" Id="rId124" Target="https://doi.org/10.1192/bjp.bp.114.153098" TargetMode="External" /><Relationship Type="http://schemas.openxmlformats.org/officeDocument/2006/relationships/hyperlink" Id="rId132" Target="https://doi.org/10.4088/JCP.12r07757" TargetMode="External" /><Relationship Type="http://schemas.openxmlformats.org/officeDocument/2006/relationships/hyperlink" Id="rId109" Target="https://doi.org/10.4324/9780203807002" TargetMode="External" /><Relationship Type="http://schemas.openxmlformats.org/officeDocument/2006/relationships/hyperlink" Id="rId111" Target="https://doi.org/10.7326/0003-4819-155-1-201107050-00006" TargetMode="External" /><Relationship Type="http://schemas.openxmlformats.org/officeDocument/2006/relationships/hyperlink" Id="rId32" Target="https://github.com/transatlantic-comppsych/apples_oranges" TargetMode="External" /><Relationship Type="http://schemas.openxmlformats.org/officeDocument/2006/relationships/hyperlink" Id="rId22"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Child and Adolescent Depression Treatments</dc:title>
  <dc:creator>Argyris Stringaris; Charlotte Burman; Rudolf Uher; Dayna Bhudia; Despoina Miliou; Ioannis-Marios Rokas; Marinos Kyriakopoulos; Lucy Foulkes; Carmen Moreno; Samuele Cortese; Georgina Krebs</dc:creator>
  <cp:keywords>depression, adolescents, antidepressants, psychotherapy</cp:keywords>
  <dcterms:created xsi:type="dcterms:W3CDTF">2024-04-26T13:15:06Z</dcterms:created>
  <dcterms:modified xsi:type="dcterms:W3CDTF">2024-04-26T13:15:06Z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2024-04-26</vt:lpwstr>
  </property>
  <property fmtid="{D5CDD505-2E9C-101B-9397-08002B2CF9AE}" pid="9" name="editor">
    <vt:lpwstr>visual</vt:lpwstr>
  </property>
  <property fmtid="{D5CDD505-2E9C-101B-9397-08002B2CF9AE}" pid="10" name="fig-cap-location">
    <vt:lpwstr>top</vt:lpwstr>
  </property>
  <property fmtid="{D5CDD505-2E9C-101B-9397-08002B2CF9AE}" pid="11" name="fig_caption">
    <vt:lpwstr>yes</vt:lpwstr>
  </property>
  <property fmtid="{D5CDD505-2E9C-101B-9397-08002B2CF9AE}" pid="12" name="fon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umer-sections">
    <vt:lpwstr>True</vt:lpwstr>
  </property>
  <property fmtid="{D5CDD505-2E9C-101B-9397-08002B2CF9AE}" pid="18" name="subtitle">
    <vt:lpwstr>A Quantitative Reappraisal of the Evidence Base</vt:lpwstr>
  </property>
  <property fmtid="{D5CDD505-2E9C-101B-9397-08002B2CF9AE}" pid="19" name="tbl_align">
    <vt:lpwstr>left</vt:lpwstr>
  </property>
  <property fmtid="{D5CDD505-2E9C-101B-9397-08002B2CF9AE}" pid="20" name="tbl_caption">
    <vt:lpwstr>yes</vt:lpwstr>
  </property>
  <property fmtid="{D5CDD505-2E9C-101B-9397-08002B2CF9AE}" pid="21" name="toc-title">
    <vt:lpwstr>Table of contents</vt:lpwstr>
  </property>
</Properties>
</file>