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71.png" ContentType="image/png"/>
  <Override PartName="/word/media/rId67.png" ContentType="image/png"/>
  <Override PartName="/word/media/rId75.png" ContentType="image/png"/>
  <Override PartName="/word/media/rId63.png" ContentType="image/png"/>
  <Override PartName="/word/media/rId79.png" ContentType="image/png"/>
  <Override PartName="/word/media/rId86.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2024-04-23</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and medication. Where does one turn to find the evidence that will inform their treatment options? This question is relevant for patients and their carers, for clinicians and for policy makers.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Health and Care Excellence (NICE) have produced for adolescent depression, are a principal source of such information. NICE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depression in the following ways. First, we compare key baseline characteristics of medication vs psychotherapy trials, specifically the extent to which they are comparable in a) baseline severity of depression; b) percentage females vs males; c) mean age; and d) number of sites involved. Second, we determine the standardised mean differences of psychotherapy controls vs medication controls using random effects metanalysis. Third, we examine the quality of psychotherapy control conditions by scrutinising the extent to which they are matched to the active intervention in ways such as number or frequency of sessions, and therefore, whether they represent fair pairings from which to draw valid efficacy inferences.</w:t>
      </w:r>
    </w:p>
    <w:bookmarkEnd w:id="21"/>
    <w:bookmarkStart w:id="30"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 In Supplement X we outline deviations from this pre-registered protocol.</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to ensure we analysed an equivalently up-to-date database of medication trials. Please see the Supplementary Materials for further details.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3"/>
    <w:bookmarkStart w:id="29" w:name="statistical-analysis"/>
    <w:p>
      <w:pPr>
        <w:pStyle w:val="Heading2"/>
      </w:pPr>
      <w:r>
        <w:t xml:space="preserve">Statistical Analysis</w:t>
      </w:r>
    </w:p>
    <w:p>
      <w:pPr>
        <w:pStyle w:val="FirstParagraph"/>
      </w:pPr>
      <w:r>
        <w:t xml:space="preserve">Please refer to the Supplementary Materials for a detailed description of our analyses including the formalisms on which they are based.</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sex, age, and severity of depressive symptoms at baseline. Meta-analyses were implemented using R’s Meta package.</w:t>
      </w:r>
    </w:p>
    <w:p>
      <w:pPr>
        <w:pStyle w:val="BodyText"/>
      </w:pPr>
      <w:r>
        <w:t xml:space="preserve">We also conducted a t-test to compare mean number of trial sites between psychotherapy and medication trials.</w:t>
      </w:r>
    </w:p>
    <w:bookmarkEnd w:id="24"/>
    <w:bookmarkStart w:id="25" w:name="measures-of-effect"/>
    <w:p>
      <w:pPr>
        <w:pStyle w:val="Heading3"/>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 as detailed in the Supplementary Materials.</w:t>
      </w:r>
    </w:p>
    <w:p>
      <w:pPr>
        <w:pStyle w:val="BodyText"/>
      </w:pPr>
      <w:r>
        <w:t xml:space="preserve">For the purposes of metanalysis, it is necessary to estimate a standard error of the SMD. This requires a correlation between the pre- and post-measures, an effect typically not reported. To ensure that our results are not biased by misestimation we simulated n = 1000 datasets for different ranges (0.45 to 0.9) of this correlation and used these datasets in the subsequent analyses (please refer to Supplement for full details).</w:t>
      </w:r>
    </w:p>
    <w:bookmarkEnd w:id="25"/>
    <w:bookmarkStart w:id="26"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Start w:id="27"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that used waitlist as their control condition and 2) studies which recruited participants with subclinical levels of depression.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bookmarkEnd w:id="27"/>
    <w:bookmarkStart w:id="28"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8"/>
    <w:bookmarkEnd w:id="29"/>
    <w:bookmarkEnd w:id="30"/>
    <w:bookmarkStart w:id="52" w:name="results"/>
    <w:p>
      <w:pPr>
        <w:pStyle w:val="Heading1"/>
      </w:pPr>
      <w:r>
        <w:t xml:space="preserve">Results</w:t>
      </w:r>
    </w:p>
    <w:bookmarkStart w:id="32"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1">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antidepressant trials; and 55 active arms and 52 control arms from psychotherapy RCTs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Supplementary Table 1.</w:t>
      </w:r>
    </w:p>
    <w:bookmarkEnd w:id="32"/>
    <w:bookmarkStart w:id="37" w:name="X68d41498a8b8ad7c92b8a6aa186bc2d3cf17e8e"/>
    <w:p>
      <w:pPr>
        <w:pStyle w:val="Heading2"/>
      </w:pPr>
      <w:r>
        <w:t xml:space="preserve">Sample characteristics at baseline in medication versus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33" w:name="tbl-baseline_results"/>
          <w:p>
            <w:pPr>
              <w:jc w:val="center"/>
            </w:pPr>
            <w:pPr>
              <w:jc w:val="start"/>
              <w:spacing w:before="200"/>
              <w:pStyle w:val="ImageCaption"/>
            </w:pPr>
            <w:r>
              <w:t xml:space="preserve">Table 1: Sample characteristics at baseline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60"/>
              <w:gridCol w:w="655"/>
              <w:gridCol w:w="961"/>
              <w:gridCol w:w="839"/>
              <w:gridCol w:w="1291"/>
              <w:gridCol w:w="1291"/>
              <w:gridCol w:w="1084"/>
              <w:gridCol w:w="1132"/>
            </w:tblGrid>
            <w:tr>
              <w:trPr>
                <w:trHeight w:val="617"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74"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74"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33"/>
        </w:tc>
      </w:tr>
    </w:tbl>
    <w:bookmarkStart w:id="34"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w:t>
      </w:r>
      <w:r>
        <w:t xml:space="preserve"> </w:t>
      </w:r>
      <w:hyperlink w:anchor="tbl-baseline_results">
        <w:r>
          <w:rPr>
            <w:rStyle w:val="Hyperlink"/>
          </w:rPr>
          <w:t xml:space="preserve">Table 1</w:t>
        </w:r>
      </w:hyperlink>
      <w:r>
        <w:t xml:space="preserve"> </w:t>
      </w:r>
      <w:r>
        <w:t xml:space="preserve">are baseline depression scores transformed to reflect percentage of a scale range. To take an example, the CDRS gives a possible total score from 17 to 113 (i.e. range of 96). From</w:t>
      </w:r>
      <w:r>
        <w:t xml:space="preserve"> </w:t>
      </w:r>
      <w:hyperlink w:anchor="tbl-baseline_results">
        <w:r>
          <w:rPr>
            <w:rStyle w:val="Hyperlink"/>
          </w:rPr>
          <w:t xml:space="preserve">Table 1</w:t>
        </w:r>
      </w:hyperlink>
      <w:r>
        <w:t xml:space="preserve">,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4"/>
    <w:bookmarkStart w:id="35" w:name="sex"/>
    <w:p>
      <w:pPr>
        <w:pStyle w:val="Heading3"/>
      </w:pPr>
      <w:r>
        <w:t xml:space="preserve">Sex</w:t>
      </w:r>
    </w:p>
    <w:p>
      <w:pPr>
        <w:pStyle w:val="FirstParagraph"/>
      </w:pPr>
      <w:r>
        <w:t xml:space="preserve">For this analysis, we excluded the two psychotherapy trials which included entirely female samples.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5"/>
    <w:bookmarkStart w:id="36"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6"/>
    <w:bookmarkEnd w:id="37"/>
    <w:bookmarkStart w:id="39" w:name="number-of-trial-sites"/>
    <w:p>
      <w:pPr>
        <w:pStyle w:val="Heading2"/>
      </w:pPr>
      <w:r>
        <w:t xml:space="preserve">Number of trial sites</w:t>
      </w:r>
    </w:p>
    <w:tbl>
      <w:tblPr>
        <w:tblStyle w:val="Table"/>
        <w:tblW w:type="pct" w:w="5000"/>
        <w:tblLook w:firstRow="0" w:lastRow="0" w:firstColumn="0" w:lastColumn="0" w:noHBand="0" w:noVBand="0" w:val="0000"/>
        <w:jc w:val="start"/>
        <w:tblLayout w:type="fixed"/>
      </w:tblPr>
      <w:tblGrid>
        <w:gridCol w:w="7920"/>
      </w:tblGrid>
      <w:tr>
        <w:tc>
          <w:tcPr/>
          <w:bookmarkStart w:id="38" w:name="tbl-sites-summary"/>
          <w:p>
            <w:pPr>
              <w:jc w:val="center"/>
            </w:pPr>
            <w:pPr>
              <w:jc w:val="start"/>
              <w:spacing w:before="200"/>
              <w:pStyle w:val="ImageCaption"/>
            </w:pPr>
            <w:r>
              <w:t xml:space="preserve">Table 2: Number of sites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38"/>
        </w:tc>
      </w:tr>
    </w:tbl>
    <w:p>
      <w:pPr>
        <w:pStyle w:val="BodyText"/>
      </w:pPr>
      <w:r>
        <w:t xml:space="preserve">There was a significant difference between the number of sites in medication versus psychotherapy trials, as can be seen in</w:t>
      </w:r>
      <w:r>
        <w:t xml:space="preserve"> </w:t>
      </w:r>
      <w:hyperlink w:anchor="tbl-sites-summary">
        <w:r>
          <w:rPr>
            <w:rStyle w:val="Hyperlink"/>
          </w:rPr>
          <w:t xml:space="preserve">Table 2</w:t>
        </w:r>
      </w:hyperlink>
      <w:r>
        <w:t xml:space="preserve">.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39"/>
    <w:bookmarkStart w:id="48"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arms.</w:t>
      </w:r>
    </w:p>
    <w:p>
      <w:pPr>
        <w:pStyle w:val="BodyText"/>
      </w:pPr>
      <w:r>
        <w:t xml:space="preserve">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w:t>
      </w:r>
      <w:r>
        <w:t xml:space="preserve"> </w:t>
      </w:r>
      <w:hyperlink w:anchor="tbl-coefs-overall">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1" name="Picture"/>
                  <a:graphic>
                    <a:graphicData uri="http://schemas.openxmlformats.org/drawingml/2006/picture">
                      <pic:pic>
                        <pic:nvPicPr>
                          <pic:cNvPr descr="Manuscript_for_rendering_in_word_files/figure-docx/fig-plot-means-all-1.png" id="42" name="Picture"/>
                          <pic:cNvPicPr>
                            <a:picLocks noChangeArrowheads="1" noChangeAspect="1"/>
                          </pic:cNvPicPr>
                        </pic:nvPicPr>
                        <pic:blipFill>
                          <a:blip r:embed="rId40"/>
                          <a:stretch>
                            <a:fillRect/>
                          </a:stretch>
                        </pic:blipFill>
                        <pic:spPr bwMode="auto">
                          <a:xfrm>
                            <a:off x="0" y="0"/>
                            <a:ext cx="5943600" cy="4622800"/>
                          </a:xfrm>
                          <a:prstGeom prst="rect">
                            <a:avLst/>
                          </a:prstGeom>
                          <a:noFill/>
                          <a:ln w="9525">
                            <a:noFill/>
                            <a:headEnd/>
                            <a:tailEnd/>
                          </a:ln>
                        </pic:spPr>
                      </pic:pic>
                    </a:graphicData>
                  </a:graphic>
                </wp:inline>
              </w:drawing>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4" w:name="tbl-coefs-overall"/>
          <w:p>
            <w:pPr>
              <w:jc w:val="center"/>
            </w:pPr>
            <w:pPr>
              <w:jc w:val="start"/>
              <w:spacing w:before="200"/>
              <w:pStyle w:val="ImageCaption"/>
            </w:pPr>
            <w:r>
              <w:t xml:space="preserve">Table 3: Summary statistics of the estimated SMDs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bookmarkEnd w:id="44"/>
        </w:tc>
      </w:tr>
    </w:tbl>
    <w:p>
      <w:pPr>
        <w:pStyle w:val="BodyText"/>
      </w:pPr>
      <w:r>
        <w:t xml:space="preserve">In</w:t>
      </w:r>
      <w:r>
        <w:t xml:space="preserve"> </w:t>
      </w:r>
      <w:hyperlink w:anchor="tbl-results-overall">
        <w:r>
          <w:rPr>
            <w:rStyle w:val="Hyperlink"/>
          </w:rPr>
          <w:t xml:space="preserve">Table 4</w:t>
        </w:r>
      </w:hyperlink>
      <w:r>
        <w:t xml:space="preserve">,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w:tblPr>
        <w:tblStyle w:val="Table"/>
        <w:tblW w:type="pct" w:w="5000"/>
        <w:tblLook w:firstRow="0" w:lastRow="0" w:firstColumn="0" w:lastColumn="0" w:noHBand="0" w:noVBand="0" w:val="0000"/>
        <w:jc w:val="start"/>
        <w:tblLayout w:type="fixed"/>
      </w:tblPr>
      <w:tblGrid>
        <w:gridCol w:w="7920"/>
      </w:tblGrid>
      <w:tr>
        <w:tc>
          <w:tcPr/>
          <w:bookmarkStart w:id="45" w:name="tbl-results-overall"/>
          <w:p>
            <w:pPr>
              <w:jc w:val="center"/>
            </w:pPr>
            <w:pPr>
              <w:jc w:val="start"/>
              <w:spacing w:before="200"/>
              <w:pStyle w:val="ImageCaption"/>
            </w:pPr>
            <w:r>
              <w:t xml:space="preserve">Table 4: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5"/>
        </w:tc>
      </w:tr>
    </w:tbl>
    <w:bookmarkStart w:id="46" w:name="sensitivity-analyses-1"/>
    <w:p>
      <w:pPr>
        <w:pStyle w:val="Heading4"/>
      </w:pPr>
      <w:r>
        <w:t xml:space="preserve">Sensitivity analyses</w:t>
      </w:r>
    </w:p>
    <w:p>
      <w:pPr>
        <w:pStyle w:val="FirstParagraph"/>
      </w:pPr>
      <w:r>
        <w:t xml:space="preserve">We then conducted a series of sensitivity analyses of our results. First, we analysed the data after excluding waitlist control studies. As can be seen in</w:t>
      </w:r>
      <w:r>
        <w:t xml:space="preserve"> </w:t>
      </w:r>
      <w:hyperlink w:anchor="fig-plot-means-no-wl">
        <w:r>
          <w:rPr>
            <w:rStyle w:val="Hyperlink"/>
          </w:rPr>
          <w:t xml:space="preserve">Figure 3</w:t>
        </w:r>
      </w:hyperlink>
      <w:r>
        <w:t xml:space="preserve"> </w:t>
      </w:r>
      <w:r>
        <w:t xml:space="preserve">(see Supplementary Materials), the pattern of results is very similar to that of the overall analyses.</w:t>
      </w:r>
    </w:p>
    <w:p>
      <w:pPr>
        <w:pStyle w:val="BodyText"/>
      </w:pPr>
      <w:r>
        <w:t xml:space="preserve">We next analysed the data after excluding sub-clinical studies. Again, the pattern of results was very similar to that of the overall analyses (see</w:t>
      </w:r>
      <w:r>
        <w:t xml:space="preserve"> </w:t>
      </w:r>
      <w:hyperlink w:anchor="fig-plot-means-clin">
        <w:r>
          <w:rPr>
            <w:rStyle w:val="Hyperlink"/>
          </w:rPr>
          <w:t xml:space="preserve">Figure 4</w:t>
        </w:r>
      </w:hyperlink>
      <w:r>
        <w:t xml:space="preserve"> </w:t>
      </w:r>
      <w:r>
        <w:t xml:space="preserve">in Supplementary Materials).</w:t>
      </w:r>
    </w:p>
    <w:p>
      <w:pPr>
        <w:pStyle w:val="BodyText"/>
      </w:pPr>
      <w:r>
        <w:t xml:space="preserve">Next, we examined the data including only those studies that used the CDRS (see</w:t>
      </w:r>
      <w:r>
        <w:t xml:space="preserve"> </w:t>
      </w:r>
      <w:hyperlink w:anchor="fig-plot-means-cdrs">
        <w:r>
          <w:rPr>
            <w:rStyle w:val="Hyperlink"/>
          </w:rPr>
          <w:t xml:space="preserve">Figure 5</w:t>
        </w:r>
      </w:hyperlink>
      <w:r>
        <w:t xml:space="preserve"> </w:t>
      </w:r>
      <w:r>
        <w:t xml:space="preserve">in Supplementary Materials). Medication control and psychotherapy control conditions remained significantly different, however the small number of psychotherapy studies using the CDRS resulted in less precise metanalytic estimates of within-group changes.</w:t>
      </w:r>
    </w:p>
    <w:p>
      <w:pPr>
        <w:pStyle w:val="BodyText"/>
      </w:pPr>
      <w:r>
        <w:t xml:space="preserve">Similarly, when we examined the data including only those studies that used the HAM-D (see</w:t>
      </w:r>
      <w:r>
        <w:t xml:space="preserve"> </w:t>
      </w:r>
      <w:hyperlink w:anchor="fig-plot-means-hamd">
        <w:r>
          <w:rPr>
            <w:rStyle w:val="Hyperlink"/>
          </w:rPr>
          <w:t xml:space="preserve">Figure 6</w:t>
        </w:r>
      </w:hyperlink>
      <w:r>
        <w:t xml:space="preserve"> </w:t>
      </w:r>
      <w:r>
        <w:t xml:space="preserve">in Supplementary Materials), medication control and psychotherapy control conditions remained significantly different though the small number of medication studies using the HAM-D resulted in less precise metanalytic estimates of within-group changes.</w:t>
      </w:r>
    </w:p>
    <w:p>
      <w:pPr>
        <w:pStyle w:val="BodyText"/>
      </w:pPr>
      <w:r>
        <w:t xml:space="preserve">Further, we showed with our simulations that the effects of different values for the pre-post measures has minimal effect on the estimated outcomes; please refer to</w:t>
      </w:r>
      <w:r>
        <w:t xml:space="preserve"> </w:t>
      </w:r>
      <w:hyperlink w:anchor="fig-stab-sims">
        <w:r>
          <w:rPr>
            <w:rStyle w:val="Hyperlink"/>
          </w:rPr>
          <w:t xml:space="preserve">Figure 7</w:t>
        </w:r>
      </w:hyperlink>
      <w:r>
        <w:t xml:space="preserve"> </w:t>
      </w:r>
      <w:r>
        <w:t xml:space="preserve">in the Supplement.</w:t>
      </w:r>
    </w:p>
    <w:bookmarkEnd w:id="46"/>
    <w:bookmarkStart w:id="47" w:name="addressing-regression-to-the-mean"/>
    <w:p>
      <w:pPr>
        <w:pStyle w:val="Heading4"/>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w:t>
      </w:r>
      <w:r>
        <w:t xml:space="preserve"> </w:t>
      </w:r>
      <w:hyperlink w:anchor="tbl-cdrs-baseline">
        <w:r>
          <w:rPr>
            <w:rStyle w:val="Hyperlink"/>
          </w:rPr>
          <w:t xml:space="preserve">Table 7</w:t>
        </w:r>
      </w:hyperlink>
      <w:r>
        <w:t xml:space="preserve"> </w:t>
      </w:r>
      <w:r>
        <w:t xml:space="preserve">and</w:t>
      </w:r>
      <w:r>
        <w:t xml:space="preserve"> </w:t>
      </w:r>
      <w:hyperlink w:anchor="tbl-hamd-baseline">
        <w:r>
          <w:rPr>
            <w:rStyle w:val="Hyperlink"/>
          </w:rPr>
          <w:t xml:space="preserve">Table 8</w:t>
        </w:r>
      </w:hyperlink>
      <w:r>
        <w:t xml:space="preserve"> </w:t>
      </w:r>
      <w:r>
        <w:t xml:space="preserve">(see Supplementary Materials), the baseline scores in medication studies were on average substantially higher for the CDRS and the HAM-D. The differences between medication control and psychotherapy control arms were significant at p&lt;0.05 for the CDRS, though they did not reach statistical significance for the HAM-D (p = 0.032).</w:t>
      </w:r>
    </w:p>
    <w:p>
      <w:pPr>
        <w:pStyle w:val="BodyText"/>
      </w:pPr>
      <w:r>
        <w:t xml:space="preserve">We next addressed potential regression to the mean by residualising SMDs by the percentage adjusted baseline scores in one regression model (see</w:t>
      </w:r>
      <w:r>
        <w:t xml:space="preserve"> </w:t>
      </w:r>
      <w:hyperlink w:anchor="tbl-adj-smds">
        <w:r>
          <w:rPr>
            <w:rStyle w:val="Hyperlink"/>
          </w:rPr>
          <w:t xml:space="preserve">Table 9</w:t>
        </w:r>
      </w:hyperlink>
      <w:r>
        <w:t xml:space="preserve"> </w:t>
      </w:r>
      <w:r>
        <w:t xml:space="preserve">in the Supplementary Materials for the adjusted SMDs with their confidence intervals). As can be inferred from the non-overlapping confidence intervals, there were significant differences between the medication control and psychotherapy control arms.</w:t>
      </w:r>
    </w:p>
    <w:bookmarkEnd w:id="47"/>
    <w:bookmarkEnd w:id="48"/>
    <w:bookmarkStart w:id="51"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49" w:name="tbl-intensity-of-int"/>
          <w:p>
            <w:pPr>
              <w:jc w:val="center"/>
            </w:pPr>
            <w:pPr>
              <w:jc w:val="start"/>
              <w:spacing w:before="200"/>
              <w:pStyle w:val="ImageCaption"/>
            </w:pPr>
            <w:r>
              <w:t xml:space="preserve">Table 5: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t-tests-intensity"/>
          <w:p>
            <w:pPr>
              <w:jc w:val="center"/>
            </w:pPr>
            <w:pPr>
              <w:jc w:val="start"/>
              <w:spacing w:before="200"/>
              <w:pStyle w:val="ImageCaption"/>
            </w:pPr>
            <w:r>
              <w:t xml:space="preserve">Table 6: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bookmarkEnd w:id="50"/>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5</w:t>
        </w:r>
      </w:hyperlink>
      <w:r>
        <w:t xml:space="preserve"> </w:t>
      </w:r>
      <w:r>
        <w:t xml:space="preserve">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bookmarkEnd w:id="51"/>
    <w:bookmarkEnd w:id="52"/>
    <w:bookmarkStart w:id="53"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3"/>
    <w:bookmarkStart w:id="91" w:name="supplementary-materials"/>
    <w:p>
      <w:pPr>
        <w:pStyle w:val="Heading1"/>
      </w:pPr>
      <w:r>
        <w:t xml:space="preserve">Supplementary Materials</w:t>
      </w:r>
    </w:p>
    <w:bookmarkStart w:id="58" w:name="systematic-review"/>
    <w:p>
      <w:pPr>
        <w:pStyle w:val="Heading2"/>
      </w:pPr>
      <w:r>
        <w:t xml:space="preserve">Systematic review</w:t>
      </w:r>
    </w:p>
    <w:p>
      <w:pPr>
        <w:pStyle w:val="FirstParagraph"/>
      </w:pPr>
      <w:r>
        <w:t xml:space="preserve">We conducted a systematic search for medication studies published from 31 May 2015 up to 1 Jan 2021 (i.e. after the final search date of Cipriani’s (2016) review up to the final search date of Cuijpers et al’s (2023)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 We used Covidence, an online software tool, to manage our systematic review.</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7"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5" name="Picture"/>
                  <a:graphic>
                    <a:graphicData uri="http://schemas.openxmlformats.org/drawingml/2006/picture">
                      <pic:pic>
                        <pic:nvPicPr>
                          <pic:cNvPr descr="PRISMA.png" id="56" name="Picture"/>
                          <pic:cNvPicPr>
                            <a:picLocks noChangeArrowheads="1" noChangeAspect="1"/>
                          </pic:cNvPicPr>
                        </pic:nvPicPr>
                        <pic:blipFill>
                          <a:blip r:embed="rId54"/>
                          <a:stretch>
                            <a:fillRect/>
                          </a:stretch>
                        </pic:blipFill>
                        <pic:spPr bwMode="auto">
                          <a:xfrm>
                            <a:off x="0" y="0"/>
                            <a:ext cx="5943600" cy="8090549"/>
                          </a:xfrm>
                          <a:prstGeom prst="rect">
                            <a:avLst/>
                          </a:prstGeom>
                          <a:noFill/>
                          <a:ln w="9525">
                            <a:noFill/>
                            <a:headEnd/>
                            <a:tailEnd/>
                          </a:ln>
                        </pic:spPr>
                      </pic:pic>
                    </a:graphicData>
                  </a:graphic>
                </wp:inline>
              </w:drawing>
            </w:r>
          </w:p>
          <w:bookmarkEnd w:id="57"/>
        </w:tc>
      </w:tr>
    </w:tbl>
    <w:bookmarkEnd w:id="58"/>
    <w:bookmarkStart w:id="62" w:name="Xb93d99f4bd25316fc76d347cd4797c6929f40cc"/>
    <w:p>
      <w:pPr>
        <w:pStyle w:val="Heading2"/>
      </w:pPr>
      <w:r>
        <w:t xml:space="preserve">Statistical Analysis (including formalisms)</w:t>
      </w:r>
    </w:p>
    <w:bookmarkStart w:id="59" w:name="trial-and-sample-characteristics-1"/>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59"/>
    <w:bookmarkStart w:id="60" w:name="measures-of-effect-1"/>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60"/>
    <w:bookmarkStart w:id="61" w:name="random-effects-metaregression-1"/>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61"/>
    <w:bookmarkEnd w:id="62"/>
    <w:bookmarkStart w:id="90"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66" w:name="fig-plot-means-no-wl"/>
          <w:p>
            <w:pPr>
              <w:jc w:val="center"/>
            </w:pPr>
            <w:pPr>
              <w:jc w:val="start"/>
              <w:spacing w:before="200"/>
              <w:pStyle w:val="ImageCaption"/>
            </w:pPr>
            <w:r>
              <w:t xml:space="preserve">Figure 3: Metanalytic estimates of within-group changes: wl excluded</w:t>
            </w:r>
          </w:p>
          <w:p>
            <w:pPr>
              <w:pStyle w:val="Compact"/>
              <w:jc w:val="center"/>
            </w:pPr>
            <w:r>
              <w:drawing>
                <wp:inline>
                  <wp:extent cx="5943600" cy="4622800"/>
                  <wp:effectExtent b="0" l="0" r="0" t="0"/>
                  <wp:docPr descr="" title="" id="64" name="Picture"/>
                  <a:graphic>
                    <a:graphicData uri="http://schemas.openxmlformats.org/drawingml/2006/picture">
                      <pic:pic>
                        <pic:nvPicPr>
                          <pic:cNvPr descr="Manuscript_for_rendering_in_word_files/figure-docx/fig-plot-means-no-wl-1.png" id="65" name="Picture"/>
                          <pic:cNvPicPr>
                            <a:picLocks noChangeArrowheads="1" noChangeAspect="1"/>
                          </pic:cNvPicPr>
                        </pic:nvPicPr>
                        <pic:blipFill>
                          <a:blip r:embed="rId63"/>
                          <a:stretch>
                            <a:fillRect/>
                          </a:stretch>
                        </pic:blipFill>
                        <pic:spPr bwMode="auto">
                          <a:xfrm>
                            <a:off x="0" y="0"/>
                            <a:ext cx="5943600" cy="4622800"/>
                          </a:xfrm>
                          <a:prstGeom prst="rect">
                            <a:avLst/>
                          </a:prstGeom>
                          <a:noFill/>
                          <a:ln w="9525">
                            <a:noFill/>
                            <a:headEnd/>
                            <a:tailEnd/>
                          </a:ln>
                        </pic:spPr>
                      </pic:pic>
                    </a:graphicData>
                  </a:graphic>
                </wp:inline>
              </w:drawing>
            </w:r>
          </w:p>
          <w:bookmarkEnd w:id="66"/>
        </w:tc>
      </w:tr>
    </w:tbl>
    <w:tbl>
      <w:tblPr>
        <w:tblStyle w:val="Table"/>
        <w:tblW w:type="pct" w:w="5000"/>
        <w:tblLook w:firstRow="0" w:lastRow="0" w:firstColumn="0" w:lastColumn="0" w:noHBand="0" w:noVBand="0" w:val="0000"/>
        <w:jc w:val="start"/>
        <w:tblLayout w:type="fixed"/>
      </w:tblPr>
      <w:tblGrid>
        <w:gridCol w:w="7920"/>
      </w:tblGrid>
      <w:tr>
        <w:tc>
          <w:tcPr/>
          <w:bookmarkStart w:id="70"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68" name="Picture"/>
                  <a:graphic>
                    <a:graphicData uri="http://schemas.openxmlformats.org/drawingml/2006/picture">
                      <pic:pic>
                        <pic:nvPicPr>
                          <pic:cNvPr descr="Manuscript_for_rendering_in_word_files/figure-docx/fig-plot-means-clin-1.png" id="69" name="Picture"/>
                          <pic:cNvPicPr>
                            <a:picLocks noChangeArrowheads="1" noChangeAspect="1"/>
                          </pic:cNvPicPr>
                        </pic:nvPicPr>
                        <pic:blipFill>
                          <a:blip r:embed="rId67"/>
                          <a:stretch>
                            <a:fillRect/>
                          </a:stretch>
                        </pic:blipFill>
                        <pic:spPr bwMode="auto">
                          <a:xfrm>
                            <a:off x="0" y="0"/>
                            <a:ext cx="5943600" cy="4622800"/>
                          </a:xfrm>
                          <a:prstGeom prst="rect">
                            <a:avLst/>
                          </a:prstGeom>
                          <a:noFill/>
                          <a:ln w="9525">
                            <a:noFill/>
                            <a:headEnd/>
                            <a:tailEnd/>
                          </a:ln>
                        </pic:spPr>
                      </pic:pic>
                    </a:graphicData>
                  </a:graphic>
                </wp:inline>
              </w:drawing>
            </w:r>
          </w:p>
          <w:bookmarkEnd w:id="70"/>
        </w:tc>
      </w:tr>
    </w:tbl>
    <w:tbl>
      <w:tblPr>
        <w:tblStyle w:val="Table"/>
        <w:tblW w:type="pct" w:w="5000"/>
        <w:tblLook w:firstRow="0" w:lastRow="0" w:firstColumn="0" w:lastColumn="0" w:noHBand="0" w:noVBand="0" w:val="0000"/>
        <w:jc w:val="start"/>
        <w:tblLayout w:type="fixed"/>
      </w:tblPr>
      <w:tblGrid>
        <w:gridCol w:w="7920"/>
      </w:tblGrid>
      <w:tr>
        <w:tc>
          <w:tcPr/>
          <w:bookmarkStart w:id="74"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72" name="Picture"/>
                  <a:graphic>
                    <a:graphicData uri="http://schemas.openxmlformats.org/drawingml/2006/picture">
                      <pic:pic>
                        <pic:nvPicPr>
                          <pic:cNvPr descr="Manuscript_for_rendering_in_word_files/figure-docx/fig-plot-means-cdrs-1.png" id="73" name="Picture"/>
                          <pic:cNvPicPr>
                            <a:picLocks noChangeArrowheads="1" noChangeAspect="1"/>
                          </pic:cNvPicPr>
                        </pic:nvPicPr>
                        <pic:blipFill>
                          <a:blip r:embed="rId71"/>
                          <a:stretch>
                            <a:fillRect/>
                          </a:stretch>
                        </pic:blipFill>
                        <pic:spPr bwMode="auto">
                          <a:xfrm>
                            <a:off x="0" y="0"/>
                            <a:ext cx="5943600" cy="4622800"/>
                          </a:xfrm>
                          <a:prstGeom prst="rect">
                            <a:avLst/>
                          </a:prstGeom>
                          <a:noFill/>
                          <a:ln w="9525">
                            <a:noFill/>
                            <a:headEnd/>
                            <a:tailEnd/>
                          </a:ln>
                        </pic:spPr>
                      </pic:pic>
                    </a:graphicData>
                  </a:graphic>
                </wp:inline>
              </w:drawing>
            </w:r>
          </w:p>
          <w:bookmarkEnd w:id="74"/>
        </w:tc>
      </w:tr>
    </w:tbl>
    <w:tbl>
      <w:tblPr>
        <w:tblStyle w:val="Table"/>
        <w:tblW w:type="pct" w:w="5000"/>
        <w:tblLook w:firstRow="0" w:lastRow="0" w:firstColumn="0" w:lastColumn="0" w:noHBand="0" w:noVBand="0" w:val="0000"/>
        <w:jc w:val="start"/>
        <w:tblLayout w:type="fixed"/>
      </w:tblPr>
      <w:tblGrid>
        <w:gridCol w:w="7920"/>
      </w:tblGrid>
      <w:tr>
        <w:tc>
          <w:tcPr/>
          <w:bookmarkStart w:id="78"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76" name="Picture"/>
                  <a:graphic>
                    <a:graphicData uri="http://schemas.openxmlformats.org/drawingml/2006/picture">
                      <pic:pic>
                        <pic:nvPicPr>
                          <pic:cNvPr descr="Manuscript_for_rendering_in_word_files/figure-docx/fig-plot-means-hamd-1.png" id="77" name="Picture"/>
                          <pic:cNvPicPr>
                            <a:picLocks noChangeArrowheads="1" noChangeAspect="1"/>
                          </pic:cNvPicPr>
                        </pic:nvPicPr>
                        <pic:blipFill>
                          <a:blip r:embed="rId75"/>
                          <a:stretch>
                            <a:fillRect/>
                          </a:stretch>
                        </pic:blipFill>
                        <pic:spPr bwMode="auto">
                          <a:xfrm>
                            <a:off x="0" y="0"/>
                            <a:ext cx="5943600" cy="4622800"/>
                          </a:xfrm>
                          <a:prstGeom prst="rect">
                            <a:avLst/>
                          </a:prstGeom>
                          <a:noFill/>
                          <a:ln w="9525">
                            <a:noFill/>
                            <a:headEnd/>
                            <a:tailEnd/>
                          </a:ln>
                        </pic:spPr>
                      </pic:pic>
                    </a:graphicData>
                  </a:graphic>
                </wp:inline>
              </w:drawing>
            </w:r>
          </w:p>
          <w:bookmarkEnd w:id="78"/>
        </w:tc>
      </w:tr>
    </w:tbl>
    <w:bookmarkStart w:id="89"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4</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82"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80" name="Picture"/>
                  <a:graphic>
                    <a:graphicData uri="http://schemas.openxmlformats.org/drawingml/2006/picture">
                      <pic:pic>
                        <pic:nvPicPr>
                          <pic:cNvPr descr="Manuscript_for_rendering_in_word_files/figure-docx/fig-stab-sims-1.png" id="81" name="Picture"/>
                          <pic:cNvPicPr>
                            <a:picLocks noChangeArrowheads="1" noChangeAspect="1"/>
                          </pic:cNvPicPr>
                        </pic:nvPicPr>
                        <pic:blipFill>
                          <a:blip r:embed="rId79"/>
                          <a:stretch>
                            <a:fillRect/>
                          </a:stretch>
                        </pic:blipFill>
                        <pic:spPr bwMode="auto">
                          <a:xfrm>
                            <a:off x="0" y="0"/>
                            <a:ext cx="5943600" cy="4622800"/>
                          </a:xfrm>
                          <a:prstGeom prst="rect">
                            <a:avLst/>
                          </a:prstGeom>
                          <a:noFill/>
                          <a:ln w="9525">
                            <a:noFill/>
                            <a:headEnd/>
                            <a:tailEnd/>
                          </a:ln>
                        </pic:spPr>
                      </pic:pic>
                    </a:graphicData>
                  </a:graphic>
                </wp:inline>
              </w:drawing>
            </w:r>
          </w:p>
          <w:bookmarkEnd w:id="82"/>
        </w:tc>
      </w:tr>
    </w:tbl>
    <w:tbl>
      <w:tblPr>
        <w:tblStyle w:val="Table"/>
        <w:tblW w:type="pct" w:w="5000"/>
        <w:tblLook w:firstRow="0" w:lastRow="0" w:firstColumn="0" w:lastColumn="0" w:noHBand="0" w:noVBand="0" w:val="0000"/>
        <w:jc w:val="start"/>
        <w:tblLayout w:type="fixed"/>
      </w:tblPr>
      <w:tblGrid>
        <w:gridCol w:w="7920"/>
      </w:tblGrid>
      <w:tr>
        <w:tc>
          <w:tcPr/>
          <w:bookmarkStart w:id="83" w:name="tbl-cdrs-baseline"/>
          <w:p>
            <w:pPr>
              <w:jc w:val="center"/>
            </w:pPr>
            <w:pPr>
              <w:jc w:val="start"/>
              <w:spacing w:before="200"/>
              <w:pStyle w:val="ImageCaption"/>
            </w:pPr>
            <w:r>
              <w:t xml:space="preserve">Table 7: CDRS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56.9847167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1.236950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46.0687345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0.000000000000000000000000000000000000000000000000008516752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four_level_varmedication_active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0.7359463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0.4561072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0.649856879388976516054299281677231192588806152343750000000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-11.5517359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-3.3916126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0.001195449211299415585504912762360163469566032290458679199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-8.1916113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2.914364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-2.8107719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0.006550922100891959538870867874038594891317188739776611328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baseline_smds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56.98472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59.40914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54.56029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57.72066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54.55813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38.75728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48.79311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54.50526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43.08095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bookmarkEnd w:id="83"/>
        </w:tc>
      </w:tr>
    </w:tbl>
    <w:tbl>
      <w:tblPr>
        <w:tblStyle w:val="Table"/>
        <w:tblW w:type="pct" w:w="5000"/>
        <w:tblLook w:firstRow="0" w:lastRow="0" w:firstColumn="0" w:lastColumn="0" w:noHBand="0" w:noVBand="0" w:val="0000"/>
        <w:jc w:val="start"/>
        <w:tblLayout w:type="fixed"/>
      </w:tblPr>
      <w:tblGrid>
        <w:gridCol w:w="7920"/>
      </w:tblGrid>
      <w:tr>
        <w:tc>
          <w:tcPr/>
          <w:bookmarkStart w:id="84" w:name="tbl-hamd-baseline"/>
          <w:p>
            <w:pPr>
              <w:jc w:val="center"/>
            </w:pPr>
            <w:pPr>
              <w:jc w:val="start"/>
              <w:spacing w:before="200"/>
              <w:pStyle w:val="ImageCaption"/>
            </w:pPr>
            <w:r>
              <w:t xml:space="preserve">Table 8: HAM-D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19.2613230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7.3668900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0.00000004077177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four_level_varmedication_active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-0.6568437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-0.1922594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0.84887898909510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-7.2501352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-2.2581231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0.03163606317389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four_level_varpsychotherapy_active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-6.1726211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3.157563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-1.9548686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0.06029880350552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baseline_smds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lower_cis_smds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19.26132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24.38590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14.136746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11.908248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5.718234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13.08870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19.27753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6.899878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r>
          </w:tbl>
          <w:bookmarkEnd w:id="84"/>
        </w:tc>
      </w:tr>
    </w:tbl>
    <w:tbl>
      <w:tblPr>
        <w:tblStyle w:val="Table"/>
        <w:tblW w:type="pct" w:w="5000"/>
        <w:tblLook w:firstRow="0" w:lastRow="0" w:firstColumn="0" w:lastColumn="0" w:noHBand="0" w:noVBand="0" w:val="0000"/>
        <w:jc w:val="start"/>
        <w:tblLayout w:type="fixed"/>
      </w:tblPr>
      <w:tblGrid>
        <w:gridCol w:w="7920"/>
      </w:tblGrid>
      <w:tr>
        <w:tc>
          <w:tcPr/>
          <w:bookmarkStart w:id="85" w:name="tbl-adj-smds"/>
          <w:p>
            <w:pPr>
              <w:jc w:val="center"/>
            </w:pPr>
            <w:pPr>
              <w:jc w:val="start"/>
              <w:spacing w:before="200"/>
              <w:pStyle w:val="ImageCaption"/>
            </w:pPr>
            <w:r>
              <w:t xml:space="preserve">Table 9: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coef_means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se_means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lower_ci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upper_ci</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-0.4073984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0.1026584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-0.6086088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-0.2061879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medication_active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-0.6415162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0.1348764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-0.9058740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-0.3771584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0.7600865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0.1329410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1.0206509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psychotherapy_active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0.1084591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0.1309140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-0.1481324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0.3650506</w:t>
                  </w:r>
                </w:p>
              </w:tc>
            </w:tr>
          </w:tbl>
          <w:bookmarkEnd w:id="85"/>
        </w:tc>
      </w:tr>
    </w:tbl>
    <w:p>
      <w:pPr>
        <w:pStyle w:val="BodyText"/>
      </w:pPr>
      <w:r>
        <w:drawing>
          <wp:inline>
            <wp:extent cx="5943600" cy="4622800"/>
            <wp:effectExtent b="0" l="0" r="0" t="0"/>
            <wp:docPr descr="" title="" id="87" name="Picture"/>
            <a:graphic>
              <a:graphicData uri="http://schemas.openxmlformats.org/drawingml/2006/picture">
                <pic:pic>
                  <pic:nvPicPr>
                    <pic:cNvPr descr="Manuscript_for_rendering_in_word_files/figure-docx/unnamed-chunk-29-1.png" id="88" name="Picture"/>
                    <pic:cNvPicPr>
                      <a:picLocks noChangeArrowheads="1" noChangeAspect="1"/>
                    </pic:cNvPicPr>
                  </pic:nvPicPr>
                  <pic:blipFill>
                    <a:blip r:embed="rId86"/>
                    <a:stretch>
                      <a:fillRect/>
                    </a:stretch>
                  </pic:blipFill>
                  <pic:spPr bwMode="auto">
                    <a:xfrm>
                      <a:off x="0" y="0"/>
                      <a:ext cx="5943600" cy="4622800"/>
                    </a:xfrm>
                    <a:prstGeom prst="rect">
                      <a:avLst/>
                    </a:prstGeom>
                    <a:noFill/>
                    <a:ln w="9525">
                      <a:noFill/>
                      <a:headEnd/>
                      <a:tailEnd/>
                    </a:ln>
                  </pic:spPr>
                </pic:pic>
              </a:graphicData>
            </a:graphic>
          </wp:inline>
        </w:drawing>
      </w:r>
    </w:p>
    <w:bookmarkEnd w:id="89"/>
    <w:bookmarkEnd w:id="90"/>
    <w:bookmarkEnd w:id="91"/>
    <w:bookmarkStart w:id="148" w:name="references"/>
    <w:p>
      <w:pPr>
        <w:pStyle w:val="Heading1"/>
      </w:pPr>
      <w:r>
        <w:t xml:space="preserve">References</w:t>
      </w:r>
    </w:p>
    <w:bookmarkStart w:id="147" w:name="refs"/>
    <w:bookmarkStart w:id="93"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92">
        <w:r>
          <w:rPr>
            <w:rStyle w:val="Hyperlink"/>
          </w:rPr>
          <w:t xml:space="preserve">https://doi.org/10.1176/appi.ajp.2008.08020247</w:t>
        </w:r>
      </w:hyperlink>
      <w:r>
        <w:t xml:space="preserve">.</w:t>
      </w:r>
    </w:p>
    <w:bookmarkEnd w:id="93"/>
    <w:bookmarkStart w:id="95"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94">
        <w:r>
          <w:rPr>
            <w:rStyle w:val="Hyperlink"/>
          </w:rPr>
          <w:t xml:space="preserve">https://doi.org/10.1016/j.jaac.2014.04.004</w:t>
        </w:r>
      </w:hyperlink>
      <w:r>
        <w:t xml:space="preserve">.</w:t>
      </w:r>
    </w:p>
    <w:bookmarkEnd w:id="95"/>
    <w:bookmarkStart w:id="96"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6"/>
    <w:bookmarkStart w:id="98"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97">
        <w:r>
          <w:rPr>
            <w:rStyle w:val="Hyperlink"/>
          </w:rPr>
          <w:t xml:space="preserve">https://doi.org/10.1016/S0140-6736(16)30385-3</w:t>
        </w:r>
      </w:hyperlink>
      <w:r>
        <w:t xml:space="preserve">.</w:t>
      </w:r>
    </w:p>
    <w:bookmarkEnd w:id="98"/>
    <w:bookmarkStart w:id="100"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99">
        <w:r>
          <w:rPr>
            <w:rStyle w:val="Hyperlink"/>
          </w:rPr>
          <w:t xml:space="preserve">https://doi.org/10.1037/0022-006X.74.3.568</w:t>
        </w:r>
      </w:hyperlink>
      <w:r>
        <w:t xml:space="preserve">.</w:t>
      </w:r>
    </w:p>
    <w:bookmarkEnd w:id="100"/>
    <w:bookmarkStart w:id="102"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101">
        <w:r>
          <w:rPr>
            <w:rStyle w:val="Hyperlink"/>
          </w:rPr>
          <w:t xml:space="preserve">https://doi.org/10.1002/jclp.20754</w:t>
        </w:r>
      </w:hyperlink>
      <w:r>
        <w:t xml:space="preserve">.</w:t>
      </w:r>
    </w:p>
    <w:bookmarkEnd w:id="102"/>
    <w:bookmarkStart w:id="104"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03">
        <w:r>
          <w:rPr>
            <w:rStyle w:val="Hyperlink"/>
          </w:rPr>
          <w:t xml:space="preserve">https://doi.org/10.1001/jamanetworkopen.2021.46331</w:t>
        </w:r>
      </w:hyperlink>
      <w:r>
        <w:t xml:space="preserve">.</w:t>
      </w:r>
    </w:p>
    <w:bookmarkEnd w:id="104"/>
    <w:bookmarkStart w:id="106"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05">
        <w:r>
          <w:rPr>
            <w:rStyle w:val="Hyperlink"/>
          </w:rPr>
          <w:t xml:space="preserve">https://doi.org/10.1007/s00787-021-01884-6</w:t>
        </w:r>
      </w:hyperlink>
      <w:r>
        <w:t xml:space="preserve">.</w:t>
      </w:r>
    </w:p>
    <w:bookmarkEnd w:id="106"/>
    <w:bookmarkStart w:id="108"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07">
        <w:r>
          <w:rPr>
            <w:rStyle w:val="Hyperlink"/>
          </w:rPr>
          <w:t xml:space="preserve">https://doi.org/10.1002/da.22328</w:t>
        </w:r>
      </w:hyperlink>
      <w:r>
        <w:t xml:space="preserve">.</w:t>
      </w:r>
    </w:p>
    <w:bookmarkEnd w:id="108"/>
    <w:bookmarkStart w:id="110"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09">
        <w:r>
          <w:rPr>
            <w:rStyle w:val="Hyperlink"/>
          </w:rPr>
          <w:t xml:space="preserve">https://doi.org/10.4324/9780203807002</w:t>
        </w:r>
      </w:hyperlink>
      <w:r>
        <w:t xml:space="preserve">.</w:t>
      </w:r>
    </w:p>
    <w:bookmarkEnd w:id="110"/>
    <w:bookmarkStart w:id="112"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11">
        <w:r>
          <w:rPr>
            <w:rStyle w:val="Hyperlink"/>
          </w:rPr>
          <w:t xml:space="preserve">https://doi.org/10.7326/0003-4819-155-1-201107050-00006</w:t>
        </w:r>
      </w:hyperlink>
      <w:r>
        <w:t xml:space="preserve">.</w:t>
      </w:r>
    </w:p>
    <w:bookmarkEnd w:id="112"/>
    <w:bookmarkStart w:id="114"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13">
        <w:r>
          <w:rPr>
            <w:rStyle w:val="Hyperlink"/>
          </w:rPr>
          <w:t xml:space="preserve">https://doi.org/10.1001/jamapsychiatry.2019.0574</w:t>
        </w:r>
      </w:hyperlink>
      <w:r>
        <w:t xml:space="preserve">.</w:t>
      </w:r>
    </w:p>
    <w:bookmarkEnd w:id="114"/>
    <w:bookmarkStart w:id="116"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115">
        <w:r>
          <w:rPr>
            <w:rStyle w:val="Hyperlink"/>
          </w:rPr>
          <w:t xml:space="preserve">https://doi.org/10.1001/jama.292.7.807</w:t>
        </w:r>
      </w:hyperlink>
      <w:r>
        <w:t xml:space="preserve">.</w:t>
      </w:r>
    </w:p>
    <w:bookmarkEnd w:id="116"/>
    <w:bookmarkStart w:id="117"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17"/>
    <w:bookmarkStart w:id="118"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18"/>
    <w:bookmarkStart w:id="120"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19">
        <w:r>
          <w:rPr>
            <w:rStyle w:val="Hyperlink"/>
          </w:rPr>
          <w:t xml:space="preserve">https://doi.org/10.1186/1471-2288-14-25</w:t>
        </w:r>
      </w:hyperlink>
      <w:r>
        <w:t xml:space="preserve">.</w:t>
      </w:r>
    </w:p>
    <w:bookmarkEnd w:id="120"/>
    <w:bookmarkStart w:id="122"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21">
        <w:r>
          <w:rPr>
            <w:rStyle w:val="Hyperlink"/>
          </w:rPr>
          <w:t xml:space="preserve">https://doi.org/10.1007/s10488-006-0033-7</w:t>
        </w:r>
      </w:hyperlink>
      <w:r>
        <w:t xml:space="preserve">.</w:t>
      </w:r>
    </w:p>
    <w:bookmarkEnd w:id="122"/>
    <w:bookmarkStart w:id="123"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3"/>
    <w:bookmarkStart w:id="125"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4">
        <w:r>
          <w:rPr>
            <w:rStyle w:val="Hyperlink"/>
          </w:rPr>
          <w:t xml:space="preserve">https://doi.org/10.1192/bjp.bp.114.153098</w:t>
        </w:r>
      </w:hyperlink>
      <w:r>
        <w:t xml:space="preserve">.</w:t>
      </w:r>
    </w:p>
    <w:bookmarkEnd w:id="125"/>
    <w:bookmarkStart w:id="127"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26">
        <w:r>
          <w:rPr>
            <w:rStyle w:val="Hyperlink"/>
          </w:rPr>
          <w:t xml:space="preserve">https://doi.org/10.1007/s10578-020-01006-4</w:t>
        </w:r>
      </w:hyperlink>
      <w:r>
        <w:t xml:space="preserve">.</w:t>
      </w:r>
    </w:p>
    <w:bookmarkEnd w:id="127"/>
    <w:bookmarkStart w:id="129"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28">
        <w:r>
          <w:rPr>
            <w:rStyle w:val="Hyperlink"/>
          </w:rPr>
          <w:t xml:space="preserve">https://doi.org/10.1016/j.eclinm.2022.101505</w:t>
        </w:r>
      </w:hyperlink>
      <w:r>
        <w:t xml:space="preserve">.</w:t>
      </w:r>
    </w:p>
    <w:bookmarkEnd w:id="129"/>
    <w:bookmarkStart w:id="131"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30">
        <w:r>
          <w:rPr>
            <w:rStyle w:val="Hyperlink"/>
          </w:rPr>
          <w:t xml:space="preserve">https://doi.org/10.1016/j.brat.2020.103637</w:t>
        </w:r>
      </w:hyperlink>
      <w:r>
        <w:t xml:space="preserve">.</w:t>
      </w:r>
    </w:p>
    <w:bookmarkEnd w:id="131"/>
    <w:bookmarkStart w:id="133"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2">
        <w:r>
          <w:rPr>
            <w:rStyle w:val="Hyperlink"/>
          </w:rPr>
          <w:t xml:space="preserve">https://doi.org/10.4088/JCP.12r07757</w:t>
        </w:r>
      </w:hyperlink>
      <w:r>
        <w:t xml:space="preserve">.</w:t>
      </w:r>
    </w:p>
    <w:bookmarkEnd w:id="133"/>
    <w:bookmarkStart w:id="134" w:name="ref-niceDepressionChildrenYoung2023"/>
    <w:p>
      <w:pPr>
        <w:pStyle w:val="Bibliography"/>
      </w:pPr>
      <w:r>
        <w:t xml:space="preserve">NICE. 2023.</w:t>
      </w:r>
      <w:r>
        <w:t xml:space="preserve"> </w:t>
      </w:r>
      <w:r>
        <w:t xml:space="preserve">“Depression in Children and Young People: Identification and Management.”</w:t>
      </w:r>
    </w:p>
    <w:bookmarkEnd w:id="134"/>
    <w:bookmarkStart w:id="136"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35">
        <w:r>
          <w:rPr>
            <w:rStyle w:val="Hyperlink"/>
          </w:rPr>
          <w:t xml:space="preserve">https://doi.org/10.1002/da.23161</w:t>
        </w:r>
      </w:hyperlink>
      <w:r>
        <w:t xml:space="preserve">.</w:t>
      </w:r>
    </w:p>
    <w:bookmarkEnd w:id="136"/>
    <w:bookmarkStart w:id="138"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37">
        <w:r>
          <w:rPr>
            <w:rStyle w:val="Hyperlink"/>
          </w:rPr>
          <w:t xml:space="preserve">https://doi.org/10.1136/bmj-2021-067606</w:t>
        </w:r>
      </w:hyperlink>
      <w:r>
        <w:t xml:space="preserve">.</w:t>
      </w:r>
    </w:p>
    <w:bookmarkEnd w:id="138"/>
    <w:bookmarkStart w:id="140"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39">
        <w:r>
          <w:rPr>
            <w:rStyle w:val="Hyperlink"/>
          </w:rPr>
          <w:t xml:space="preserve">https://doi.org/10.1186/s13063-017-1961-0</w:t>
        </w:r>
      </w:hyperlink>
      <w:r>
        <w:t xml:space="preserve">.</w:t>
      </w:r>
    </w:p>
    <w:bookmarkEnd w:id="140"/>
    <w:bookmarkStart w:id="142"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41">
        <w:r>
          <w:rPr>
            <w:rStyle w:val="Hyperlink"/>
          </w:rPr>
          <w:t xml:space="preserve">https://doi.org/10.1016/j.jad.2023.10.047</w:t>
        </w:r>
      </w:hyperlink>
      <w:r>
        <w:t xml:space="preserve">.</w:t>
      </w:r>
    </w:p>
    <w:bookmarkEnd w:id="142"/>
    <w:bookmarkStart w:id="144"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43">
        <w:r>
          <w:rPr>
            <w:rStyle w:val="Hyperlink"/>
          </w:rPr>
          <w:t xml:space="preserve">https://doi.org/10.1001/jamapsychiatry.2015.1516</w:t>
        </w:r>
      </w:hyperlink>
      <w:r>
        <w:t xml:space="preserve">.</w:t>
      </w:r>
    </w:p>
    <w:bookmarkEnd w:id="144"/>
    <w:bookmarkStart w:id="146"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45">
        <w:r>
          <w:rPr>
            <w:rStyle w:val="Hyperlink"/>
          </w:rPr>
          <w:t xml:space="preserve">https://doi.org/10.1016/S2215-0366(20)30137-1</w:t>
        </w:r>
      </w:hyperlink>
      <w:r>
        <w:t xml:space="preserve">.</w:t>
      </w:r>
    </w:p>
    <w:bookmarkEnd w:id="146"/>
    <w:bookmarkEnd w:id="147"/>
    <w:bookmarkEnd w:id="148"/>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7D713F"/>
    <w:pPr>
      <w:keepNext/>
    </w:pPr>
    <w:rPr>
      <w:rFonts w:ascii="Calibri" w:hAnsi="Calibri"/>
      <w:b/>
      <w:i w:val="0"/>
      <w:color w:themeColor="text1" w:val="000000"/>
      <w:sz w:val="22"/>
    </w:rPr>
  </w:style>
  <w:style w:customStyle="1" w:styleId="ImageCaption" w:type="paragraph">
    <w:name w:val="Image Caption"/>
    <w:basedOn w:val="Caption"/>
    <w:rsid w:val="007D713F"/>
    <w:rPr>
      <w:rFonts w:ascii="Calibri" w:hAnsi="Calibri"/>
      <w:b/>
      <w:i w:val="0"/>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6C7785"/>
    <w:rPr>
      <w:rFonts w:ascii="Calibri" w:hAnsi="Calibri"/>
      <w:b/>
      <w:i w:val="0"/>
      <w:iCs/>
      <w:color w:val="auto"/>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63" Target="media/rId63.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54" Target="media/rId54.png" /><Relationship Type="http://schemas.openxmlformats.org/officeDocument/2006/relationships/hyperlink" Id="rId115" Target="https://doi.org/10.1001/jama.292.7.807" TargetMode="External" /><Relationship Type="http://schemas.openxmlformats.org/officeDocument/2006/relationships/hyperlink" Id="rId103"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13" Target="https://doi.org/10.1001/jamapsychiatry.2019.0574" TargetMode="External" /><Relationship Type="http://schemas.openxmlformats.org/officeDocument/2006/relationships/hyperlink" Id="rId107" Target="https://doi.org/10.1002/da.22328" TargetMode="External" /><Relationship Type="http://schemas.openxmlformats.org/officeDocument/2006/relationships/hyperlink" Id="rId135" Target="https://doi.org/10.1002/da.23161" TargetMode="External" /><Relationship Type="http://schemas.openxmlformats.org/officeDocument/2006/relationships/hyperlink" Id="rId101" Target="https://doi.org/10.1002/jclp.20754" TargetMode="External" /><Relationship Type="http://schemas.openxmlformats.org/officeDocument/2006/relationships/hyperlink" Id="rId105" Target="https://doi.org/10.1007/s00787-021-01884-6" TargetMode="External" /><Relationship Type="http://schemas.openxmlformats.org/officeDocument/2006/relationships/hyperlink" Id="rId121" Target="https://doi.org/10.1007/s10488-006-0033-7" TargetMode="External" /><Relationship Type="http://schemas.openxmlformats.org/officeDocument/2006/relationships/hyperlink" Id="rId126" Target="https://doi.org/10.1007/s10578-020-01006-4" TargetMode="External" /><Relationship Type="http://schemas.openxmlformats.org/officeDocument/2006/relationships/hyperlink" Id="rId97" Target="https://doi.org/10.1016/S0140-6736(16)30385-3" TargetMode="External" /><Relationship Type="http://schemas.openxmlformats.org/officeDocument/2006/relationships/hyperlink" Id="rId145" Target="https://doi.org/10.1016/S2215-0366(20)30137-1" TargetMode="External" /><Relationship Type="http://schemas.openxmlformats.org/officeDocument/2006/relationships/hyperlink" Id="rId130" Target="https://doi.org/10.1016/j.brat.2020.103637" TargetMode="External" /><Relationship Type="http://schemas.openxmlformats.org/officeDocument/2006/relationships/hyperlink" Id="rId128" Target="https://doi.org/10.1016/j.eclinm.2022.101505" TargetMode="External" /><Relationship Type="http://schemas.openxmlformats.org/officeDocument/2006/relationships/hyperlink" Id="rId94"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99" Target="https://doi.org/10.1037/0022-006X.74.3.568" TargetMode="External" /><Relationship Type="http://schemas.openxmlformats.org/officeDocument/2006/relationships/hyperlink" Id="rId137" Target="https://doi.org/10.1136/bmj-2021-067606" TargetMode="External" /><Relationship Type="http://schemas.openxmlformats.org/officeDocument/2006/relationships/hyperlink" Id="rId92" Target="https://doi.org/10.1176/appi.ajp.2008.08020247" TargetMode="External" /><Relationship Type="http://schemas.openxmlformats.org/officeDocument/2006/relationships/hyperlink" Id="rId119" Target="https://doi.org/10.1186/1471-2288-14-25" TargetMode="External" /><Relationship Type="http://schemas.openxmlformats.org/officeDocument/2006/relationships/hyperlink" Id="rId139" Target="https://doi.org/10.1186/s13063-017-1961-0" TargetMode="External" /><Relationship Type="http://schemas.openxmlformats.org/officeDocument/2006/relationships/hyperlink" Id="rId124" Target="https://doi.org/10.1192/bjp.bp.114.153098" TargetMode="External" /><Relationship Type="http://schemas.openxmlformats.org/officeDocument/2006/relationships/hyperlink" Id="rId132" Target="https://doi.org/10.4088/JCP.12r07757" TargetMode="External" /><Relationship Type="http://schemas.openxmlformats.org/officeDocument/2006/relationships/hyperlink" Id="rId109" Target="https://doi.org/10.4324/9780203807002" TargetMode="External" /><Relationship Type="http://schemas.openxmlformats.org/officeDocument/2006/relationships/hyperlink" Id="rId111"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1/jama.292.7.807" TargetMode="External" /><Relationship Type="http://schemas.openxmlformats.org/officeDocument/2006/relationships/hyperlink" Id="rId103"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13" Target="https://doi.org/10.1001/jamapsychiatry.2019.0574" TargetMode="External" /><Relationship Type="http://schemas.openxmlformats.org/officeDocument/2006/relationships/hyperlink" Id="rId107" Target="https://doi.org/10.1002/da.22328" TargetMode="External" /><Relationship Type="http://schemas.openxmlformats.org/officeDocument/2006/relationships/hyperlink" Id="rId135" Target="https://doi.org/10.1002/da.23161" TargetMode="External" /><Relationship Type="http://schemas.openxmlformats.org/officeDocument/2006/relationships/hyperlink" Id="rId101" Target="https://doi.org/10.1002/jclp.20754" TargetMode="External" /><Relationship Type="http://schemas.openxmlformats.org/officeDocument/2006/relationships/hyperlink" Id="rId105" Target="https://doi.org/10.1007/s00787-021-01884-6" TargetMode="External" /><Relationship Type="http://schemas.openxmlformats.org/officeDocument/2006/relationships/hyperlink" Id="rId121" Target="https://doi.org/10.1007/s10488-006-0033-7" TargetMode="External" /><Relationship Type="http://schemas.openxmlformats.org/officeDocument/2006/relationships/hyperlink" Id="rId126" Target="https://doi.org/10.1007/s10578-020-01006-4" TargetMode="External" /><Relationship Type="http://schemas.openxmlformats.org/officeDocument/2006/relationships/hyperlink" Id="rId97" Target="https://doi.org/10.1016/S0140-6736(16)30385-3" TargetMode="External" /><Relationship Type="http://schemas.openxmlformats.org/officeDocument/2006/relationships/hyperlink" Id="rId145" Target="https://doi.org/10.1016/S2215-0366(20)30137-1" TargetMode="External" /><Relationship Type="http://schemas.openxmlformats.org/officeDocument/2006/relationships/hyperlink" Id="rId130" Target="https://doi.org/10.1016/j.brat.2020.103637" TargetMode="External" /><Relationship Type="http://schemas.openxmlformats.org/officeDocument/2006/relationships/hyperlink" Id="rId128" Target="https://doi.org/10.1016/j.eclinm.2022.101505" TargetMode="External" /><Relationship Type="http://schemas.openxmlformats.org/officeDocument/2006/relationships/hyperlink" Id="rId94"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99" Target="https://doi.org/10.1037/0022-006X.74.3.568" TargetMode="External" /><Relationship Type="http://schemas.openxmlformats.org/officeDocument/2006/relationships/hyperlink" Id="rId137" Target="https://doi.org/10.1136/bmj-2021-067606" TargetMode="External" /><Relationship Type="http://schemas.openxmlformats.org/officeDocument/2006/relationships/hyperlink" Id="rId92" Target="https://doi.org/10.1176/appi.ajp.2008.08020247" TargetMode="External" /><Relationship Type="http://schemas.openxmlformats.org/officeDocument/2006/relationships/hyperlink" Id="rId119" Target="https://doi.org/10.1186/1471-2288-14-25" TargetMode="External" /><Relationship Type="http://schemas.openxmlformats.org/officeDocument/2006/relationships/hyperlink" Id="rId139" Target="https://doi.org/10.1186/s13063-017-1961-0" TargetMode="External" /><Relationship Type="http://schemas.openxmlformats.org/officeDocument/2006/relationships/hyperlink" Id="rId124" Target="https://doi.org/10.1192/bjp.bp.114.153098" TargetMode="External" /><Relationship Type="http://schemas.openxmlformats.org/officeDocument/2006/relationships/hyperlink" Id="rId132" Target="https://doi.org/10.4088/JCP.12r07757" TargetMode="External" /><Relationship Type="http://schemas.openxmlformats.org/officeDocument/2006/relationships/hyperlink" Id="rId109" Target="https://doi.org/10.4324/9780203807002" TargetMode="External" /><Relationship Type="http://schemas.openxmlformats.org/officeDocument/2006/relationships/hyperlink" Id="rId111"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2024-04-23T16:20:14Z</dcterms:created>
  <dcterms:modified xsi:type="dcterms:W3CDTF">2024-04-23T16:20:14Z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2024-04-23</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Quantitative Reappraisal of the Evidence Base</vt:lpwstr>
  </property>
  <property fmtid="{D5CDD505-2E9C-101B-9397-08002B2CF9AE}" pid="18" name="tbl_caption">
    <vt:lpwstr>yes</vt:lpwstr>
  </property>
  <property fmtid="{D5CDD505-2E9C-101B-9397-08002B2CF9AE}" pid="19" name="toc-title">
    <vt:lpwstr>Table of contents</vt:lpwstr>
  </property>
</Properties>
</file>