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Paper</w:t>
      </w:r>
    </w:p>
    <w:p>
      <w:pPr>
        <w:pStyle w:val="Subtitle"/>
      </w:pPr>
      <w:r>
        <w:t xml:space="preserve">A</w:t>
      </w:r>
      <w:r>
        <w:t xml:space="preserve"> </w:t>
      </w:r>
      <w:r>
        <w:t xml:space="preserve">Short</w:t>
      </w:r>
      <w:r>
        <w:t xml:space="preserve"> </w:t>
      </w:r>
      <w:r>
        <w:t xml:space="preserve">Subtitle</w:t>
      </w:r>
    </w:p>
    <w:p>
      <w:pPr>
        <w:pStyle w:val="Author"/>
      </w:pPr>
      <w:r>
        <w:t xml:space="preserve">Alice</w:t>
      </w:r>
      <w:r>
        <w:t xml:space="preserve"> </w:t>
      </w:r>
      <w:r>
        <w:t xml:space="preserve">Anonymous</w:t>
      </w:r>
    </w:p>
    <w:p>
      <w:pPr>
        <w:pStyle w:val="Author"/>
      </w:pPr>
      <w:r>
        <w:t xml:space="preserve">Bob</w:t>
      </w:r>
      <w:r>
        <w:t xml:space="preserve"> </w:t>
      </w:r>
      <w:r>
        <w:t xml:space="preserve">Security</w:t>
      </w:r>
    </w:p>
    <w:p>
      <w:pPr>
        <w:pStyle w:val="Author"/>
      </w:pPr>
      <w:r>
        <w:t xml:space="preserve">Cat</w:t>
      </w:r>
      <w:r>
        <w:t xml:space="preserve"> </w:t>
      </w:r>
      <w:r>
        <w:t xml:space="preserve">Memes</w:t>
      </w:r>
    </w:p>
    <w:p>
      <w:pPr>
        <w:pStyle w:val="Author"/>
      </w:pPr>
      <w:r>
        <w:t xml:space="preserve">Derek</w:t>
      </w:r>
      <w:r>
        <w:t xml:space="preserve"> </w:t>
      </w:r>
      <w:r>
        <w:t xml:space="preserve">Zoolander</w:t>
      </w:r>
    </w:p>
    <w:p>
      <w:pPr>
        <w:pStyle w:val="Date"/>
      </w:pPr>
      <w:r>
        <w:t xml:space="preserve">2023-12-24</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Vestibulum</w:t>
      </w:r>
      <w:r>
        <w:t xml:space="preserve"> </w:t>
      </w:r>
      <w:r>
        <w:t xml:space="preserve">augue</w:t>
      </w:r>
      <w:r>
        <w:t xml:space="preserve"> </w:t>
      </w:r>
      <w:r>
        <w:t xml:space="preserve">turpis,</w:t>
      </w:r>
      <w:r>
        <w:t xml:space="preserve"> </w:t>
      </w:r>
      <w:r>
        <w:t xml:space="preserve">dictum</w:t>
      </w:r>
      <w:r>
        <w:t xml:space="preserve"> </w:t>
      </w:r>
      <w:r>
        <w:t xml:space="preserve">non</w:t>
      </w:r>
      <w:r>
        <w:t xml:space="preserve"> </w:t>
      </w:r>
      <w:r>
        <w:t xml:space="preserve">malesuada</w:t>
      </w:r>
      <w:r>
        <w:t xml:space="preserve"> </w:t>
      </w:r>
      <w:r>
        <w:t xml:space="preserve">a,</w:t>
      </w:r>
      <w:r>
        <w:t xml:space="preserve"> </w:t>
      </w:r>
      <w:r>
        <w:t xml:space="preserve">volutpat</w:t>
      </w:r>
      <w:r>
        <w:t xml:space="preserve"> </w:t>
      </w:r>
      <w:r>
        <w:t xml:space="preserve">eget</w:t>
      </w:r>
      <w:r>
        <w:t xml:space="preserve"> </w:t>
      </w:r>
      <w:r>
        <w:t xml:space="preserve">velit.</w:t>
      </w:r>
      <w:r>
        <w:t xml:space="preserve"> </w:t>
      </w:r>
      <w:r>
        <w:t xml:space="preserve">Nam</w:t>
      </w:r>
      <w:r>
        <w:t xml:space="preserve"> </w:t>
      </w:r>
      <w:r>
        <w:t xml:space="preserve">placerat</w:t>
      </w:r>
      <w:r>
        <w:t xml:space="preserve"> </w:t>
      </w:r>
      <w:r>
        <w:t xml:space="preserve">turpis</w:t>
      </w:r>
      <w:r>
        <w:t xml:space="preserve"> </w:t>
      </w:r>
      <w:r>
        <w:t xml:space="preserve">purus,</w:t>
      </w:r>
      <w:r>
        <w:t xml:space="preserve"> </w:t>
      </w:r>
      <w:r>
        <w:t xml:space="preserve">eu</w:t>
      </w:r>
      <w:r>
        <w:t xml:space="preserve"> </w:t>
      </w:r>
      <w:r>
        <w:t xml:space="preserve">tristique</w:t>
      </w:r>
      <w:r>
        <w:t xml:space="preserve"> </w:t>
      </w:r>
      <w:r>
        <w:t xml:space="preserve">ex</w:t>
      </w:r>
      <w:r>
        <w:t xml:space="preserve"> </w:t>
      </w:r>
      <w:r>
        <w:t xml:space="preserve">tincidunt</w:t>
      </w:r>
      <w:r>
        <w:t xml:space="preserve"> </w:t>
      </w:r>
      <w:r>
        <w:t xml:space="preserve">et.</w:t>
      </w:r>
      <w:r>
        <w:t xml:space="preserve"> </w:t>
      </w:r>
      <w:r>
        <w:t xml:space="preserve">Mauris</w:t>
      </w:r>
      <w:r>
        <w:t xml:space="preserve"> </w:t>
      </w:r>
      <w:r>
        <w:t xml:space="preserve">sed</w:t>
      </w:r>
      <w:r>
        <w:t xml:space="preserve"> </w:t>
      </w:r>
      <w:r>
        <w:t xml:space="preserve">augue</w:t>
      </w:r>
      <w:r>
        <w:t xml:space="preserve"> </w:t>
      </w:r>
      <w:r>
        <w:t xml:space="preserve">eget</w:t>
      </w:r>
      <w:r>
        <w:t xml:space="preserve"> </w:t>
      </w:r>
      <w:r>
        <w:t xml:space="preserve">turpis</w:t>
      </w:r>
      <w:r>
        <w:t xml:space="preserve"> </w:t>
      </w:r>
      <w:r>
        <w:t xml:space="preserve">ultrices</w:t>
      </w:r>
      <w:r>
        <w:t xml:space="preserve"> </w:t>
      </w:r>
      <w:r>
        <w:t xml:space="preserve">tincidunt.</w:t>
      </w:r>
      <w:r>
        <w:t xml:space="preserve"> </w:t>
      </w:r>
      <w:r>
        <w:t xml:space="preserve">Sed</w:t>
      </w:r>
      <w:r>
        <w:t xml:space="preserve"> </w:t>
      </w:r>
      <w:r>
        <w:t xml:space="preserve">et</w:t>
      </w:r>
      <w:r>
        <w:t xml:space="preserve"> </w:t>
      </w:r>
      <w:r>
        <w:t xml:space="preserve">mi</w:t>
      </w:r>
      <w:r>
        <w:t xml:space="preserve"> </w:t>
      </w:r>
      <w:r>
        <w:t xml:space="preserve">in</w:t>
      </w:r>
      <w:r>
        <w:t xml:space="preserve"> </w:t>
      </w:r>
      <w:r>
        <w:t xml:space="preserve">leo</w:t>
      </w:r>
      <w:r>
        <w:t xml:space="preserve"> </w:t>
      </w:r>
      <w:r>
        <w:t xml:space="preserve">porta</w:t>
      </w:r>
      <w:r>
        <w:t xml:space="preserve"> </w:t>
      </w:r>
      <w:r>
        <w:t xml:space="preserve">egestas.</w:t>
      </w:r>
      <w:r>
        <w:t xml:space="preserve"> </w:t>
      </w:r>
      <w:r>
        <w:t xml:space="preserve">Aliquam</w:t>
      </w:r>
      <w:r>
        <w:t xml:space="preserve"> </w:t>
      </w:r>
      <w:r>
        <w:t xml:space="preserve">non</w:t>
      </w:r>
      <w:r>
        <w:t xml:space="preserve"> </w:t>
      </w:r>
      <w:r>
        <w:t xml:space="preserve">laoreet</w:t>
      </w:r>
      <w:r>
        <w:t xml:space="preserve"> </w:t>
      </w:r>
      <w:r>
        <w:t xml:space="preserve">velit.</w:t>
      </w:r>
      <w:r>
        <w:t xml:space="preserve"> </w:t>
      </w:r>
      <w:r>
        <w:t xml:space="preserve">Nunc</w:t>
      </w:r>
      <w:r>
        <w:t xml:space="preserve"> </w:t>
      </w:r>
      <w:r>
        <w:t xml:space="preserve">quis</w:t>
      </w:r>
      <w:r>
        <w:t xml:space="preserve"> </w:t>
      </w:r>
      <w:r>
        <w:t xml:space="preserve">ex</w:t>
      </w:r>
      <w:r>
        <w:t xml:space="preserve"> </w:t>
      </w:r>
      <w:r>
        <w:t xml:space="preserve">vitae</w:t>
      </w:r>
      <w:r>
        <w:t xml:space="preserve"> </w:t>
      </w:r>
      <w:r>
        <w:t xml:space="preserve">eros</w:t>
      </w:r>
      <w:r>
        <w:t xml:space="preserve"> </w:t>
      </w:r>
      <w:r>
        <w:t xml:space="preserve">aliquet</w:t>
      </w:r>
      <w:r>
        <w:t xml:space="preserve"> </w:t>
      </w:r>
      <w:r>
        <w:t xml:space="preserve">auctor</w:t>
      </w:r>
      <w:r>
        <w:t xml:space="preserve"> </w:t>
      </w:r>
      <w:r>
        <w:t xml:space="preserve">nec</w:t>
      </w:r>
      <w:r>
        <w:t xml:space="preserve"> </w:t>
      </w:r>
      <w:r>
        <w:t xml:space="preserve">ac</w:t>
      </w:r>
      <w:r>
        <w:t xml:space="preserve"> </w:t>
      </w:r>
      <w:r>
        <w:t xml:space="preserve">libero.</w:t>
      </w:r>
      <w:r>
        <w:t xml:space="preserve"> </w:t>
      </w:r>
      <w:r>
        <w:t xml:space="preserve">Duis</w:t>
      </w:r>
      <w:r>
        <w:t xml:space="preserve"> </w:t>
      </w:r>
      <w:r>
        <w:t xml:space="preserve">laoreet</w:t>
      </w:r>
      <w:r>
        <w:t xml:space="preserve"> </w:t>
      </w:r>
      <w:r>
        <w:t xml:space="preserve">sapien</w:t>
      </w:r>
      <w:r>
        <w:t xml:space="preserve"> </w:t>
      </w:r>
      <w:r>
        <w:t xml:space="preserve">eu</w:t>
      </w:r>
      <w:r>
        <w:t xml:space="preserve"> </w:t>
      </w:r>
      <w:r>
        <w:t xml:space="preserve">mi</w:t>
      </w:r>
      <w:r>
        <w:t xml:space="preserve"> </w:t>
      </w:r>
      <w:r>
        <w:t xml:space="preserve">luctus,</w:t>
      </w:r>
      <w:r>
        <w:t xml:space="preserve"> </w:t>
      </w:r>
      <w:r>
        <w:t xml:space="preserve">in</w:t>
      </w:r>
      <w:r>
        <w:t xml:space="preserve"> </w:t>
      </w:r>
      <w:r>
        <w:t xml:space="preserve">bibendum</w:t>
      </w:r>
      <w:r>
        <w:t xml:space="preserve"> </w:t>
      </w:r>
      <w:r>
        <w:t xml:space="preserve">leo</w:t>
      </w:r>
      <w:r>
        <w:t xml:space="preserve"> </w:t>
      </w:r>
      <w:r>
        <w:t xml:space="preserve">molestie.</w:t>
      </w:r>
      <w:r>
        <w:t xml:space="preserve"> </w:t>
      </w:r>
      <w:r>
        <w:t xml:space="preserve">Sed</w:t>
      </w:r>
      <w:r>
        <w:t xml:space="preserve"> </w:t>
      </w:r>
      <w:r>
        <w:t xml:space="preserve">hendrerit</w:t>
      </w:r>
      <w:r>
        <w:t xml:space="preserve"> </w:t>
      </w:r>
      <w:r>
        <w:t xml:space="preserve">diam</w:t>
      </w:r>
      <w:r>
        <w:t xml:space="preserve"> </w:t>
      </w:r>
      <w:r>
        <w:t xml:space="preserve">diam,</w:t>
      </w:r>
      <w:r>
        <w:t xml:space="preserve"> </w:t>
      </w:r>
      <w:r>
        <w:t xml:space="preserve">ac</w:t>
      </w:r>
      <w:r>
        <w:t xml:space="preserve"> </w:t>
      </w:r>
      <w:r>
        <w:t xml:space="preserve">dapibus</w:t>
      </w:r>
      <w:r>
        <w:t xml:space="preserve"> </w:t>
      </w:r>
      <w:r>
        <w:t xml:space="preserve">nisl</w:t>
      </w:r>
      <w:r>
        <w:t xml:space="preserve"> </w:t>
      </w:r>
      <w:r>
        <w:t xml:space="preserve">volutpat</w:t>
      </w:r>
      <w:r>
        <w:t xml:space="preserve"> </w:t>
      </w:r>
      <w:r>
        <w:t xml:space="preserve">vitae.</w:t>
      </w:r>
      <w:r>
        <w:t xml:space="preserve"> </w:t>
      </w:r>
      <w:r>
        <w:t xml:space="preserve">Aliquam</w:t>
      </w:r>
      <w:r>
        <w:t xml:space="preserve"> </w:t>
      </w:r>
      <w:r>
        <w:t xml:space="preserve">bibendum</w:t>
      </w:r>
      <w:r>
        <w:t xml:space="preserve"> </w:t>
      </w:r>
      <w:r>
        <w:t xml:space="preserve">varius</w:t>
      </w:r>
      <w:r>
        <w:t xml:space="preserve"> </w:t>
      </w:r>
      <w:r>
        <w:t xml:space="preserve">libero,</w:t>
      </w:r>
      <w:r>
        <w:t xml:space="preserve"> </w:t>
      </w:r>
      <w:r>
        <w:t xml:space="preserve">eu</w:t>
      </w:r>
      <w:r>
        <w:t xml:space="preserve"> </w:t>
      </w:r>
      <w:r>
        <w:t xml:space="preserve">efficitur</w:t>
      </w:r>
      <w:r>
        <w:t xml:space="preserve"> </w:t>
      </w:r>
      <w:r>
        <w:t xml:space="preserve">justo</w:t>
      </w:r>
      <w:r>
        <w:t xml:space="preserve"> </w:t>
      </w:r>
      <w:r>
        <w:t xml:space="preserve">rutrum</w:t>
      </w:r>
      <w:r>
        <w:t xml:space="preserve"> </w:t>
      </w:r>
      <w:r>
        <w:t xml:space="preserve">at.</w:t>
      </w:r>
      <w:r>
        <w:t xml:space="preserve"> </w:t>
      </w:r>
      <w:r>
        <w:t xml:space="preserve">Sed</w:t>
      </w:r>
      <w:r>
        <w:t xml:space="preserve"> </w:t>
      </w:r>
      <w:r>
        <w:t xml:space="preserve">at</w:t>
      </w:r>
      <w:r>
        <w:t xml:space="preserve"> </w:t>
      </w:r>
      <w:r>
        <w:t xml:space="preserve">tempus</w:t>
      </w:r>
      <w:r>
        <w:t xml:space="preserve"> </w:t>
      </w:r>
      <w:r>
        <w:t xml:space="preserve">elit.</w:t>
      </w:r>
    </w:p>
    <w:bookmarkStart w:id="20" w:name="here-is-a-reference"/>
    <w:p>
      <w:pPr>
        <w:pStyle w:val="Heading1"/>
      </w:pPr>
      <w:r>
        <w:t xml:space="preserve">Here is a reference</w:t>
      </w:r>
    </w:p>
    <w:p>
      <w:pPr>
        <w:pStyle w:val="FirstParagraph"/>
      </w:pPr>
      <w:r>
        <w:t xml:space="preserve">Stringaris, Lewis, and Maughan (2014)</w:t>
      </w:r>
    </w:p>
    <w:bookmarkEnd w:id="20"/>
    <w:bookmarkStart w:id="21" w:name="equations"/>
    <w:p>
      <w:pPr>
        <w:pStyle w:val="Heading1"/>
      </w:pPr>
      <w:r>
        <w:t xml:space="preserve">Equations</w:t>
      </w:r>
    </w:p>
    <w:p>
      <w:pPr>
        <w:pStyle w:val="FirstParagraph"/>
      </w:pPr>
      <w:r>
        <w:t xml:space="preserve">Here is an equation:</w:t>
      </w:r>
    </w:p>
    <w:p>
      <w:pPr>
        <w:pStyle w:val="BodyText"/>
      </w:pPr>
      <m:oMathPara>
        <m:oMathParaPr>
          <m:jc m:val="center"/>
        </m:oMathParaPr>
        <m:oMath>
          <m:sSub>
            <m:e>
              <m:r>
                <m:t>f</m:t>
              </m:r>
            </m:e>
            <m:sub>
              <m:r>
                <m:t>X</m:t>
              </m:r>
            </m:sub>
          </m:sSub>
          <m:d>
            <m:dPr>
              <m:begChr m:val="("/>
              <m:endChr m:val=")"/>
              <m:sepChr m:val=""/>
              <m:grow/>
            </m:dPr>
            <m:e>
              <m:r>
                <m:t>x</m:t>
              </m:r>
            </m:e>
          </m:d>
          <m:r>
            <m:rPr>
              <m:sty m:val="p"/>
            </m:rPr>
            <m:t>=</m:t>
          </m:r>
          <m:d>
            <m:dPr>
              <m:begChr m:val="("/>
              <m:endChr m:val=")"/>
              <m:sepChr m:val=""/>
              <m:grow/>
            </m:dPr>
            <m:e>
              <m:f>
                <m:fPr>
                  <m:type m:val="bar"/>
                </m:fPr>
                <m:num>
                  <m:r>
                    <m:t>α</m:t>
                  </m:r>
                </m:num>
                <m:den>
                  <m:r>
                    <m:t>β</m:t>
                  </m:r>
                </m:den>
              </m:f>
            </m:e>
          </m:d>
          <m:sSup>
            <m:e>
              <m:d>
                <m:dPr>
                  <m:begChr m:val="("/>
                  <m:endChr m:val=")"/>
                  <m:sepChr m:val=""/>
                  <m:grow/>
                </m:dPr>
                <m:e>
                  <m:f>
                    <m:fPr>
                      <m:type m:val="bar"/>
                    </m:fPr>
                    <m:num>
                      <m:r>
                        <m:t>x</m:t>
                      </m:r>
                    </m:num>
                    <m:den>
                      <m:r>
                        <m:t>β</m:t>
                      </m:r>
                    </m:den>
                  </m:f>
                </m:e>
              </m:d>
            </m:e>
            <m:sup>
              <m:r>
                <m:t>α</m:t>
              </m:r>
              <m:r>
                <m:rPr>
                  <m:sty m:val="p"/>
                </m:rPr>
                <m:t>−</m:t>
              </m:r>
              <m:r>
                <m:t>1</m:t>
              </m:r>
            </m:sup>
          </m:sSup>
          <m:sSup>
            <m:e>
              <m:r>
                <m:t>e</m:t>
              </m:r>
            </m:e>
            <m:sup>
              <m:r>
                <m:rPr>
                  <m:sty m:val="p"/>
                </m:rPr>
                <m:t>−</m:t>
              </m:r>
              <m:sSup>
                <m:e>
                  <m:d>
                    <m:dPr>
                      <m:begChr m:val="("/>
                      <m:endChr m:val=")"/>
                      <m:sepChr m:val=""/>
                      <m:grow/>
                    </m:dPr>
                    <m:e>
                      <m:f>
                        <m:fPr>
                          <m:type m:val="bar"/>
                        </m:fPr>
                        <m:num>
                          <m:r>
                            <m:t>x</m:t>
                          </m:r>
                        </m:num>
                        <m:den>
                          <m:r>
                            <m:t>β</m:t>
                          </m:r>
                        </m:den>
                      </m:f>
                    </m:e>
                  </m:d>
                </m:e>
                <m:sup>
                  <m:r>
                    <m:t>α</m:t>
                  </m:r>
                </m:sup>
              </m:sSup>
            </m:sup>
          </m:sSup>
          <m:r>
            <m:rPr>
              <m:sty m:val="p"/>
            </m:rPr>
            <m:t>;</m:t>
          </m:r>
          <m:r>
            <m:t>α</m:t>
          </m:r>
          <m:r>
            <m:rPr>
              <m:sty m:val="p"/>
            </m:rPr>
            <m:t>,</m:t>
          </m:r>
          <m:r>
            <m:t>β</m:t>
          </m:r>
          <m:r>
            <m:rPr>
              <m:sty m:val="p"/>
            </m:rPr>
            <m:t>,</m:t>
          </m:r>
          <m:r>
            <m:t>x</m:t>
          </m:r>
          <m:r>
            <m:rPr>
              <m:sty m:val="p"/>
            </m:rPr>
            <m:t>&gt;</m:t>
          </m:r>
          <m:r>
            <m:t>0</m:t>
          </m:r>
          <m:r>
            <m:rPr>
              <m:sty m:val="p"/>
            </m:rPr>
            <m:t>.</m:t>
          </m:r>
        </m:oMath>
      </m:oMathPara>
    </w:p>
    <w:p>
      <w:pPr>
        <w:pStyle w:val="FirstParagraph"/>
      </w:pPr>
      <w:r>
        <w:t xml:space="preserve">Inline equations work as well:</w:t>
      </w:r>
      <w:r>
        <w:t xml:space="preserve"> </w:t>
      </w:r>
      <m:oMath>
        <m:nary>
          <m:naryPr>
            <m:chr m:val="∑"/>
            <m:limLoc m:val="undOvr"/>
            <m:subHide m:val="0"/>
            <m:supHide m:val="0"/>
          </m:naryPr>
          <m:sub>
            <m:r>
              <m:t>i</m:t>
            </m:r>
            <m:r>
              <m:rPr>
                <m:sty m:val="p"/>
              </m:rPr>
              <m:t>=</m:t>
            </m:r>
            <m:r>
              <m:t>2</m:t>
            </m:r>
          </m:sub>
          <m:sup>
            <m:r>
              <m:rPr>
                <m:sty m:val="p"/>
              </m:rPr>
              <m:t>∞</m:t>
            </m:r>
          </m:sup>
          <m:e>
            <m:r>
              <m:rPr>
                <m:sty m:val="p"/>
              </m:rPr>
              <m:t>{</m:t>
            </m:r>
          </m:e>
        </m:nary>
        <m:sSubSup>
          <m:e>
            <m:r>
              <m:t>α</m:t>
            </m:r>
          </m:e>
          <m:sub>
            <m:r>
              <m:t>i</m:t>
            </m:r>
          </m:sub>
          <m:sup>
            <m:r>
              <m:t>β</m:t>
            </m:r>
          </m:sup>
        </m:sSubSup>
        <m:r>
          <m:rPr>
            <m:sty m:val="p"/>
          </m:rPr>
          <m:t>}</m:t>
        </m:r>
      </m:oMath>
    </w:p>
    <w:bookmarkEnd w:id="21"/>
    <w:bookmarkStart w:id="26" w:name="figures-and-tables"/>
    <w:p>
      <w:pPr>
        <w:pStyle w:val="Heading1"/>
      </w:pPr>
      <w:r>
        <w:t xml:space="preserve">Figures and tables</w:t>
      </w:r>
    </w:p>
    <w:p>
      <w:pPr>
        <w:pStyle w:val="FirstParagraph"/>
      </w:pPr>
      <w:hyperlink w:anchor="fig-meaningless">
        <w:r>
          <w:rPr>
            <w:rStyle w:val="Hyperlink"/>
          </w:rPr>
          <w:t xml:space="preserve">Figure 1</w:t>
        </w:r>
      </w:hyperlink>
      <w:r>
        <w:t xml:space="preserve"> </w:t>
      </w:r>
      <w:r>
        <w:t xml:space="preserve">is generated using an R chunk.</w:t>
      </w:r>
    </w:p>
    <w:tbl>
      <w:tblPr>
        <w:tblStyle w:val="Table"/>
        <w:tblW w:type="pct" w:w="5000"/>
        <w:tblLook w:firstRow="0" w:lastRow="0" w:firstColumn="0" w:lastColumn="0" w:noHBand="0" w:noVBand="0" w:val="0000"/>
        <w:jc w:val="start"/>
      </w:tblPr>
      <w:tblGrid>
        <w:gridCol w:w="7920"/>
      </w:tblGrid>
      <w:tr>
        <w:tc>
          <w:tcPr/>
          <w:bookmarkStart w:id="25" w:name="fig-meaningless"/>
          <w:p>
            <w:pPr>
              <w:jc w:val="center"/>
            </w:pPr>
            <w:r>
              <w:drawing>
                <wp:inline>
                  <wp:extent cx="2667000" cy="2667000"/>
                  <wp:effectExtent b="0" l="0" r="0" t="0"/>
                  <wp:docPr descr="" title="" id="23" name="Picture"/>
                  <a:graphic>
                    <a:graphicData uri="http://schemas.openxmlformats.org/drawingml/2006/picture">
                      <pic:pic>
                        <pic:nvPicPr>
                          <pic:cNvPr descr="apples_and_oranges_files/figure-docx/fig-meaningless-1.png" id="24" name="Picture"/>
                          <pic:cNvPicPr>
                            <a:picLocks noChangeArrowheads="1" noChangeAspect="1"/>
                          </pic:cNvPicPr>
                        </pic:nvPicPr>
                        <pic:blipFill>
                          <a:blip r:embed="rId22"/>
                          <a:stretch>
                            <a:fillRect/>
                          </a:stretch>
                        </pic:blipFill>
                        <pic:spPr bwMode="auto">
                          <a:xfrm>
                            <a:off x="0" y="0"/>
                            <a:ext cx="2667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meaningless scatterplot</w:t>
            </w:r>
          </w:p>
          <w:bookmarkEnd w:id="25"/>
        </w:tc>
      </w:tr>
    </w:tbl>
    <w:bookmarkEnd w:id="26"/>
    <w:bookmarkStart w:id="28" w:name="tables-coming-from-rtable"/>
    <w:p>
      <w:pPr>
        <w:pStyle w:val="Heading1"/>
      </w:pPr>
      <w:r>
        <w:t xml:space="preserve">Tables coming from RTable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(mtcars)[,</w:t>
      </w:r>
      <w:r>
        <w:rPr>
          <w:rStyle w:val="DecValTok"/>
        </w:rPr>
        <w:t xml:space="preserve">1</w:t>
      </w:r>
      <w:r>
        <w:rPr>
          <w:rStyle w:val="SpecialCharTok"/>
        </w:rPr>
        <w:t xml:space="preserve">:</w:t>
      </w:r>
      <w:r>
        <w:rPr>
          <w:rStyle w:val="DecValTok"/>
        </w:rPr>
        <w:t xml:space="preserve">4</w:t>
      </w:r>
      <w:r>
        <w:rPr>
          <w:rStyle w:val="NormalTok"/>
        </w:rPr>
        <w:t xml:space="preserve">])</w:t>
      </w:r>
    </w:p>
    <w:bookmarkStart w:id="27" w:name="tbl-simple"/>
    <w:p>
      <w:pPr>
        <w:pStyle w:val="TableCaption"/>
      </w:pPr>
      <w:r>
        <w:t xml:space="preserve">Table 1: Caption centered above table</w:t>
      </w:r>
    </w:p>
    <w:tbl>
      <w:tblPr>
        <w:tblStyle w:val="Table"/>
        <w:tblW w:type="auto" w:w="0"/>
        <w:tblLook w:firstRow="1" w:lastRow="0" w:firstColumn="0" w:lastColumn="0" w:noHBand="0" w:noVBand="0" w:val="0020"/>
        <w:jc w:val="start"/>
        <w:tblCaption w:val="Table 1: Caption centered above table"/>
      </w:tblPr>
      <w:tblGrid>
        <w:gridCol w:w="1584"/>
        <w:gridCol w:w="1584"/>
        <w:gridCol w:w="1584"/>
        <w:gridCol w:w="1584"/>
        <w:gridCol w:w="1584"/>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r>
    </w:tbl>
    <w:bookmarkEnd w:id="27"/>
    <w:bookmarkEnd w:id="28"/>
    <w:bookmarkStart w:id="32" w:name="section"/>
    <w:p>
      <w:pPr>
        <w:pStyle w:val="Heading1"/>
      </w:pPr>
    </w:p>
    <w:bookmarkStart w:id="31" w:name="refs"/>
    <w:bookmarkStart w:id="30" w:name="Xda8925f7ef191f43e35f79969913551909615de"/>
    <w:p>
      <w:pPr>
        <w:pStyle w:val="Bibliography"/>
      </w:pPr>
      <w:r>
        <w:t xml:space="preserve">Stringaris, Argyris, Glyn Lewis, and Barbara Maughan. 2014.</w:t>
      </w:r>
      <w:r>
        <w:t xml:space="preserve"> </w:t>
      </w:r>
      <w:r>
        <w:t xml:space="preserve">“Developmental Pathways from Childhood Conduct Problems to Early Adult Depression:</w:t>
      </w:r>
      <w:r>
        <w:t xml:space="preserve"> </w:t>
      </w:r>
      <w:r>
        <w:t xml:space="preserve">Findings</w:t>
      </w:r>
      <w:r>
        <w:t xml:space="preserve"> </w:t>
      </w:r>
      <w:r>
        <w:t xml:space="preserve">from the</w:t>
      </w:r>
      <w:r>
        <w:t xml:space="preserve"> </w:t>
      </w:r>
      <w:r>
        <w:t xml:space="preserve">ALSPAC</w:t>
      </w:r>
      <w:r>
        <w:t xml:space="preserve"> </w:t>
      </w:r>
      <w:r>
        <w:t xml:space="preserve">Cohort.”</w:t>
      </w:r>
      <w:r>
        <w:t xml:space="preserve"> </w:t>
      </w:r>
      <w:r>
        <w:rPr>
          <w:iCs/>
          <w:i/>
        </w:rPr>
        <w:t xml:space="preserve">The British Journal of Psychiatry : The Journal of Mental Science</w:t>
      </w:r>
      <w:r>
        <w:t xml:space="preserve"> </w:t>
      </w:r>
      <w:r>
        <w:t xml:space="preserve">205 (1): 17–23.</w:t>
      </w:r>
      <w:r>
        <w:t xml:space="preserve"> </w:t>
      </w:r>
      <w:hyperlink r:id="rId29">
        <w:r>
          <w:rPr>
            <w:rStyle w:val="Hyperlink"/>
          </w:rPr>
          <w:t xml:space="preserve">https://doi.org/10.1192/bjp.bp.113.134221</w:t>
        </w:r>
      </w:hyperlink>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doi.org/10.1192/bjp.bp.113.134221"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192/bjp.bp.113.1342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Paper</dc:title>
  <dc:creator>Alice Anonymous; Bob Security; Cat Memes; Derek Zoolander</dc:creator>
  <cp:keywords>keyword1, keyword2</cp:keywords>
  <dcterms:created xsi:type="dcterms:W3CDTF">2023-12-24T10:06:19Z</dcterms:created>
  <dcterms:modified xsi:type="dcterms:W3CDTF">2023-12-24T10:06:19Z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Lorem ipsum dolor sit amet, consectetur adipiscing elit. Vestibulum augue turpis, dictum non malesuada a, volutpat eget velit. Nam placerat turpis purus, eu tristique ex tincidunt et. Mauris sed augue eget turpis ultrices tincidunt. Sed et mi in leo porta egestas. Aliquam non laoreet velit. Nunc quis ex vitae eros aliquet auctor nec ac libero. Duis laoreet sapien eu mi luctus, in bibendum leo molestie. Sed hendrerit diam diam, ac dapibus nisl volutpat vitae. Aliquam bibendum varius libero, eu efficitur justo rutrum at. Sed at tempus elit.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emotion_concepts_paper.bib</vt:lpwstr>
  </property>
  <property fmtid="{D5CDD505-2E9C-101B-9397-08002B2CF9AE}" pid="7" name="by-affiliation">
    <vt:lpwstr/>
  </property>
  <property fmtid="{D5CDD505-2E9C-101B-9397-08002B2CF9AE}" pid="8" name="by-author">
    <vt:lpwstr/>
  </property>
  <property fmtid="{D5CDD505-2E9C-101B-9397-08002B2CF9AE}" pid="9" name="date">
    <vt:lpwstr>2023-12-24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Short Subtitle</vt:lpwstr>
  </property>
  <property fmtid="{D5CDD505-2E9C-101B-9397-08002B2CF9AE}" pid="15" name="toc-title">
    <vt:lpwstr>Table of contents</vt:lpwstr>
  </property>
</Properties>
</file>