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AC282" w14:textId="77777777" w:rsidR="004C0603" w:rsidRDefault="00FD38FC">
      <w:pPr>
        <w:spacing w:line="360" w:lineRule="auto"/>
        <w:jc w:val="center"/>
        <w:rPr>
          <w:rFonts w:eastAsia="楷体"/>
        </w:rPr>
      </w:pPr>
      <w:r>
        <w:rPr>
          <w:rFonts w:eastAsia="楷体"/>
          <w:b/>
          <w:bCs/>
          <w:kern w:val="2"/>
        </w:rP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>
        <w:rPr>
          <w:rFonts w:eastAsia="楷体"/>
          <w:b/>
          <w:bCs/>
          <w:kern w:val="2"/>
        </w:rPr>
        <w:instrText>ADDIN CNKISM.UserStyle</w:instrText>
      </w:r>
      <w:r>
        <w:rPr>
          <w:rFonts w:eastAsia="楷体"/>
          <w:b/>
          <w:bCs/>
          <w:kern w:val="2"/>
        </w:rPr>
      </w:r>
      <w:r>
        <w:rPr>
          <w:rFonts w:eastAsia="楷体"/>
          <w:b/>
          <w:bCs/>
          <w:kern w:val="2"/>
        </w:rPr>
        <w:fldChar w:fldCharType="end"/>
      </w:r>
      <w:r>
        <w:rPr>
          <w:rFonts w:eastAsia="楷体" w:hint="eastAsia"/>
          <w:b/>
          <w:bCs/>
          <w:kern w:val="2"/>
        </w:rPr>
        <w:t>发行人财政性资金流入占经营性现金流入比重分析（包括现金</w:t>
      </w:r>
      <w:proofErr w:type="gramStart"/>
      <w:r>
        <w:rPr>
          <w:rFonts w:eastAsia="楷体" w:hint="eastAsia"/>
          <w:b/>
          <w:bCs/>
          <w:kern w:val="2"/>
        </w:rPr>
        <w:t>流预测表</w:t>
      </w:r>
      <w:proofErr w:type="gramEnd"/>
      <w:r>
        <w:rPr>
          <w:rFonts w:eastAsia="楷体" w:hint="eastAsia"/>
          <w:b/>
          <w:bCs/>
          <w:kern w:val="2"/>
        </w:rPr>
        <w:t>、预测依据和预测结果），现金</w:t>
      </w:r>
      <w:proofErr w:type="gramStart"/>
      <w:r>
        <w:rPr>
          <w:rFonts w:eastAsia="楷体" w:hint="eastAsia"/>
          <w:b/>
          <w:bCs/>
          <w:kern w:val="2"/>
        </w:rPr>
        <w:t>流预测表</w:t>
      </w:r>
      <w:proofErr w:type="gramEnd"/>
      <w:r>
        <w:rPr>
          <w:rFonts w:eastAsia="楷体" w:hint="eastAsia"/>
          <w:b/>
          <w:bCs/>
          <w:kern w:val="2"/>
        </w:rPr>
        <w:t>包括历史近三年现金流情况及未来三至五年（期限</w:t>
      </w:r>
      <w:r>
        <w:rPr>
          <w:rFonts w:eastAsia="楷体" w:hint="eastAsia"/>
          <w:b/>
          <w:bCs/>
          <w:kern w:val="2"/>
        </w:rPr>
        <w:t>1</w:t>
      </w:r>
      <w:r>
        <w:rPr>
          <w:rFonts w:eastAsia="楷体" w:hint="eastAsia"/>
          <w:b/>
          <w:bCs/>
          <w:kern w:val="2"/>
        </w:rPr>
        <w:t>年内项目预测未来三年，其余项目预测未来五年）</w:t>
      </w:r>
      <w:proofErr w:type="gramStart"/>
      <w:r>
        <w:rPr>
          <w:rFonts w:eastAsia="楷体" w:hint="eastAsia"/>
          <w:b/>
          <w:bCs/>
          <w:kern w:val="2"/>
        </w:rPr>
        <w:t>现金流占比</w:t>
      </w:r>
      <w:proofErr w:type="gramEnd"/>
      <w:r>
        <w:rPr>
          <w:rFonts w:eastAsia="楷体" w:hint="eastAsia"/>
          <w:b/>
          <w:bCs/>
          <w:kern w:val="2"/>
        </w:rPr>
        <w:t>预测情况</w:t>
      </w:r>
    </w:p>
    <w:p w14:paraId="31D5887A" w14:textId="50928EAE" w:rsidR="00B95B4F" w:rsidRDefault="00B95B4F" w:rsidP="00B95B4F">
      <w:pPr>
        <w:autoSpaceDE w:val="0"/>
        <w:autoSpaceDN w:val="0"/>
        <w:adjustRightInd w:val="0"/>
        <w:spacing w:line="360" w:lineRule="auto"/>
        <w:jc w:val="both"/>
        <w:rPr>
          <w:rFonts w:eastAsia="楷体"/>
        </w:rPr>
      </w:pPr>
    </w:p>
    <w:p w14:paraId="217890C4" w14:textId="602E0341" w:rsidR="00B95B4F" w:rsidRDefault="00B95B4F" w:rsidP="00B95B4F">
      <w:pPr>
        <w:autoSpaceDE w:val="0"/>
        <w:autoSpaceDN w:val="0"/>
        <w:adjustRightInd w:val="0"/>
        <w:spacing w:line="360" w:lineRule="auto"/>
        <w:ind w:firstLineChars="200" w:firstLine="480"/>
        <w:jc w:val="both"/>
        <w:rPr>
          <w:rFonts w:eastAsia="楷体" w:hint="eastAsia"/>
        </w:rPr>
      </w:pPr>
      <w:r>
        <w:rPr>
          <w:rFonts w:eastAsia="楷体" w:hint="eastAsia"/>
        </w:rPr>
        <w:t>太原市龙城发展投资集团有限公司财政性资金流入有关情况如下：</w:t>
      </w:r>
    </w:p>
    <w:p w14:paraId="20A89EF6" w14:textId="21D40C67" w:rsidR="00B95B4F" w:rsidRDefault="00B95B4F" w:rsidP="00B95B4F">
      <w:pPr>
        <w:spacing w:beforeLines="50" w:before="156" w:line="360" w:lineRule="auto"/>
        <w:ind w:firstLineChars="200" w:firstLine="482"/>
        <w:outlineLvl w:val="1"/>
        <w:rPr>
          <w:rFonts w:eastAsia="楷体"/>
          <w:b/>
          <w:szCs w:val="28"/>
        </w:rPr>
      </w:pPr>
      <w:r>
        <w:rPr>
          <w:rFonts w:eastAsia="楷体"/>
          <w:b/>
          <w:szCs w:val="28"/>
        </w:rPr>
        <w:t>（一）</w:t>
      </w:r>
      <w:r>
        <w:rPr>
          <w:rFonts w:eastAsia="楷体" w:hint="eastAsia"/>
          <w:b/>
          <w:szCs w:val="28"/>
        </w:rPr>
        <w:t>本公司</w:t>
      </w:r>
      <w:r>
        <w:rPr>
          <w:rFonts w:eastAsia="楷体"/>
          <w:b/>
          <w:szCs w:val="28"/>
        </w:rPr>
        <w:t>近三年财政性资金流入情况</w:t>
      </w:r>
    </w:p>
    <w:p w14:paraId="7FE6F86A" w14:textId="09A3A0D2" w:rsidR="00B95B4F" w:rsidRDefault="00B95B4F" w:rsidP="00B95B4F">
      <w:pPr>
        <w:spacing w:line="360" w:lineRule="auto"/>
        <w:jc w:val="center"/>
        <w:rPr>
          <w:rFonts w:eastAsia="楷体"/>
          <w:b/>
          <w:bCs/>
          <w:szCs w:val="28"/>
        </w:rPr>
      </w:pPr>
      <w:bookmarkStart w:id="0" w:name="_Hlk199169724"/>
      <w:r>
        <w:rPr>
          <w:rFonts w:eastAsia="楷体"/>
          <w:b/>
          <w:bCs/>
          <w:szCs w:val="28"/>
        </w:rPr>
        <w:t>表：</w:t>
      </w:r>
      <w:r>
        <w:rPr>
          <w:rFonts w:eastAsia="楷体"/>
          <w:b/>
          <w:bCs/>
          <w:szCs w:val="28"/>
        </w:rPr>
        <w:t>202</w:t>
      </w:r>
      <w:r>
        <w:rPr>
          <w:rFonts w:eastAsia="楷体" w:hint="eastAsia"/>
          <w:b/>
          <w:bCs/>
          <w:szCs w:val="28"/>
        </w:rPr>
        <w:t>2</w:t>
      </w:r>
      <w:r>
        <w:rPr>
          <w:rFonts w:eastAsia="楷体"/>
          <w:b/>
          <w:bCs/>
          <w:szCs w:val="28"/>
        </w:rPr>
        <w:t>-202</w:t>
      </w:r>
      <w:r>
        <w:rPr>
          <w:rFonts w:eastAsia="楷体" w:hint="eastAsia"/>
          <w:b/>
          <w:bCs/>
          <w:szCs w:val="28"/>
        </w:rPr>
        <w:t>4</w:t>
      </w:r>
      <w:r>
        <w:rPr>
          <w:rFonts w:eastAsia="楷体"/>
          <w:b/>
          <w:bCs/>
          <w:szCs w:val="28"/>
        </w:rPr>
        <w:t>年</w:t>
      </w:r>
      <w:r>
        <w:rPr>
          <w:rFonts w:eastAsia="楷体"/>
          <w:b/>
          <w:bCs/>
          <w:szCs w:val="28"/>
        </w:rPr>
        <w:t>本公司</w:t>
      </w:r>
      <w:r>
        <w:rPr>
          <w:rFonts w:eastAsia="楷体"/>
          <w:b/>
          <w:bCs/>
          <w:szCs w:val="28"/>
        </w:rPr>
        <w:t>财政性现金流入明细表</w:t>
      </w:r>
    </w:p>
    <w:p w14:paraId="5AD4EB6C" w14:textId="77777777" w:rsidR="00B95B4F" w:rsidRDefault="00B95B4F" w:rsidP="00B95B4F">
      <w:pPr>
        <w:spacing w:line="360" w:lineRule="auto"/>
        <w:ind w:firstLineChars="200" w:firstLine="480"/>
        <w:jc w:val="right"/>
        <w:rPr>
          <w:rFonts w:eastAsia="楷体"/>
          <w:szCs w:val="28"/>
        </w:rPr>
      </w:pPr>
      <w:bookmarkStart w:id="1" w:name="_Hlk199169806"/>
      <w:bookmarkEnd w:id="0"/>
      <w:r>
        <w:rPr>
          <w:rFonts w:eastAsia="楷体"/>
          <w:szCs w:val="28"/>
        </w:rPr>
        <w:t>单位：万元、</w:t>
      </w:r>
      <w:r>
        <w:rPr>
          <w:rFonts w:eastAsia="楷体"/>
          <w:szCs w:val="28"/>
        </w:rPr>
        <w:t>%</w:t>
      </w:r>
    </w:p>
    <w:tbl>
      <w:tblPr>
        <w:tblW w:w="864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031"/>
        <w:gridCol w:w="2031"/>
        <w:gridCol w:w="2031"/>
      </w:tblGrid>
      <w:tr w:rsidR="00B95B4F" w14:paraId="4F7D3DF4" w14:textId="77777777" w:rsidTr="005E5B1B">
        <w:trPr>
          <w:trHeight w:val="285"/>
          <w:jc w:val="center"/>
        </w:trPr>
        <w:tc>
          <w:tcPr>
            <w:tcW w:w="2547" w:type="dxa"/>
            <w:noWrap/>
            <w:vAlign w:val="center"/>
          </w:tcPr>
          <w:p w14:paraId="3558843F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bookmarkStart w:id="2" w:name="_Hlk199169706"/>
            <w:bookmarkEnd w:id="1"/>
            <w:r>
              <w:rPr>
                <w:rFonts w:eastAsia="楷体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2031" w:type="dxa"/>
            <w:vAlign w:val="center"/>
          </w:tcPr>
          <w:p w14:paraId="1FD641F3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2022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  <w:tc>
          <w:tcPr>
            <w:tcW w:w="2031" w:type="dxa"/>
            <w:vAlign w:val="center"/>
          </w:tcPr>
          <w:p w14:paraId="79ACD1AE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2023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  <w:tc>
          <w:tcPr>
            <w:tcW w:w="2031" w:type="dxa"/>
            <w:noWrap/>
            <w:vAlign w:val="center"/>
          </w:tcPr>
          <w:p w14:paraId="75F4E835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</w:t>
            </w:r>
            <w:r>
              <w:rPr>
                <w:rFonts w:eastAsia="楷体" w:hint="eastAsia"/>
                <w:b/>
                <w:bCs/>
                <w:color w:val="000000"/>
                <w:szCs w:val="21"/>
              </w:rPr>
              <w:t>4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</w:tr>
      <w:tr w:rsidR="00B95B4F" w14:paraId="2B9A9814" w14:textId="77777777" w:rsidTr="005E5B1B">
        <w:trPr>
          <w:trHeight w:val="285"/>
          <w:jc w:val="center"/>
        </w:trPr>
        <w:tc>
          <w:tcPr>
            <w:tcW w:w="2547" w:type="dxa"/>
            <w:noWrap/>
            <w:vAlign w:val="center"/>
          </w:tcPr>
          <w:p w14:paraId="12BE877F" w14:textId="77777777" w:rsidR="00B95B4F" w:rsidRDefault="00B95B4F" w:rsidP="005E5B1B">
            <w:pPr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基础设施资金</w:t>
            </w:r>
          </w:p>
        </w:tc>
        <w:tc>
          <w:tcPr>
            <w:tcW w:w="2031" w:type="dxa"/>
            <w:vAlign w:val="center"/>
          </w:tcPr>
          <w:p w14:paraId="3260BC0C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792,842.62</w:t>
            </w:r>
          </w:p>
        </w:tc>
        <w:tc>
          <w:tcPr>
            <w:tcW w:w="2031" w:type="dxa"/>
            <w:vAlign w:val="center"/>
          </w:tcPr>
          <w:p w14:paraId="441AF8F1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286,880.53</w:t>
            </w:r>
          </w:p>
        </w:tc>
        <w:tc>
          <w:tcPr>
            <w:tcW w:w="2031" w:type="dxa"/>
            <w:noWrap/>
            <w:vAlign w:val="center"/>
          </w:tcPr>
          <w:p w14:paraId="59CD148F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 w:rsidRPr="00704D68">
              <w:rPr>
                <w:rFonts w:eastAsia="楷体" w:hint="eastAsia"/>
                <w:color w:val="000000"/>
                <w:szCs w:val="21"/>
              </w:rPr>
              <w:t>862</w:t>
            </w:r>
            <w:r>
              <w:rPr>
                <w:rFonts w:eastAsia="楷体" w:hint="eastAsia"/>
                <w:color w:val="000000"/>
                <w:szCs w:val="21"/>
              </w:rPr>
              <w:t>,</w:t>
            </w:r>
            <w:r w:rsidRPr="00704D68">
              <w:rPr>
                <w:rFonts w:eastAsia="楷体" w:hint="eastAsia"/>
                <w:color w:val="000000"/>
                <w:szCs w:val="21"/>
              </w:rPr>
              <w:t>963.18</w:t>
            </w:r>
          </w:p>
        </w:tc>
      </w:tr>
      <w:tr w:rsidR="00B95B4F" w14:paraId="68E693AB" w14:textId="77777777" w:rsidTr="005E5B1B">
        <w:trPr>
          <w:trHeight w:val="285"/>
          <w:jc w:val="center"/>
        </w:trPr>
        <w:tc>
          <w:tcPr>
            <w:tcW w:w="2547" w:type="dxa"/>
            <w:noWrap/>
            <w:vAlign w:val="center"/>
          </w:tcPr>
          <w:p w14:paraId="64C900D8" w14:textId="77777777" w:rsidR="00B95B4F" w:rsidRDefault="00B95B4F" w:rsidP="005E5B1B">
            <w:pPr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保障房资金</w:t>
            </w:r>
          </w:p>
        </w:tc>
        <w:tc>
          <w:tcPr>
            <w:tcW w:w="2031" w:type="dxa"/>
            <w:vAlign w:val="center"/>
          </w:tcPr>
          <w:p w14:paraId="0E32468C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310,752.69</w:t>
            </w:r>
          </w:p>
        </w:tc>
        <w:tc>
          <w:tcPr>
            <w:tcW w:w="2031" w:type="dxa"/>
            <w:vAlign w:val="center"/>
          </w:tcPr>
          <w:p w14:paraId="39C927CD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294,053.00</w:t>
            </w:r>
          </w:p>
        </w:tc>
        <w:tc>
          <w:tcPr>
            <w:tcW w:w="2031" w:type="dxa"/>
            <w:noWrap/>
            <w:vAlign w:val="center"/>
          </w:tcPr>
          <w:p w14:paraId="7508AD20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 w:rsidRPr="00704D68">
              <w:rPr>
                <w:rFonts w:eastAsia="楷体" w:hint="eastAsia"/>
                <w:color w:val="000000"/>
                <w:szCs w:val="21"/>
              </w:rPr>
              <w:t>183</w:t>
            </w:r>
            <w:r>
              <w:rPr>
                <w:rFonts w:eastAsia="楷体" w:hint="eastAsia"/>
                <w:color w:val="000000"/>
                <w:szCs w:val="21"/>
              </w:rPr>
              <w:t>,</w:t>
            </w:r>
            <w:r w:rsidRPr="00704D68">
              <w:rPr>
                <w:rFonts w:eastAsia="楷体" w:hint="eastAsia"/>
                <w:color w:val="000000"/>
                <w:szCs w:val="21"/>
              </w:rPr>
              <w:t>295.12</w:t>
            </w:r>
          </w:p>
        </w:tc>
      </w:tr>
      <w:tr w:rsidR="00B95B4F" w14:paraId="5E5DC615" w14:textId="77777777" w:rsidTr="005E5B1B">
        <w:trPr>
          <w:trHeight w:val="285"/>
          <w:jc w:val="center"/>
        </w:trPr>
        <w:tc>
          <w:tcPr>
            <w:tcW w:w="2547" w:type="dxa"/>
            <w:noWrap/>
            <w:vAlign w:val="center"/>
          </w:tcPr>
          <w:p w14:paraId="70BBE873" w14:textId="77777777" w:rsidR="00B95B4F" w:rsidRDefault="00B95B4F" w:rsidP="005E5B1B">
            <w:pPr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其他资金</w:t>
            </w:r>
          </w:p>
        </w:tc>
        <w:tc>
          <w:tcPr>
            <w:tcW w:w="2031" w:type="dxa"/>
            <w:vAlign w:val="center"/>
          </w:tcPr>
          <w:p w14:paraId="73D1821B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17,618.89</w:t>
            </w:r>
          </w:p>
        </w:tc>
        <w:tc>
          <w:tcPr>
            <w:tcW w:w="2031" w:type="dxa"/>
            <w:vAlign w:val="center"/>
          </w:tcPr>
          <w:p w14:paraId="4779293D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156,106.24</w:t>
            </w:r>
          </w:p>
        </w:tc>
        <w:tc>
          <w:tcPr>
            <w:tcW w:w="2031" w:type="dxa"/>
            <w:noWrap/>
            <w:vAlign w:val="center"/>
          </w:tcPr>
          <w:p w14:paraId="0E2FE480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 w:rsidRPr="00704D68">
              <w:rPr>
                <w:rFonts w:eastAsia="楷体" w:hint="eastAsia"/>
                <w:color w:val="000000"/>
                <w:szCs w:val="21"/>
              </w:rPr>
              <w:t>42</w:t>
            </w:r>
            <w:r>
              <w:rPr>
                <w:rFonts w:eastAsia="楷体" w:hint="eastAsia"/>
                <w:color w:val="000000"/>
                <w:szCs w:val="21"/>
              </w:rPr>
              <w:t>,</w:t>
            </w:r>
            <w:r w:rsidRPr="00704D68">
              <w:rPr>
                <w:rFonts w:eastAsia="楷体" w:hint="eastAsia"/>
                <w:color w:val="000000"/>
                <w:szCs w:val="21"/>
              </w:rPr>
              <w:t>377.07</w:t>
            </w:r>
          </w:p>
        </w:tc>
      </w:tr>
      <w:tr w:rsidR="00B95B4F" w14:paraId="038F3657" w14:textId="77777777" w:rsidTr="005E5B1B">
        <w:trPr>
          <w:trHeight w:val="285"/>
          <w:jc w:val="center"/>
        </w:trPr>
        <w:tc>
          <w:tcPr>
            <w:tcW w:w="2547" w:type="dxa"/>
            <w:noWrap/>
            <w:vAlign w:val="center"/>
          </w:tcPr>
          <w:p w14:paraId="4E850DB0" w14:textId="77777777" w:rsidR="00B95B4F" w:rsidRDefault="00B95B4F" w:rsidP="005E5B1B">
            <w:pPr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财政性现金流入合计</w:t>
            </w:r>
          </w:p>
        </w:tc>
        <w:tc>
          <w:tcPr>
            <w:tcW w:w="2031" w:type="dxa"/>
            <w:vAlign w:val="center"/>
          </w:tcPr>
          <w:p w14:paraId="616AEEA7" w14:textId="77777777" w:rsidR="00B95B4F" w:rsidRPr="004C05C5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4C05C5">
              <w:rPr>
                <w:rFonts w:eastAsia="楷体"/>
                <w:b/>
                <w:bCs/>
                <w:color w:val="000000"/>
                <w:szCs w:val="21"/>
              </w:rPr>
              <w:t>1,121,214.20</w:t>
            </w:r>
          </w:p>
        </w:tc>
        <w:tc>
          <w:tcPr>
            <w:tcW w:w="2031" w:type="dxa"/>
            <w:vAlign w:val="center"/>
          </w:tcPr>
          <w:p w14:paraId="5E527514" w14:textId="77777777" w:rsidR="00B95B4F" w:rsidRPr="004C05C5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4C05C5">
              <w:rPr>
                <w:rFonts w:eastAsia="楷体"/>
                <w:b/>
                <w:bCs/>
                <w:color w:val="000000"/>
                <w:szCs w:val="21"/>
              </w:rPr>
              <w:t>737,039.77</w:t>
            </w:r>
          </w:p>
        </w:tc>
        <w:tc>
          <w:tcPr>
            <w:tcW w:w="2031" w:type="dxa"/>
            <w:noWrap/>
            <w:vAlign w:val="center"/>
          </w:tcPr>
          <w:p w14:paraId="1C625623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881,951.14</w:t>
            </w:r>
          </w:p>
        </w:tc>
      </w:tr>
      <w:tr w:rsidR="00B95B4F" w14:paraId="335EFCB2" w14:textId="77777777" w:rsidTr="005E5B1B">
        <w:trPr>
          <w:trHeight w:val="300"/>
          <w:jc w:val="center"/>
        </w:trPr>
        <w:tc>
          <w:tcPr>
            <w:tcW w:w="2547" w:type="dxa"/>
            <w:noWrap/>
            <w:vAlign w:val="center"/>
          </w:tcPr>
          <w:p w14:paraId="28244EDF" w14:textId="77777777" w:rsidR="00B95B4F" w:rsidRDefault="00B95B4F" w:rsidP="005E5B1B">
            <w:pPr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经营活动现金流入</w:t>
            </w:r>
          </w:p>
        </w:tc>
        <w:tc>
          <w:tcPr>
            <w:tcW w:w="2031" w:type="dxa"/>
            <w:vAlign w:val="center"/>
          </w:tcPr>
          <w:p w14:paraId="13F27B62" w14:textId="77777777" w:rsidR="00B95B4F" w:rsidRPr="004C05C5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4C05C5">
              <w:rPr>
                <w:rFonts w:eastAsia="楷体"/>
                <w:b/>
                <w:bCs/>
                <w:color w:val="000000"/>
                <w:szCs w:val="21"/>
              </w:rPr>
              <w:t>1,360,780.66</w:t>
            </w:r>
          </w:p>
        </w:tc>
        <w:tc>
          <w:tcPr>
            <w:tcW w:w="2031" w:type="dxa"/>
            <w:vAlign w:val="center"/>
          </w:tcPr>
          <w:p w14:paraId="5874252F" w14:textId="77777777" w:rsidR="00B95B4F" w:rsidRPr="004C05C5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4C05C5">
              <w:rPr>
                <w:rFonts w:eastAsia="楷体"/>
                <w:b/>
                <w:bCs/>
                <w:color w:val="000000"/>
                <w:szCs w:val="21"/>
              </w:rPr>
              <w:t>902,008.43</w:t>
            </w:r>
          </w:p>
        </w:tc>
        <w:tc>
          <w:tcPr>
            <w:tcW w:w="2031" w:type="dxa"/>
            <w:noWrap/>
            <w:vAlign w:val="center"/>
          </w:tcPr>
          <w:p w14:paraId="7AC359F5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1,049,982.91</w:t>
            </w:r>
          </w:p>
        </w:tc>
      </w:tr>
      <w:tr w:rsidR="00B95B4F" w14:paraId="6FA7146F" w14:textId="77777777" w:rsidTr="005E5B1B">
        <w:trPr>
          <w:trHeight w:val="300"/>
          <w:jc w:val="center"/>
        </w:trPr>
        <w:tc>
          <w:tcPr>
            <w:tcW w:w="2547" w:type="dxa"/>
            <w:noWrap/>
            <w:vAlign w:val="center"/>
          </w:tcPr>
          <w:p w14:paraId="5E1119B2" w14:textId="77777777" w:rsidR="00B95B4F" w:rsidRDefault="00B95B4F" w:rsidP="005E5B1B">
            <w:pPr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财政性现金流入占比</w:t>
            </w:r>
          </w:p>
        </w:tc>
        <w:tc>
          <w:tcPr>
            <w:tcW w:w="2031" w:type="dxa"/>
            <w:vAlign w:val="center"/>
          </w:tcPr>
          <w:p w14:paraId="5113A41E" w14:textId="77777777" w:rsidR="00B95B4F" w:rsidRPr="004C05C5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4C05C5">
              <w:rPr>
                <w:rFonts w:eastAsia="楷体"/>
                <w:b/>
                <w:bCs/>
                <w:color w:val="000000"/>
                <w:szCs w:val="21"/>
              </w:rPr>
              <w:t>82.39</w:t>
            </w:r>
          </w:p>
        </w:tc>
        <w:tc>
          <w:tcPr>
            <w:tcW w:w="2031" w:type="dxa"/>
            <w:vAlign w:val="center"/>
          </w:tcPr>
          <w:p w14:paraId="798C06A9" w14:textId="77777777" w:rsidR="00B95B4F" w:rsidRPr="004C05C5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4C05C5">
              <w:rPr>
                <w:rFonts w:eastAsia="楷体"/>
                <w:b/>
                <w:bCs/>
                <w:color w:val="000000"/>
                <w:szCs w:val="21"/>
              </w:rPr>
              <w:t>81.71</w:t>
            </w:r>
          </w:p>
        </w:tc>
        <w:tc>
          <w:tcPr>
            <w:tcW w:w="2031" w:type="dxa"/>
            <w:vAlign w:val="center"/>
          </w:tcPr>
          <w:p w14:paraId="0BE87397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704D68">
              <w:rPr>
                <w:rFonts w:eastAsia="楷体" w:hint="eastAsia"/>
                <w:b/>
                <w:bCs/>
                <w:color w:val="000000"/>
                <w:szCs w:val="21"/>
              </w:rPr>
              <w:t>103.68</w:t>
            </w:r>
          </w:p>
        </w:tc>
      </w:tr>
    </w:tbl>
    <w:bookmarkEnd w:id="2"/>
    <w:p w14:paraId="77C7E972" w14:textId="266B496B" w:rsidR="00B95B4F" w:rsidRDefault="00B95B4F" w:rsidP="00B95B4F">
      <w:pPr>
        <w:spacing w:beforeLines="50" w:before="156" w:line="360" w:lineRule="auto"/>
        <w:ind w:firstLineChars="200" w:firstLine="482"/>
        <w:outlineLvl w:val="1"/>
        <w:rPr>
          <w:rFonts w:eastAsia="楷体"/>
          <w:b/>
          <w:szCs w:val="28"/>
        </w:rPr>
      </w:pPr>
      <w:r>
        <w:rPr>
          <w:rFonts w:eastAsia="楷体"/>
          <w:b/>
          <w:szCs w:val="28"/>
        </w:rPr>
        <w:t>（二）</w:t>
      </w:r>
      <w:r>
        <w:rPr>
          <w:rFonts w:eastAsia="楷体"/>
          <w:b/>
          <w:szCs w:val="28"/>
        </w:rPr>
        <w:t>本公司</w:t>
      </w:r>
      <w:r>
        <w:rPr>
          <w:rFonts w:eastAsia="楷体"/>
          <w:b/>
          <w:szCs w:val="28"/>
        </w:rPr>
        <w:t>未来财政性资金流入预测</w:t>
      </w:r>
    </w:p>
    <w:p w14:paraId="4B53B5D2" w14:textId="25D52E4C" w:rsidR="00B95B4F" w:rsidRDefault="00B95B4F" w:rsidP="00B95B4F">
      <w:pPr>
        <w:spacing w:line="360" w:lineRule="auto"/>
        <w:ind w:firstLineChars="200" w:firstLine="480"/>
        <w:rPr>
          <w:rFonts w:eastAsia="楷体"/>
          <w:szCs w:val="28"/>
        </w:rPr>
      </w:pPr>
      <w:r>
        <w:rPr>
          <w:rFonts w:eastAsia="楷体"/>
          <w:szCs w:val="28"/>
        </w:rPr>
        <w:t>本预测基于</w:t>
      </w:r>
      <w:r>
        <w:rPr>
          <w:rFonts w:eastAsia="楷体"/>
          <w:szCs w:val="28"/>
        </w:rPr>
        <w:t>本公司</w:t>
      </w:r>
      <w:r>
        <w:rPr>
          <w:rFonts w:eastAsia="楷体"/>
          <w:szCs w:val="28"/>
        </w:rPr>
        <w:t>近三年内不存在影响现金流量的重大资产重组等行为，根据</w:t>
      </w:r>
      <w:r>
        <w:rPr>
          <w:rFonts w:eastAsia="楷体"/>
          <w:szCs w:val="28"/>
        </w:rPr>
        <w:t>本公司</w:t>
      </w:r>
      <w:r>
        <w:rPr>
          <w:rFonts w:eastAsia="楷体"/>
          <w:szCs w:val="28"/>
        </w:rPr>
        <w:t>的业务经营实际情况，以下数据均以现金流量口径统一简化测算。根据</w:t>
      </w:r>
      <w:r>
        <w:rPr>
          <w:rFonts w:eastAsia="楷体"/>
          <w:szCs w:val="28"/>
        </w:rPr>
        <w:t>本公司</w:t>
      </w:r>
      <w:r>
        <w:rPr>
          <w:rFonts w:eastAsia="楷体"/>
          <w:szCs w:val="28"/>
        </w:rPr>
        <w:t>目前财务状况，</w:t>
      </w:r>
      <w:r>
        <w:rPr>
          <w:rFonts w:eastAsia="楷体"/>
          <w:szCs w:val="28"/>
        </w:rPr>
        <w:t>本公司</w:t>
      </w:r>
      <w:r>
        <w:rPr>
          <w:rFonts w:eastAsia="楷体"/>
          <w:szCs w:val="28"/>
        </w:rPr>
        <w:t>未来现金</w:t>
      </w:r>
      <w:proofErr w:type="gramStart"/>
      <w:r>
        <w:rPr>
          <w:rFonts w:eastAsia="楷体"/>
          <w:szCs w:val="28"/>
        </w:rPr>
        <w:t>流主要</w:t>
      </w:r>
      <w:proofErr w:type="gramEnd"/>
      <w:r>
        <w:rPr>
          <w:rFonts w:eastAsia="楷体"/>
          <w:szCs w:val="28"/>
        </w:rPr>
        <w:t>来源于两部分，一是政府支付基础设施建设和保障房回款现金流；二是新能源、经营性物业、公共停车资源管理、文化旅游、清洁能源、教育等板块的经营性现金流。</w:t>
      </w:r>
    </w:p>
    <w:p w14:paraId="6573196C" w14:textId="73D305A6" w:rsidR="00B95B4F" w:rsidRDefault="00B95B4F" w:rsidP="00B95B4F">
      <w:pPr>
        <w:spacing w:line="360" w:lineRule="auto"/>
        <w:jc w:val="center"/>
        <w:rPr>
          <w:rFonts w:eastAsia="楷体"/>
          <w:b/>
          <w:bCs/>
          <w:szCs w:val="28"/>
        </w:rPr>
      </w:pPr>
      <w:r>
        <w:rPr>
          <w:rFonts w:eastAsia="楷体"/>
          <w:b/>
          <w:bCs/>
          <w:szCs w:val="28"/>
        </w:rPr>
        <w:t>表：</w:t>
      </w:r>
      <w:r>
        <w:rPr>
          <w:rFonts w:eastAsia="楷体"/>
          <w:b/>
          <w:bCs/>
          <w:szCs w:val="28"/>
        </w:rPr>
        <w:t>202</w:t>
      </w:r>
      <w:r>
        <w:rPr>
          <w:rFonts w:eastAsia="楷体" w:hint="eastAsia"/>
          <w:b/>
          <w:bCs/>
          <w:szCs w:val="28"/>
        </w:rPr>
        <w:t>5</w:t>
      </w:r>
      <w:r>
        <w:rPr>
          <w:rFonts w:eastAsia="楷体"/>
          <w:b/>
          <w:bCs/>
          <w:szCs w:val="28"/>
        </w:rPr>
        <w:t>-202</w:t>
      </w:r>
      <w:r>
        <w:rPr>
          <w:rFonts w:eastAsia="楷体" w:hint="eastAsia"/>
          <w:b/>
          <w:bCs/>
          <w:szCs w:val="28"/>
        </w:rPr>
        <w:t>9</w:t>
      </w:r>
      <w:r>
        <w:rPr>
          <w:rFonts w:eastAsia="楷体"/>
          <w:b/>
          <w:bCs/>
          <w:szCs w:val="28"/>
        </w:rPr>
        <w:t>年</w:t>
      </w:r>
      <w:r>
        <w:rPr>
          <w:rFonts w:eastAsia="楷体"/>
          <w:b/>
          <w:bCs/>
          <w:szCs w:val="28"/>
        </w:rPr>
        <w:t>本公司</w:t>
      </w:r>
      <w:r>
        <w:rPr>
          <w:rFonts w:eastAsia="楷体"/>
          <w:b/>
          <w:bCs/>
          <w:szCs w:val="28"/>
        </w:rPr>
        <w:t>财政性现金流入测算表</w:t>
      </w:r>
    </w:p>
    <w:p w14:paraId="0BA31FCD" w14:textId="77777777" w:rsidR="00B95B4F" w:rsidRDefault="00B95B4F" w:rsidP="00B95B4F">
      <w:pPr>
        <w:spacing w:line="360" w:lineRule="auto"/>
        <w:ind w:firstLineChars="200" w:firstLine="480"/>
        <w:jc w:val="right"/>
        <w:rPr>
          <w:rFonts w:eastAsia="楷体"/>
          <w:szCs w:val="28"/>
        </w:rPr>
      </w:pPr>
      <w:r>
        <w:rPr>
          <w:rFonts w:eastAsia="楷体"/>
          <w:szCs w:val="28"/>
        </w:rPr>
        <w:t>单位：万元、</w:t>
      </w:r>
      <w:r>
        <w:rPr>
          <w:rFonts w:eastAsia="楷体"/>
          <w:szCs w:val="28"/>
        </w:rPr>
        <w:t>%</w:t>
      </w:r>
    </w:p>
    <w:tbl>
      <w:tblPr>
        <w:tblW w:w="95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1336"/>
        <w:gridCol w:w="1336"/>
        <w:gridCol w:w="1336"/>
        <w:gridCol w:w="1336"/>
        <w:gridCol w:w="1337"/>
      </w:tblGrid>
      <w:tr w:rsidR="00B95B4F" w14:paraId="795FDEA2" w14:textId="77777777" w:rsidTr="00B95B4F">
        <w:trPr>
          <w:trHeight w:val="286"/>
          <w:tblHeader/>
          <w:jc w:val="center"/>
        </w:trPr>
        <w:tc>
          <w:tcPr>
            <w:tcW w:w="2872" w:type="dxa"/>
            <w:vMerge w:val="restart"/>
            <w:vAlign w:val="center"/>
          </w:tcPr>
          <w:p w14:paraId="0C07AD9A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项目名称</w:t>
            </w:r>
          </w:p>
        </w:tc>
        <w:tc>
          <w:tcPr>
            <w:tcW w:w="6681" w:type="dxa"/>
            <w:gridSpan w:val="5"/>
            <w:vAlign w:val="center"/>
          </w:tcPr>
          <w:p w14:paraId="1D9BB448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未来五年回款计划</w:t>
            </w:r>
          </w:p>
        </w:tc>
      </w:tr>
      <w:tr w:rsidR="00B95B4F" w14:paraId="056905F5" w14:textId="77777777" w:rsidTr="00B95B4F">
        <w:trPr>
          <w:trHeight w:val="272"/>
          <w:tblHeader/>
          <w:jc w:val="center"/>
        </w:trPr>
        <w:tc>
          <w:tcPr>
            <w:tcW w:w="2872" w:type="dxa"/>
            <w:vMerge/>
            <w:vAlign w:val="center"/>
          </w:tcPr>
          <w:p w14:paraId="6DECDAB2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</w:p>
        </w:tc>
        <w:tc>
          <w:tcPr>
            <w:tcW w:w="1336" w:type="dxa"/>
            <w:vAlign w:val="center"/>
          </w:tcPr>
          <w:p w14:paraId="328EC398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2025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  <w:tc>
          <w:tcPr>
            <w:tcW w:w="1336" w:type="dxa"/>
            <w:vAlign w:val="center"/>
          </w:tcPr>
          <w:p w14:paraId="29F26B79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2026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  <w:tc>
          <w:tcPr>
            <w:tcW w:w="1336" w:type="dxa"/>
            <w:vAlign w:val="center"/>
          </w:tcPr>
          <w:p w14:paraId="5411BED9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2027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  <w:tc>
          <w:tcPr>
            <w:tcW w:w="1336" w:type="dxa"/>
            <w:vAlign w:val="center"/>
          </w:tcPr>
          <w:p w14:paraId="47D36605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2028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  <w:tc>
          <w:tcPr>
            <w:tcW w:w="1337" w:type="dxa"/>
            <w:vAlign w:val="center"/>
          </w:tcPr>
          <w:p w14:paraId="13FDA9D5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202</w:t>
            </w:r>
            <w:r>
              <w:rPr>
                <w:rFonts w:eastAsia="楷体" w:hint="eastAsia"/>
                <w:b/>
                <w:bCs/>
                <w:color w:val="000000"/>
                <w:szCs w:val="21"/>
              </w:rPr>
              <w:t>9</w:t>
            </w:r>
            <w:r>
              <w:rPr>
                <w:rFonts w:eastAsia="楷体"/>
                <w:b/>
                <w:bCs/>
                <w:color w:val="000000"/>
                <w:szCs w:val="21"/>
              </w:rPr>
              <w:t>年</w:t>
            </w:r>
          </w:p>
        </w:tc>
      </w:tr>
      <w:tr w:rsidR="00B95B4F" w14:paraId="69FABCF5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2916369C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基础设施建设</w:t>
            </w:r>
          </w:p>
        </w:tc>
        <w:tc>
          <w:tcPr>
            <w:tcW w:w="1336" w:type="dxa"/>
            <w:vAlign w:val="center"/>
          </w:tcPr>
          <w:p w14:paraId="5439D7C3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250,000.00</w:t>
            </w:r>
          </w:p>
        </w:tc>
        <w:tc>
          <w:tcPr>
            <w:tcW w:w="1336" w:type="dxa"/>
            <w:vAlign w:val="center"/>
          </w:tcPr>
          <w:p w14:paraId="4A172C8E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150,000.00</w:t>
            </w:r>
          </w:p>
        </w:tc>
        <w:tc>
          <w:tcPr>
            <w:tcW w:w="1336" w:type="dxa"/>
            <w:vAlign w:val="center"/>
          </w:tcPr>
          <w:p w14:paraId="76151FD2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150,000.00</w:t>
            </w:r>
          </w:p>
        </w:tc>
        <w:tc>
          <w:tcPr>
            <w:tcW w:w="1336" w:type="dxa"/>
            <w:vAlign w:val="center"/>
          </w:tcPr>
          <w:p w14:paraId="2372AC22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300,000.00</w:t>
            </w:r>
          </w:p>
        </w:tc>
        <w:tc>
          <w:tcPr>
            <w:tcW w:w="1337" w:type="dxa"/>
            <w:vAlign w:val="center"/>
          </w:tcPr>
          <w:p w14:paraId="01425D1C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300,000.00</w:t>
            </w:r>
          </w:p>
        </w:tc>
      </w:tr>
      <w:tr w:rsidR="00B95B4F" w14:paraId="047C25EA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532FEF47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保障房建设</w:t>
            </w:r>
          </w:p>
        </w:tc>
        <w:tc>
          <w:tcPr>
            <w:tcW w:w="1336" w:type="dxa"/>
            <w:vAlign w:val="center"/>
          </w:tcPr>
          <w:p w14:paraId="70FB47CA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300,000.00</w:t>
            </w:r>
          </w:p>
        </w:tc>
        <w:tc>
          <w:tcPr>
            <w:tcW w:w="1336" w:type="dxa"/>
            <w:vAlign w:val="center"/>
          </w:tcPr>
          <w:p w14:paraId="72FDF7C8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300,000.00</w:t>
            </w:r>
          </w:p>
        </w:tc>
        <w:tc>
          <w:tcPr>
            <w:tcW w:w="1336" w:type="dxa"/>
            <w:vAlign w:val="center"/>
          </w:tcPr>
          <w:p w14:paraId="1417A6F9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300,000.00</w:t>
            </w:r>
          </w:p>
        </w:tc>
        <w:tc>
          <w:tcPr>
            <w:tcW w:w="1336" w:type="dxa"/>
            <w:vAlign w:val="center"/>
          </w:tcPr>
          <w:p w14:paraId="6A6D66E9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300,000.00</w:t>
            </w:r>
          </w:p>
        </w:tc>
        <w:tc>
          <w:tcPr>
            <w:tcW w:w="1337" w:type="dxa"/>
            <w:vAlign w:val="center"/>
          </w:tcPr>
          <w:p w14:paraId="0211EB4A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300,000.00</w:t>
            </w:r>
          </w:p>
        </w:tc>
      </w:tr>
      <w:tr w:rsidR="00B95B4F" w14:paraId="3ED54A39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29C7460C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其他</w:t>
            </w:r>
          </w:p>
        </w:tc>
        <w:tc>
          <w:tcPr>
            <w:tcW w:w="1336" w:type="dxa"/>
            <w:vAlign w:val="center"/>
          </w:tcPr>
          <w:p w14:paraId="5CD70221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50,000.00</w:t>
            </w:r>
          </w:p>
        </w:tc>
        <w:tc>
          <w:tcPr>
            <w:tcW w:w="1336" w:type="dxa"/>
            <w:vAlign w:val="center"/>
          </w:tcPr>
          <w:p w14:paraId="3F799D65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200,000.00</w:t>
            </w:r>
          </w:p>
        </w:tc>
        <w:tc>
          <w:tcPr>
            <w:tcW w:w="1336" w:type="dxa"/>
            <w:vAlign w:val="center"/>
          </w:tcPr>
          <w:p w14:paraId="3797EEFA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200,000.00</w:t>
            </w:r>
          </w:p>
        </w:tc>
        <w:tc>
          <w:tcPr>
            <w:tcW w:w="1336" w:type="dxa"/>
            <w:vAlign w:val="center"/>
          </w:tcPr>
          <w:p w14:paraId="5AB7CB01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150,000.00</w:t>
            </w:r>
          </w:p>
        </w:tc>
        <w:tc>
          <w:tcPr>
            <w:tcW w:w="1337" w:type="dxa"/>
            <w:vAlign w:val="center"/>
          </w:tcPr>
          <w:p w14:paraId="57F3CB90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150,000.00</w:t>
            </w:r>
          </w:p>
        </w:tc>
      </w:tr>
      <w:tr w:rsidR="00B95B4F" w14:paraId="609E00C4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178D50AA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财政性现金流入预测</w:t>
            </w:r>
          </w:p>
        </w:tc>
        <w:tc>
          <w:tcPr>
            <w:tcW w:w="1336" w:type="dxa"/>
            <w:vAlign w:val="center"/>
          </w:tcPr>
          <w:p w14:paraId="235C4913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600,000.00</w:t>
            </w:r>
          </w:p>
        </w:tc>
        <w:tc>
          <w:tcPr>
            <w:tcW w:w="1336" w:type="dxa"/>
            <w:vAlign w:val="center"/>
          </w:tcPr>
          <w:p w14:paraId="266C240A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650,000.00</w:t>
            </w:r>
          </w:p>
        </w:tc>
        <w:tc>
          <w:tcPr>
            <w:tcW w:w="1336" w:type="dxa"/>
            <w:vAlign w:val="center"/>
          </w:tcPr>
          <w:p w14:paraId="1DAF47B6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650,000.00</w:t>
            </w:r>
          </w:p>
        </w:tc>
        <w:tc>
          <w:tcPr>
            <w:tcW w:w="1336" w:type="dxa"/>
            <w:vAlign w:val="center"/>
          </w:tcPr>
          <w:p w14:paraId="685ECDCF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700,000.00</w:t>
            </w:r>
          </w:p>
        </w:tc>
        <w:tc>
          <w:tcPr>
            <w:tcW w:w="1337" w:type="dxa"/>
            <w:vAlign w:val="center"/>
          </w:tcPr>
          <w:p w14:paraId="180A5CFC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700,000.00</w:t>
            </w:r>
          </w:p>
        </w:tc>
      </w:tr>
      <w:tr w:rsidR="00B95B4F" w14:paraId="6041D15E" w14:textId="77777777" w:rsidTr="00B95B4F">
        <w:trPr>
          <w:trHeight w:val="490"/>
          <w:jc w:val="center"/>
        </w:trPr>
        <w:tc>
          <w:tcPr>
            <w:tcW w:w="2872" w:type="dxa"/>
            <w:vAlign w:val="center"/>
          </w:tcPr>
          <w:p w14:paraId="28905B83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经营性物业出租净现金收入</w:t>
            </w:r>
          </w:p>
        </w:tc>
        <w:tc>
          <w:tcPr>
            <w:tcW w:w="1336" w:type="dxa"/>
            <w:vAlign w:val="center"/>
          </w:tcPr>
          <w:p w14:paraId="4513712E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20,000.00</w:t>
            </w:r>
          </w:p>
        </w:tc>
        <w:tc>
          <w:tcPr>
            <w:tcW w:w="1336" w:type="dxa"/>
            <w:vAlign w:val="center"/>
          </w:tcPr>
          <w:p w14:paraId="15E9BB38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30,000.00</w:t>
            </w:r>
          </w:p>
        </w:tc>
        <w:tc>
          <w:tcPr>
            <w:tcW w:w="1336" w:type="dxa"/>
            <w:vAlign w:val="center"/>
          </w:tcPr>
          <w:p w14:paraId="42C00E16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30,000.00</w:t>
            </w:r>
          </w:p>
        </w:tc>
        <w:tc>
          <w:tcPr>
            <w:tcW w:w="1336" w:type="dxa"/>
            <w:vAlign w:val="center"/>
          </w:tcPr>
          <w:p w14:paraId="5CE94B6A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50,000.00 </w:t>
            </w:r>
          </w:p>
        </w:tc>
        <w:tc>
          <w:tcPr>
            <w:tcW w:w="1337" w:type="dxa"/>
            <w:vAlign w:val="center"/>
          </w:tcPr>
          <w:p w14:paraId="7CFF1126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50,000.00 </w:t>
            </w:r>
          </w:p>
        </w:tc>
      </w:tr>
      <w:tr w:rsidR="00B95B4F" w14:paraId="0418E6B9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5809F902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销售材料收入</w:t>
            </w:r>
          </w:p>
        </w:tc>
        <w:tc>
          <w:tcPr>
            <w:tcW w:w="1336" w:type="dxa"/>
            <w:vAlign w:val="center"/>
          </w:tcPr>
          <w:p w14:paraId="11A2B738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40,000.00</w:t>
            </w:r>
          </w:p>
        </w:tc>
        <w:tc>
          <w:tcPr>
            <w:tcW w:w="1336" w:type="dxa"/>
            <w:vAlign w:val="center"/>
          </w:tcPr>
          <w:p w14:paraId="2A5B8BA1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40,000.00</w:t>
            </w:r>
          </w:p>
        </w:tc>
        <w:tc>
          <w:tcPr>
            <w:tcW w:w="1336" w:type="dxa"/>
            <w:vAlign w:val="center"/>
          </w:tcPr>
          <w:p w14:paraId="15086061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40,000.00</w:t>
            </w:r>
          </w:p>
        </w:tc>
        <w:tc>
          <w:tcPr>
            <w:tcW w:w="1336" w:type="dxa"/>
            <w:vAlign w:val="center"/>
          </w:tcPr>
          <w:p w14:paraId="7D662840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40,000.00 </w:t>
            </w:r>
          </w:p>
        </w:tc>
        <w:tc>
          <w:tcPr>
            <w:tcW w:w="1337" w:type="dxa"/>
            <w:vAlign w:val="center"/>
          </w:tcPr>
          <w:p w14:paraId="5323163C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40,000.00 </w:t>
            </w:r>
          </w:p>
        </w:tc>
      </w:tr>
      <w:tr w:rsidR="00B95B4F" w14:paraId="0EA36D4A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4A580266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停车费收入</w:t>
            </w:r>
          </w:p>
        </w:tc>
        <w:tc>
          <w:tcPr>
            <w:tcW w:w="1336" w:type="dxa"/>
            <w:vAlign w:val="center"/>
          </w:tcPr>
          <w:p w14:paraId="2D60EFED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16,800.00</w:t>
            </w:r>
          </w:p>
        </w:tc>
        <w:tc>
          <w:tcPr>
            <w:tcW w:w="1336" w:type="dxa"/>
            <w:vAlign w:val="center"/>
          </w:tcPr>
          <w:p w14:paraId="7AE12E03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15,000.00</w:t>
            </w:r>
          </w:p>
        </w:tc>
        <w:tc>
          <w:tcPr>
            <w:tcW w:w="1336" w:type="dxa"/>
            <w:vAlign w:val="center"/>
          </w:tcPr>
          <w:p w14:paraId="2BAF1DE8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15,000.00</w:t>
            </w:r>
          </w:p>
        </w:tc>
        <w:tc>
          <w:tcPr>
            <w:tcW w:w="1336" w:type="dxa"/>
            <w:vAlign w:val="center"/>
          </w:tcPr>
          <w:p w14:paraId="781B07A6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20,000.00 </w:t>
            </w:r>
          </w:p>
        </w:tc>
        <w:tc>
          <w:tcPr>
            <w:tcW w:w="1337" w:type="dxa"/>
            <w:vAlign w:val="center"/>
          </w:tcPr>
          <w:p w14:paraId="40015840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20,000.00 </w:t>
            </w:r>
          </w:p>
        </w:tc>
      </w:tr>
      <w:tr w:rsidR="00B95B4F" w14:paraId="20B3B8FD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2EA461C9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lastRenderedPageBreak/>
              <w:t>充电</w:t>
            </w:r>
            <w:proofErr w:type="gramStart"/>
            <w:r>
              <w:rPr>
                <w:rFonts w:eastAsia="楷体"/>
                <w:color w:val="000000"/>
                <w:szCs w:val="21"/>
              </w:rPr>
              <w:t>桩收入</w:t>
            </w:r>
            <w:proofErr w:type="gramEnd"/>
          </w:p>
        </w:tc>
        <w:tc>
          <w:tcPr>
            <w:tcW w:w="1336" w:type="dxa"/>
            <w:vAlign w:val="center"/>
          </w:tcPr>
          <w:p w14:paraId="734834CF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13,200.00</w:t>
            </w:r>
          </w:p>
        </w:tc>
        <w:tc>
          <w:tcPr>
            <w:tcW w:w="1336" w:type="dxa"/>
            <w:vAlign w:val="center"/>
          </w:tcPr>
          <w:p w14:paraId="341ECC68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20,000.00</w:t>
            </w:r>
          </w:p>
        </w:tc>
        <w:tc>
          <w:tcPr>
            <w:tcW w:w="1336" w:type="dxa"/>
            <w:vAlign w:val="center"/>
          </w:tcPr>
          <w:p w14:paraId="1C947824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20,000.00</w:t>
            </w:r>
          </w:p>
        </w:tc>
        <w:tc>
          <w:tcPr>
            <w:tcW w:w="1336" w:type="dxa"/>
            <w:vAlign w:val="center"/>
          </w:tcPr>
          <w:p w14:paraId="06D1C610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20,000.00 </w:t>
            </w:r>
          </w:p>
        </w:tc>
        <w:tc>
          <w:tcPr>
            <w:tcW w:w="1337" w:type="dxa"/>
            <w:vAlign w:val="center"/>
          </w:tcPr>
          <w:p w14:paraId="38A80424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 xml:space="preserve">20,000.00 </w:t>
            </w:r>
          </w:p>
        </w:tc>
      </w:tr>
      <w:tr w:rsidR="00B95B4F" w14:paraId="555A1674" w14:textId="77777777" w:rsidTr="00B95B4F">
        <w:trPr>
          <w:trHeight w:val="476"/>
          <w:jc w:val="center"/>
        </w:trPr>
        <w:tc>
          <w:tcPr>
            <w:tcW w:w="2872" w:type="dxa"/>
            <w:vAlign w:val="center"/>
          </w:tcPr>
          <w:p w14:paraId="29CC8892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物业公司提供劳务收到的现金</w:t>
            </w:r>
          </w:p>
        </w:tc>
        <w:tc>
          <w:tcPr>
            <w:tcW w:w="1336" w:type="dxa"/>
            <w:vAlign w:val="center"/>
          </w:tcPr>
          <w:p w14:paraId="26A00788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25,000.00</w:t>
            </w:r>
          </w:p>
        </w:tc>
        <w:tc>
          <w:tcPr>
            <w:tcW w:w="1336" w:type="dxa"/>
            <w:vAlign w:val="center"/>
          </w:tcPr>
          <w:p w14:paraId="644DB29D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25,000.00</w:t>
            </w:r>
          </w:p>
        </w:tc>
        <w:tc>
          <w:tcPr>
            <w:tcW w:w="1336" w:type="dxa"/>
            <w:vAlign w:val="center"/>
          </w:tcPr>
          <w:p w14:paraId="13CA1272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25,000.00</w:t>
            </w:r>
          </w:p>
        </w:tc>
        <w:tc>
          <w:tcPr>
            <w:tcW w:w="1336" w:type="dxa"/>
            <w:vAlign w:val="center"/>
          </w:tcPr>
          <w:p w14:paraId="4A3257FC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30,000.00</w:t>
            </w:r>
          </w:p>
        </w:tc>
        <w:tc>
          <w:tcPr>
            <w:tcW w:w="1337" w:type="dxa"/>
            <w:vAlign w:val="center"/>
          </w:tcPr>
          <w:p w14:paraId="08663DB6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30,000.00</w:t>
            </w:r>
          </w:p>
        </w:tc>
      </w:tr>
      <w:tr w:rsidR="00B95B4F" w14:paraId="3244297C" w14:textId="77777777" w:rsidTr="00B95B4F">
        <w:trPr>
          <w:trHeight w:val="476"/>
          <w:jc w:val="center"/>
        </w:trPr>
        <w:tc>
          <w:tcPr>
            <w:tcW w:w="2872" w:type="dxa"/>
            <w:vAlign w:val="center"/>
          </w:tcPr>
          <w:p w14:paraId="7C1C47D7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旅游公司销售商品提供劳务收入</w:t>
            </w:r>
          </w:p>
        </w:tc>
        <w:tc>
          <w:tcPr>
            <w:tcW w:w="1336" w:type="dxa"/>
            <w:vAlign w:val="center"/>
          </w:tcPr>
          <w:p w14:paraId="63FCEBEE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35,000.00</w:t>
            </w:r>
          </w:p>
        </w:tc>
        <w:tc>
          <w:tcPr>
            <w:tcW w:w="1336" w:type="dxa"/>
            <w:vAlign w:val="center"/>
          </w:tcPr>
          <w:p w14:paraId="78F3E7CB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40,000.00</w:t>
            </w:r>
          </w:p>
        </w:tc>
        <w:tc>
          <w:tcPr>
            <w:tcW w:w="1336" w:type="dxa"/>
            <w:vAlign w:val="center"/>
          </w:tcPr>
          <w:p w14:paraId="40104AE3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40,000.00</w:t>
            </w:r>
          </w:p>
        </w:tc>
        <w:tc>
          <w:tcPr>
            <w:tcW w:w="1336" w:type="dxa"/>
            <w:vAlign w:val="center"/>
          </w:tcPr>
          <w:p w14:paraId="4C15AEEC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40,000.00</w:t>
            </w:r>
          </w:p>
        </w:tc>
        <w:tc>
          <w:tcPr>
            <w:tcW w:w="1337" w:type="dxa"/>
            <w:vAlign w:val="center"/>
          </w:tcPr>
          <w:p w14:paraId="76E46002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  <w:lang w:bidi="ar"/>
              </w:rPr>
              <w:t>40,000.00</w:t>
            </w:r>
          </w:p>
        </w:tc>
      </w:tr>
      <w:tr w:rsidR="00B95B4F" w14:paraId="19F54CE7" w14:textId="77777777" w:rsidTr="00B95B4F">
        <w:trPr>
          <w:trHeight w:val="272"/>
          <w:jc w:val="center"/>
        </w:trPr>
        <w:tc>
          <w:tcPr>
            <w:tcW w:w="2872" w:type="dxa"/>
            <w:vAlign w:val="center"/>
          </w:tcPr>
          <w:p w14:paraId="7BF83E27" w14:textId="77777777" w:rsidR="00B95B4F" w:rsidRDefault="00B95B4F" w:rsidP="005E5B1B">
            <w:pPr>
              <w:jc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其他</w:t>
            </w:r>
          </w:p>
        </w:tc>
        <w:tc>
          <w:tcPr>
            <w:tcW w:w="1336" w:type="dxa"/>
            <w:vAlign w:val="center"/>
          </w:tcPr>
          <w:p w14:paraId="7D7562A3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30,000.00</w:t>
            </w:r>
          </w:p>
        </w:tc>
        <w:tc>
          <w:tcPr>
            <w:tcW w:w="1336" w:type="dxa"/>
            <w:vAlign w:val="center"/>
          </w:tcPr>
          <w:p w14:paraId="1B560CD1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30,000.00</w:t>
            </w:r>
          </w:p>
        </w:tc>
        <w:tc>
          <w:tcPr>
            <w:tcW w:w="1336" w:type="dxa"/>
            <w:vAlign w:val="center"/>
          </w:tcPr>
          <w:p w14:paraId="4F365C4E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30,000.00</w:t>
            </w:r>
          </w:p>
        </w:tc>
        <w:tc>
          <w:tcPr>
            <w:tcW w:w="1336" w:type="dxa"/>
            <w:vAlign w:val="center"/>
          </w:tcPr>
          <w:p w14:paraId="738006E2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-</w:t>
            </w:r>
          </w:p>
        </w:tc>
        <w:tc>
          <w:tcPr>
            <w:tcW w:w="1337" w:type="dxa"/>
            <w:vAlign w:val="center"/>
          </w:tcPr>
          <w:p w14:paraId="1194F12F" w14:textId="77777777" w:rsidR="00B95B4F" w:rsidRDefault="00B95B4F" w:rsidP="005E5B1B">
            <w:pPr>
              <w:jc w:val="right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szCs w:val="21"/>
              </w:rPr>
              <w:t>-</w:t>
            </w:r>
          </w:p>
        </w:tc>
      </w:tr>
      <w:tr w:rsidR="00B95B4F" w14:paraId="569AE2F5" w14:textId="77777777" w:rsidTr="00B95B4F">
        <w:trPr>
          <w:trHeight w:val="476"/>
          <w:jc w:val="center"/>
        </w:trPr>
        <w:tc>
          <w:tcPr>
            <w:tcW w:w="2872" w:type="dxa"/>
            <w:vAlign w:val="center"/>
          </w:tcPr>
          <w:p w14:paraId="7293EF90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其他业务板块经营活动现金流入预测</w:t>
            </w:r>
          </w:p>
        </w:tc>
        <w:tc>
          <w:tcPr>
            <w:tcW w:w="1336" w:type="dxa"/>
            <w:vAlign w:val="center"/>
          </w:tcPr>
          <w:p w14:paraId="305A699D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180,000.00</w:t>
            </w:r>
          </w:p>
        </w:tc>
        <w:tc>
          <w:tcPr>
            <w:tcW w:w="1336" w:type="dxa"/>
            <w:vAlign w:val="center"/>
          </w:tcPr>
          <w:p w14:paraId="17928115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200,000.00</w:t>
            </w:r>
          </w:p>
        </w:tc>
        <w:tc>
          <w:tcPr>
            <w:tcW w:w="1336" w:type="dxa"/>
            <w:vAlign w:val="center"/>
          </w:tcPr>
          <w:p w14:paraId="6A6EBC52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200,000.00</w:t>
            </w:r>
          </w:p>
        </w:tc>
        <w:tc>
          <w:tcPr>
            <w:tcW w:w="1336" w:type="dxa"/>
            <w:vAlign w:val="center"/>
          </w:tcPr>
          <w:p w14:paraId="353B90BF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200,000.00</w:t>
            </w:r>
          </w:p>
        </w:tc>
        <w:tc>
          <w:tcPr>
            <w:tcW w:w="1337" w:type="dxa"/>
            <w:vAlign w:val="center"/>
          </w:tcPr>
          <w:p w14:paraId="492CCBFF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200,000.00</w:t>
            </w:r>
          </w:p>
        </w:tc>
      </w:tr>
      <w:tr w:rsidR="00B95B4F" w14:paraId="3D9B382A" w14:textId="77777777" w:rsidTr="00B95B4F">
        <w:trPr>
          <w:trHeight w:val="490"/>
          <w:jc w:val="center"/>
        </w:trPr>
        <w:tc>
          <w:tcPr>
            <w:tcW w:w="2872" w:type="dxa"/>
            <w:vAlign w:val="center"/>
          </w:tcPr>
          <w:p w14:paraId="0F01AB5F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经营活动现金流入预测</w:t>
            </w:r>
          </w:p>
        </w:tc>
        <w:tc>
          <w:tcPr>
            <w:tcW w:w="1336" w:type="dxa"/>
            <w:vAlign w:val="center"/>
          </w:tcPr>
          <w:p w14:paraId="4E18113C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780,000.00</w:t>
            </w:r>
          </w:p>
        </w:tc>
        <w:tc>
          <w:tcPr>
            <w:tcW w:w="1336" w:type="dxa"/>
            <w:vAlign w:val="center"/>
          </w:tcPr>
          <w:p w14:paraId="0C5A0DB5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850,000.00</w:t>
            </w:r>
          </w:p>
        </w:tc>
        <w:tc>
          <w:tcPr>
            <w:tcW w:w="1336" w:type="dxa"/>
            <w:vAlign w:val="center"/>
          </w:tcPr>
          <w:p w14:paraId="75CC833C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850,000.00</w:t>
            </w:r>
          </w:p>
        </w:tc>
        <w:tc>
          <w:tcPr>
            <w:tcW w:w="1336" w:type="dxa"/>
            <w:vAlign w:val="center"/>
          </w:tcPr>
          <w:p w14:paraId="41D394A0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950,000.00</w:t>
            </w:r>
          </w:p>
        </w:tc>
        <w:tc>
          <w:tcPr>
            <w:tcW w:w="1337" w:type="dxa"/>
            <w:vAlign w:val="center"/>
          </w:tcPr>
          <w:p w14:paraId="6CF99377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950,000.00</w:t>
            </w:r>
          </w:p>
        </w:tc>
      </w:tr>
      <w:tr w:rsidR="00B95B4F" w14:paraId="0D7E6335" w14:textId="77777777" w:rsidTr="00B95B4F">
        <w:trPr>
          <w:trHeight w:val="258"/>
          <w:jc w:val="center"/>
        </w:trPr>
        <w:tc>
          <w:tcPr>
            <w:tcW w:w="2872" w:type="dxa"/>
            <w:vAlign w:val="center"/>
          </w:tcPr>
          <w:p w14:paraId="06C66785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财政性现金流入占比</w:t>
            </w:r>
          </w:p>
        </w:tc>
        <w:tc>
          <w:tcPr>
            <w:tcW w:w="1336" w:type="dxa"/>
            <w:vAlign w:val="center"/>
          </w:tcPr>
          <w:p w14:paraId="047E1F01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76.92</w:t>
            </w:r>
          </w:p>
        </w:tc>
        <w:tc>
          <w:tcPr>
            <w:tcW w:w="1336" w:type="dxa"/>
            <w:vAlign w:val="center"/>
          </w:tcPr>
          <w:p w14:paraId="757819FD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76.47</w:t>
            </w:r>
          </w:p>
        </w:tc>
        <w:tc>
          <w:tcPr>
            <w:tcW w:w="1336" w:type="dxa"/>
            <w:vAlign w:val="center"/>
          </w:tcPr>
          <w:p w14:paraId="1B89FAB2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76.47</w:t>
            </w:r>
          </w:p>
        </w:tc>
        <w:tc>
          <w:tcPr>
            <w:tcW w:w="1336" w:type="dxa"/>
            <w:vAlign w:val="center"/>
          </w:tcPr>
          <w:p w14:paraId="176334D7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73.68</w:t>
            </w:r>
          </w:p>
        </w:tc>
        <w:tc>
          <w:tcPr>
            <w:tcW w:w="1337" w:type="dxa"/>
            <w:vAlign w:val="center"/>
          </w:tcPr>
          <w:p w14:paraId="53EEDC18" w14:textId="77777777" w:rsidR="00B95B4F" w:rsidRDefault="00B95B4F" w:rsidP="005E5B1B">
            <w:pPr>
              <w:jc w:val="right"/>
              <w:rPr>
                <w:rFonts w:eastAsia="楷体"/>
                <w:b/>
                <w:bCs/>
                <w:color w:val="000000"/>
                <w:szCs w:val="21"/>
              </w:rPr>
            </w:pPr>
            <w:r w:rsidRPr="00F27C9D">
              <w:rPr>
                <w:rFonts w:eastAsia="楷体" w:hint="eastAsia"/>
                <w:b/>
                <w:bCs/>
                <w:color w:val="000000"/>
                <w:szCs w:val="21"/>
              </w:rPr>
              <w:t>73.68</w:t>
            </w:r>
          </w:p>
        </w:tc>
      </w:tr>
      <w:tr w:rsidR="00B95B4F" w14:paraId="43DD38F7" w14:textId="77777777" w:rsidTr="00B95B4F">
        <w:trPr>
          <w:trHeight w:val="258"/>
          <w:jc w:val="center"/>
        </w:trPr>
        <w:tc>
          <w:tcPr>
            <w:tcW w:w="2872" w:type="dxa"/>
            <w:vAlign w:val="center"/>
          </w:tcPr>
          <w:p w14:paraId="44B09D9A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Cs w:val="21"/>
              </w:rPr>
              <w:t>未来五年财政性现金流入平均占比预测</w:t>
            </w:r>
          </w:p>
        </w:tc>
        <w:tc>
          <w:tcPr>
            <w:tcW w:w="6681" w:type="dxa"/>
            <w:gridSpan w:val="5"/>
            <w:vAlign w:val="center"/>
          </w:tcPr>
          <w:p w14:paraId="469B035F" w14:textId="77777777" w:rsidR="00B95B4F" w:rsidRDefault="00B95B4F" w:rsidP="005E5B1B">
            <w:pPr>
              <w:jc w:val="center"/>
              <w:rPr>
                <w:rFonts w:eastAsia="楷体"/>
                <w:b/>
                <w:bCs/>
                <w:color w:val="000000"/>
                <w:szCs w:val="21"/>
              </w:rPr>
            </w:pPr>
            <w:r>
              <w:rPr>
                <w:rFonts w:eastAsia="楷体" w:hint="eastAsia"/>
                <w:b/>
                <w:bCs/>
                <w:color w:val="000000"/>
                <w:szCs w:val="21"/>
              </w:rPr>
              <w:t>75.44</w:t>
            </w:r>
          </w:p>
        </w:tc>
      </w:tr>
    </w:tbl>
    <w:p w14:paraId="18DF3353" w14:textId="77777777" w:rsidR="00B95B4F" w:rsidRDefault="00B95B4F" w:rsidP="00B95B4F">
      <w:pPr>
        <w:spacing w:line="360" w:lineRule="auto"/>
        <w:ind w:firstLineChars="200" w:firstLine="480"/>
        <w:rPr>
          <w:rFonts w:eastAsia="楷体"/>
        </w:rPr>
      </w:pPr>
      <w:r>
        <w:rPr>
          <w:rFonts w:eastAsia="楷体"/>
        </w:rPr>
        <w:t>注：未来五年财政性现金流入平均占比</w:t>
      </w:r>
      <w:r>
        <w:rPr>
          <w:rFonts w:eastAsia="楷体"/>
        </w:rPr>
        <w:t>=</w:t>
      </w:r>
      <w:r>
        <w:rPr>
          <w:rFonts w:eastAsia="楷体"/>
        </w:rPr>
        <w:t>五年预测财政性现金流入之和</w:t>
      </w:r>
      <w:r>
        <w:rPr>
          <w:rFonts w:eastAsia="楷体"/>
        </w:rPr>
        <w:t>/</w:t>
      </w:r>
      <w:r>
        <w:rPr>
          <w:rFonts w:eastAsia="楷体"/>
        </w:rPr>
        <w:t>五年预测经营活动现金流入之和</w:t>
      </w:r>
      <w:r>
        <w:rPr>
          <w:rFonts w:eastAsia="楷体"/>
        </w:rPr>
        <w:t>*100%</w:t>
      </w:r>
    </w:p>
    <w:p w14:paraId="45C0B797" w14:textId="095B09D4" w:rsidR="00B95B4F" w:rsidRDefault="00B95B4F" w:rsidP="00B95B4F">
      <w:pPr>
        <w:spacing w:line="360" w:lineRule="auto"/>
        <w:ind w:firstLineChars="200" w:firstLine="480"/>
        <w:rPr>
          <w:rFonts w:eastAsia="楷体"/>
          <w:szCs w:val="28"/>
        </w:rPr>
      </w:pPr>
      <w:r>
        <w:rPr>
          <w:rFonts w:eastAsia="楷体"/>
          <w:szCs w:val="28"/>
        </w:rPr>
        <w:t>综上所述，</w:t>
      </w:r>
      <w:r>
        <w:rPr>
          <w:rFonts w:eastAsia="楷体"/>
          <w:szCs w:val="28"/>
        </w:rPr>
        <w:t>本公司</w:t>
      </w:r>
      <w:r>
        <w:rPr>
          <w:rFonts w:eastAsia="楷体"/>
          <w:szCs w:val="28"/>
        </w:rPr>
        <w:t>近三年财政性现金流入占比分别为</w:t>
      </w:r>
      <w:r>
        <w:rPr>
          <w:rFonts w:eastAsia="楷体"/>
          <w:szCs w:val="28"/>
        </w:rPr>
        <w:t>82.39%</w:t>
      </w:r>
      <w:r>
        <w:rPr>
          <w:rFonts w:eastAsia="楷体" w:hint="eastAsia"/>
          <w:szCs w:val="28"/>
        </w:rPr>
        <w:t>、</w:t>
      </w:r>
      <w:r>
        <w:rPr>
          <w:rFonts w:eastAsia="楷体"/>
          <w:szCs w:val="28"/>
        </w:rPr>
        <w:t>81.87%</w:t>
      </w:r>
      <w:r>
        <w:rPr>
          <w:rFonts w:eastAsia="楷体" w:hint="eastAsia"/>
          <w:szCs w:val="28"/>
        </w:rPr>
        <w:t>和</w:t>
      </w:r>
      <w:r w:rsidRPr="00704D68">
        <w:rPr>
          <w:rFonts w:eastAsia="楷体" w:hint="eastAsia"/>
          <w:szCs w:val="28"/>
        </w:rPr>
        <w:t>103.68</w:t>
      </w:r>
      <w:r>
        <w:rPr>
          <w:rFonts w:eastAsia="楷体" w:hint="eastAsia"/>
          <w:szCs w:val="28"/>
        </w:rPr>
        <w:t>%</w:t>
      </w:r>
      <w:r>
        <w:rPr>
          <w:rFonts w:eastAsia="楷体"/>
          <w:szCs w:val="28"/>
        </w:rPr>
        <w:t>，未来五年财政性现金流入平均占比预计为</w:t>
      </w:r>
      <w:r w:rsidRPr="004C05C5">
        <w:rPr>
          <w:rFonts w:eastAsia="楷体" w:hint="eastAsia"/>
          <w:szCs w:val="28"/>
        </w:rPr>
        <w:t>75.44</w:t>
      </w:r>
      <w:r>
        <w:rPr>
          <w:rFonts w:eastAsia="楷体"/>
          <w:szCs w:val="28"/>
        </w:rPr>
        <w:t>%</w:t>
      </w:r>
      <w:r>
        <w:rPr>
          <w:rFonts w:eastAsia="楷体"/>
          <w:szCs w:val="28"/>
        </w:rPr>
        <w:t>。</w:t>
      </w:r>
    </w:p>
    <w:p w14:paraId="21573070" w14:textId="77777777" w:rsidR="004C0603" w:rsidRDefault="004C0603">
      <w:pPr>
        <w:autoSpaceDE w:val="0"/>
        <w:autoSpaceDN w:val="0"/>
        <w:adjustRightInd w:val="0"/>
        <w:spacing w:line="360" w:lineRule="auto"/>
        <w:ind w:firstLineChars="200" w:firstLine="480"/>
        <w:jc w:val="both"/>
        <w:rPr>
          <w:rFonts w:eastAsia="楷体"/>
          <w:color w:val="000000" w:themeColor="text1"/>
        </w:rPr>
        <w:sectPr w:rsidR="004C0603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E9EF76" w14:textId="6354FAF2" w:rsidR="004C0603" w:rsidRDefault="00FD38FC">
      <w:pPr>
        <w:autoSpaceDE w:val="0"/>
        <w:autoSpaceDN w:val="0"/>
        <w:adjustRightInd w:val="0"/>
        <w:spacing w:line="360" w:lineRule="auto"/>
        <w:ind w:firstLineChars="200" w:firstLine="480"/>
        <w:jc w:val="both"/>
        <w:rPr>
          <w:rFonts w:eastAsia="楷体"/>
        </w:rPr>
      </w:pPr>
      <w:r>
        <w:rPr>
          <w:rFonts w:eastAsia="楷体"/>
        </w:rPr>
        <w:lastRenderedPageBreak/>
        <w:t>（本页无正文，为《发行人财政性资金流入占经营性现金流入比重分析（包括现金流预测表、预测依据和预测结果），现金流预测表包括历史近三年现金流情况及未来三至五年（期限</w:t>
      </w:r>
      <w:r>
        <w:rPr>
          <w:rFonts w:eastAsia="楷体"/>
        </w:rPr>
        <w:t>1</w:t>
      </w:r>
      <w:r>
        <w:rPr>
          <w:rFonts w:eastAsia="楷体"/>
        </w:rPr>
        <w:t>年内项目预测未来三年，其余项目预测未来五年）现金流占比预测情况》盖章页）</w:t>
      </w:r>
    </w:p>
    <w:p w14:paraId="3194533E" w14:textId="77777777" w:rsidR="004C0603" w:rsidRDefault="004C0603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224A2F0B" w14:textId="77777777" w:rsidR="004C0603" w:rsidRDefault="004C0603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  <w:bookmarkStart w:id="3" w:name="_GoBack"/>
      <w:bookmarkEnd w:id="3"/>
    </w:p>
    <w:p w14:paraId="12FB7158" w14:textId="77777777" w:rsidR="004C0603" w:rsidRDefault="004C0603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53380739" w14:textId="77777777" w:rsidR="004C0603" w:rsidRDefault="00FD38FC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 w:hint="eastAsia"/>
        </w:rPr>
        <w:t>太原市龙城发展投资集团有限公司</w:t>
      </w:r>
    </w:p>
    <w:p w14:paraId="2779EFC6" w14:textId="77777777" w:rsidR="004C0603" w:rsidRDefault="004C0603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</w:p>
    <w:p w14:paraId="0BF03F26" w14:textId="77777777" w:rsidR="004C0603" w:rsidRDefault="00FD38FC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/>
        </w:rPr>
        <w:t>年</w:t>
      </w:r>
      <w:r>
        <w:rPr>
          <w:rFonts w:eastAsia="楷体"/>
        </w:rPr>
        <w:t xml:space="preserve">    </w:t>
      </w:r>
      <w:r>
        <w:rPr>
          <w:rFonts w:eastAsia="楷体"/>
        </w:rPr>
        <w:t>月</w:t>
      </w:r>
      <w:r>
        <w:rPr>
          <w:rFonts w:eastAsia="楷体"/>
        </w:rPr>
        <w:t xml:space="preserve">    </w:t>
      </w:r>
      <w:r>
        <w:rPr>
          <w:rFonts w:eastAsia="楷体"/>
        </w:rPr>
        <w:t>日</w:t>
      </w:r>
    </w:p>
    <w:p w14:paraId="1AB33B78" w14:textId="77777777" w:rsidR="004C0603" w:rsidRDefault="004C0603">
      <w:pPr>
        <w:spacing w:line="360" w:lineRule="auto"/>
        <w:jc w:val="center"/>
        <w:rPr>
          <w:rFonts w:eastAsia="楷体"/>
          <w:b/>
          <w:bCs/>
        </w:rPr>
      </w:pPr>
    </w:p>
    <w:p w14:paraId="68FD39F1" w14:textId="77777777" w:rsidR="004C0603" w:rsidRDefault="004C0603">
      <w:pPr>
        <w:rPr>
          <w:rFonts w:eastAsia="楷体"/>
        </w:rPr>
      </w:pPr>
    </w:p>
    <w:sectPr w:rsidR="004C06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6EEC4" w14:textId="77777777" w:rsidR="00FD38FC" w:rsidRDefault="00FD38FC">
      <w:r>
        <w:separator/>
      </w:r>
    </w:p>
  </w:endnote>
  <w:endnote w:type="continuationSeparator" w:id="0">
    <w:p w14:paraId="3A9BA30A" w14:textId="77777777" w:rsidR="00FD38FC" w:rsidRDefault="00FD3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498F2" w14:textId="77777777" w:rsidR="00FD38FC" w:rsidRDefault="00FD38FC">
      <w:r>
        <w:separator/>
      </w:r>
    </w:p>
  </w:footnote>
  <w:footnote w:type="continuationSeparator" w:id="0">
    <w:p w14:paraId="785EB59A" w14:textId="77777777" w:rsidR="00FD38FC" w:rsidRDefault="00FD3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7CADD" w14:textId="77777777" w:rsidR="004C0603" w:rsidRDefault="004C0603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359"/>
    <w:rsid w:val="DAFF2D44"/>
    <w:rsid w:val="00012504"/>
    <w:rsid w:val="000955F4"/>
    <w:rsid w:val="000B5CF1"/>
    <w:rsid w:val="000B6970"/>
    <w:rsid w:val="000C162C"/>
    <w:rsid w:val="000E28AD"/>
    <w:rsid w:val="000F3293"/>
    <w:rsid w:val="001B7D79"/>
    <w:rsid w:val="001F7EBA"/>
    <w:rsid w:val="00214153"/>
    <w:rsid w:val="00225C3C"/>
    <w:rsid w:val="00232E79"/>
    <w:rsid w:val="002B265D"/>
    <w:rsid w:val="002F3A23"/>
    <w:rsid w:val="002F5903"/>
    <w:rsid w:val="00305C7E"/>
    <w:rsid w:val="00307B64"/>
    <w:rsid w:val="00402FC5"/>
    <w:rsid w:val="00424CDC"/>
    <w:rsid w:val="0043574F"/>
    <w:rsid w:val="004C0603"/>
    <w:rsid w:val="004C2E79"/>
    <w:rsid w:val="00511647"/>
    <w:rsid w:val="00515F4D"/>
    <w:rsid w:val="00551CDE"/>
    <w:rsid w:val="00603091"/>
    <w:rsid w:val="00627D37"/>
    <w:rsid w:val="00645D21"/>
    <w:rsid w:val="00690CAA"/>
    <w:rsid w:val="006C411B"/>
    <w:rsid w:val="006D2FE4"/>
    <w:rsid w:val="0070454F"/>
    <w:rsid w:val="007A00BD"/>
    <w:rsid w:val="007C5019"/>
    <w:rsid w:val="007D484B"/>
    <w:rsid w:val="007F62FD"/>
    <w:rsid w:val="008225D4"/>
    <w:rsid w:val="0083747C"/>
    <w:rsid w:val="0085269B"/>
    <w:rsid w:val="008824C6"/>
    <w:rsid w:val="008A67AE"/>
    <w:rsid w:val="008E4ECD"/>
    <w:rsid w:val="00912BA9"/>
    <w:rsid w:val="009616EC"/>
    <w:rsid w:val="00965850"/>
    <w:rsid w:val="00A3747D"/>
    <w:rsid w:val="00A37EA6"/>
    <w:rsid w:val="00A461BD"/>
    <w:rsid w:val="00A70F90"/>
    <w:rsid w:val="00A740F5"/>
    <w:rsid w:val="00AB18D2"/>
    <w:rsid w:val="00AC672C"/>
    <w:rsid w:val="00B03F71"/>
    <w:rsid w:val="00B273AF"/>
    <w:rsid w:val="00B526F6"/>
    <w:rsid w:val="00B95B4F"/>
    <w:rsid w:val="00BB1049"/>
    <w:rsid w:val="00BC085B"/>
    <w:rsid w:val="00BC6315"/>
    <w:rsid w:val="00BD33A7"/>
    <w:rsid w:val="00BD57E9"/>
    <w:rsid w:val="00BE2B74"/>
    <w:rsid w:val="00BF5DF1"/>
    <w:rsid w:val="00C342EB"/>
    <w:rsid w:val="00C3688A"/>
    <w:rsid w:val="00CC1465"/>
    <w:rsid w:val="00D10F5E"/>
    <w:rsid w:val="00D12454"/>
    <w:rsid w:val="00D23003"/>
    <w:rsid w:val="00D30F82"/>
    <w:rsid w:val="00DD4525"/>
    <w:rsid w:val="00DE1B96"/>
    <w:rsid w:val="00DF1CFC"/>
    <w:rsid w:val="00E060F2"/>
    <w:rsid w:val="00E40847"/>
    <w:rsid w:val="00E75359"/>
    <w:rsid w:val="00EC5CF9"/>
    <w:rsid w:val="00ED1616"/>
    <w:rsid w:val="00ED23C4"/>
    <w:rsid w:val="00EF0E93"/>
    <w:rsid w:val="00F30C9A"/>
    <w:rsid w:val="00F63C03"/>
    <w:rsid w:val="00FC60D1"/>
    <w:rsid w:val="00FD38FC"/>
    <w:rsid w:val="5EFD8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1DBFF0F"/>
  <w15:docId w15:val="{CBFC49A1-22EF-41D7-9770-7CB0F6F0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</w:pPr>
    <w:rPr>
      <w:rFonts w:eastAsia="仿宋" w:cstheme="minorBidi"/>
      <w:kern w:val="2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table" w:styleId="ab">
    <w:name w:val="Table Grid"/>
    <w:basedOn w:val="a1"/>
    <w:uiPriority w:val="59"/>
    <w:qFormat/>
    <w:rPr>
      <w:rFonts w:ascii="Calibri" w:eastAsia="宋体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basedOn w:val="a0"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仿宋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zhenghaochen</cp:lastModifiedBy>
  <cp:revision>21</cp:revision>
  <dcterms:created xsi:type="dcterms:W3CDTF">2022-06-25T21:22:00Z</dcterms:created>
  <dcterms:modified xsi:type="dcterms:W3CDTF">2025-11-20T05:55:00Z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93F3D0D8775A654E7CD46F66BA1BF56F_42</vt:lpwstr>
  </property>
</Properties>
</file>