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% DPP Capgemini — Technical Documentation</w:t>
      </w:r>
      <w:r>
        <w:t xml:space="preserve"> </w:t>
      </w:r>
      <w:r>
        <w:t xml:space="preserve">% Digital Product Passport Backend (Fashion)</w:t>
      </w:r>
      <w:r>
        <w:t xml:space="preserve"> </w:t>
      </w:r>
      <w:r>
        <w:t xml:space="preserve">% 2026</w:t>
      </w:r>
    </w:p>
    <w:bookmarkStart w:id="20" w:name="overview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dpp_capgemini</w:t>
      </w:r>
      <w:r>
        <w:t xml:space="preserve"> </w:t>
      </w:r>
      <w:r>
        <w:t xml:space="preserve">project is a backend for an EU-ESPR–oriented Digital Product Passport (DPP) targeted at the fashion industry. It is implemented as a TUM × Capgemini student project.</w:t>
      </w:r>
    </w:p>
    <w:p>
      <w:pPr>
        <w:pStyle w:val="BodyText"/>
      </w:pPr>
      <w:r>
        <w:rPr>
          <w:bCs/>
          <w:b/>
        </w:rPr>
        <w:t xml:space="preserve">Technology stack</w:t>
      </w:r>
    </w:p>
    <w:p>
      <w:pPr>
        <w:numPr>
          <w:ilvl w:val="0"/>
          <w:numId w:val="1001"/>
        </w:numPr>
        <w:pStyle w:val="Compact"/>
      </w:pPr>
      <w:r>
        <w:t xml:space="preserve">SAP Cloud Application Programming Model (CAP), Node.js,</w:t>
      </w:r>
      <w:r>
        <w:t xml:space="preserve"> </w:t>
      </w:r>
      <w:r>
        <w:rPr>
          <w:rStyle w:val="VerbatimChar"/>
        </w:rPr>
        <w:t xml:space="preserve">@sap/cds</w:t>
      </w:r>
      <w:r>
        <w:t xml:space="preserve"> </w:t>
      </w:r>
      <w:r>
        <w:t xml:space="preserve">^9</w:t>
      </w:r>
    </w:p>
    <w:p>
      <w:pPr>
        <w:numPr>
          <w:ilvl w:val="0"/>
          <w:numId w:val="1001"/>
        </w:numPr>
        <w:pStyle w:val="Compact"/>
      </w:pPr>
      <w:r>
        <w:t xml:space="preserve">CDS data model, OData V4 services, auto-generated OpenAPI / Swagger</w:t>
      </w:r>
    </w:p>
    <w:p>
      <w:pPr>
        <w:numPr>
          <w:ilvl w:val="0"/>
          <w:numId w:val="1001"/>
        </w:numPr>
        <w:pStyle w:val="Compact"/>
      </w:pPr>
      <w:r>
        <w:t xml:space="preserve">SQLite (development) / SAP HANA Cloud (production on SAP BTP)</w:t>
      </w:r>
    </w:p>
    <w:p>
      <w:pPr>
        <w:numPr>
          <w:ilvl w:val="0"/>
          <w:numId w:val="1001"/>
        </w:numPr>
        <w:pStyle w:val="Compact"/>
      </w:pPr>
      <w:r>
        <w:t xml:space="preserve">XSUAA authentication with four 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</w:t>
      </w:r>
    </w:p>
    <w:p>
      <w:pPr>
        <w:numPr>
          <w:ilvl w:val="0"/>
          <w:numId w:val="1001"/>
        </w:numPr>
        <w:pStyle w:val="Compact"/>
      </w:pPr>
      <w:r>
        <w:t xml:space="preserve">Public consumer endpoint (</w:t>
      </w:r>
      <w:r>
        <w:rPr>
          <w:rStyle w:val="VerbatimChar"/>
        </w:rPr>
        <w:t xml:space="preserve">/public/dpp/:token</w:t>
      </w:r>
      <w:r>
        <w:t xml:space="preserve">, no login) with QR-code PNG generation</w:t>
      </w:r>
    </w:p>
    <w:p>
      <w:pPr>
        <w:numPr>
          <w:ilvl w:val="0"/>
          <w:numId w:val="1001"/>
        </w:numPr>
        <w:pStyle w:val="Compact"/>
      </w:pPr>
      <w:r>
        <w:t xml:space="preserve">Jest unit tests +</w:t>
      </w:r>
      <w:r>
        <w:t xml:space="preserve"> </w:t>
      </w:r>
      <w:r>
        <w:rPr>
          <w:rStyle w:val="VerbatimChar"/>
        </w:rPr>
        <w:t xml:space="preserve">cds.test</w:t>
      </w:r>
      <w:r>
        <w:t xml:space="preserve"> </w:t>
      </w:r>
      <w:r>
        <w:t xml:space="preserve">integration tests</w:t>
      </w:r>
    </w:p>
    <w:bookmarkEnd w:id="20"/>
    <w:bookmarkStart w:id="31" w:name="Xc1af58fc431aa4117cac9562448e50d1e6f578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Technical Data Model (Data Schema)</w:t>
      </w:r>
    </w:p>
    <w:p>
      <w:pPr>
        <w:pStyle w:val="FirstParagraph"/>
      </w:pPr>
      <w:r>
        <w:t xml:space="preserve">The data model is declared in CDS (SAP Cloud Application Programming Model) and lives under</w:t>
      </w:r>
      <w:r>
        <w:t xml:space="preserve"> </w:t>
      </w:r>
      <w:r>
        <w:rPr>
          <w:rStyle w:val="VerbatimChar"/>
        </w:rPr>
        <w:t xml:space="preserve">db/</w:t>
      </w:r>
      <w:r>
        <w:t xml:space="preserve">. It is split into three files: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db/common.cds</w:t>
      </w:r>
      <w:r>
        <w:t xml:space="preserve"> </w:t>
      </w:r>
      <w:r>
        <w:t xml:space="preserve">— base types and enumerations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db/org.cds</w:t>
      </w:r>
      <w:r>
        <w:t xml:space="preserve"> </w:t>
      </w:r>
      <w:r>
        <w:t xml:space="preserve">— organization and user master data (tenant level)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db/dpp.cds</w:t>
      </w:r>
      <w:r>
        <w:t xml:space="preserve"> </w:t>
      </w:r>
      <w:r>
        <w:t xml:space="preserve">— DPP core model with composition children</w:t>
      </w:r>
    </w:p>
    <w:bookmarkStart w:id="21" w:name="X5df68e8f5aa7d5ad3c277b30a691994095685c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Types and Enumerations (</w:t>
      </w:r>
      <w:r>
        <w:rPr>
          <w:rStyle w:val="VerbatimChar"/>
        </w:rPr>
        <w:t xml:space="preserve">common.cds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CountryISO2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String(2)</w:t>
            </w:r>
          </w:p>
        </w:tc>
        <w:tc>
          <w:p>
            <w:pPr>
              <w:pStyle w:val="Compact"/>
              <w:jc w:val="left"/>
            </w:pPr>
            <w:r>
              <w:t xml:space="preserve">ISO-3166-1 alpha-2 country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String(14)</w:t>
            </w:r>
          </w:p>
        </w:tc>
        <w:tc>
          <w:p>
            <w:pPr>
              <w:pStyle w:val="Compact"/>
              <w:jc w:val="left"/>
            </w:pPr>
            <w:r>
              <w:t xml:space="preserve">Global Trade Item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String(13)</w:t>
            </w:r>
          </w:p>
        </w:tc>
        <w:tc>
          <w:p>
            <w:pPr>
              <w:pStyle w:val="Compact"/>
              <w:jc w:val="left"/>
            </w:pPr>
            <w:r>
              <w:t xml:space="preserve">Global Location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EmailAddr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String(254)</w:t>
            </w:r>
          </w:p>
        </w:tc>
        <w:tc>
          <w:p>
            <w:pPr>
              <w:pStyle w:val="Compact"/>
              <w:jc w:val="left"/>
            </w:pPr>
            <w:r>
              <w:t xml:space="preserve">RFC 5321-compliant e-mail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String(500)</w:t>
            </w:r>
          </w:p>
        </w:tc>
        <w:tc>
          <w:p>
            <w:pPr>
              <w:pStyle w:val="Compact"/>
              <w:jc w:val="left"/>
            </w:pPr>
            <w:r>
              <w:t xml:space="preserve">External references, QR 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Sha256Hex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String(64)</w:t>
            </w:r>
          </w:p>
        </w:tc>
        <w:tc>
          <w:p>
            <w:pPr>
              <w:pStyle w:val="Compact"/>
              <w:jc w:val="left"/>
            </w:pPr>
            <w:r>
              <w:t xml:space="preserve">Hash audit for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brand, manufacturer, supplier, distributor, retailer, logistics_provider, recycler, repair_service, certifier, authority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DPPStatus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draft, published, superseded, archived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public, restricted, internal, authority_only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declared, documented, third_party_verified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Granularity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model, batch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MaterialClass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natural_plant, natural_animal, synthetic, regenerated, recycled, bio_based, metal, other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ComplianceStandard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ESPR, EU_Textile_Labelling, REACH, SCIP, CSDDD, CSRD, AGEC_FR, GOTS, OEKO_TEX, BLUESIGN, CRADLE_TO_CRADLE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certificate, audit_report, test_report, declaration, safety_sheet, care_label, repair_manual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UserRole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admin, editor, viewer, authority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LifecycleEventType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manufactured, sold, repaired, resold, refurbished, recycled, disposed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SupplyChainTier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tier1, tier2, tier3, tier4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identified</w:t>
      </w:r>
      <w:r>
        <w:t xml:space="preserve"> </w:t>
      </w:r>
      <w:r>
        <w:t xml:space="preserve">aspect provides a readable</w:t>
      </w:r>
      <w:r>
        <w:t xml:space="preserve"> </w:t>
      </w:r>
      <w:r>
        <w:rPr>
          <w:rStyle w:val="VerbatimChar"/>
        </w:rPr>
        <w:t xml:space="preserve">String(36)</w:t>
      </w:r>
      <w:r>
        <w:t xml:space="preserve"> </w:t>
      </w:r>
      <w:r>
        <w:t xml:space="preserve">key instead of a UUID. This is a deliberate choice so that sample IDs such as</w:t>
      </w:r>
      <w:r>
        <w:t xml:space="preserve"> </w:t>
      </w:r>
      <w:r>
        <w:rPr>
          <w:rStyle w:val="VerbatimChar"/>
        </w:rPr>
        <w:t xml:space="preserve">dpp-001</w:t>
      </w:r>
      <w:r>
        <w:t xml:space="preserve"> </w:t>
      </w:r>
      <w:r>
        <w:t xml:space="preserve">and upstream system identifiers can be kept unchanged.</w:t>
      </w:r>
    </w:p>
    <w:bookmarkEnd w:id="21"/>
    <w:bookmarkStart w:id="25" w:name="X5591722c79358944266b8455e9e05a3a6fb222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Tenant and Master Data Entities (</w:t>
      </w:r>
      <w:r>
        <w:rPr>
          <w:rStyle w:val="VerbatimChar"/>
        </w:rPr>
        <w:t xml:space="preserve">org.cds</w:t>
      </w:r>
      <w:r>
        <w:t xml:space="preserve">)</w:t>
      </w:r>
    </w:p>
    <w:bookmarkStart w:id="22" w:name="organizations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Organizations</w:t>
      </w:r>
    </w:p>
    <w:p>
      <w:pPr>
        <w:pStyle w:val="FirstParagraph"/>
      </w:pPr>
      <w:r>
        <w:t xml:space="preserve">The tenant is represented by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 (UNIQUE). An organization owns Facilities and Users.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legal_name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trade_name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organization_type</w:t>
            </w:r>
          </w:p>
        </w:tc>
        <w:tc>
          <w:p>
            <w:pPr>
              <w:pStyle w:val="Compact"/>
              <w:jc w:val="left"/>
            </w:pPr>
            <w:r>
              <w:t xml:space="preserve">OrgType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country_iso2</w:t>
            </w:r>
          </w:p>
        </w:tc>
        <w:tc>
          <w:p>
            <w:pPr>
              <w:pStyle w:val="Compact"/>
              <w:jc w:val="left"/>
            </w:pPr>
            <w:r>
              <w:t xml:space="preserve">CountryISO2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p>
            <w:pPr>
              <w:pStyle w:val="Compact"/>
              <w:jc w:val="left"/>
            </w:pPr>
            <w:r>
              <w:t xml:space="preserve">String(80)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gln</w:t>
            </w:r>
          </w:p>
        </w:tc>
        <w:tc>
          <w:p>
            <w:pPr>
              <w:pStyle w:val="Compact"/>
              <w:jc w:val="left"/>
            </w:pPr>
            <w:r>
              <w:t xml:space="preserve">GLN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p>
            <w:pPr>
              <w:pStyle w:val="Compact"/>
              <w:jc w:val="left"/>
            </w:pPr>
            <w:r>
              <w:t xml:space="preserve">String(64)</w:t>
            </w:r>
          </w:p>
        </w:tc>
        <w:tc>
          <w:p>
            <w:pPr>
              <w:pStyle w:val="Compact"/>
              <w:jc w:val="left"/>
            </w:pPr>
            <w:r>
              <w:t xml:space="preserve">not null, UNIQUE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is_platform_tenant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</w:tr>
    </w:tbl>
    <w:bookmarkEnd w:id="22"/>
    <w:bookmarkStart w:id="23" w:name="facilities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Facilities</w:t>
      </w:r>
    </w:p>
    <w:p>
      <w:pPr>
        <w:pStyle w:val="FirstParagraph"/>
      </w:pPr>
      <w:r>
        <w:t xml:space="preserve">n:1 to Organizations, with geo-coordinates and audit status for tier mapping.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facility_type</w:t>
            </w:r>
          </w:p>
        </w:tc>
        <w:tc>
          <w:p>
            <w:pPr>
              <w:pStyle w:val="Compact"/>
              <w:jc w:val="left"/>
            </w:pPr>
            <w:r>
              <w:t xml:space="preserve">FacilityType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country_iso2</w:t>
            </w:r>
          </w:p>
        </w:tc>
        <w:tc>
          <w:p>
            <w:pPr>
              <w:pStyle w:val="Compact"/>
              <w:jc w:val="left"/>
            </w:pPr>
            <w:r>
              <w:t xml:space="preserve">CountryISO2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p>
            <w:pPr>
              <w:pStyle w:val="Compact"/>
              <w:jc w:val="left"/>
            </w:pPr>
            <w:r>
              <w:t xml:space="preserve">String(80)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gln</w:t>
            </w:r>
          </w:p>
        </w:tc>
        <w:tc>
          <w:p>
            <w:pPr>
              <w:pStyle w:val="Compact"/>
              <w:jc w:val="left"/>
            </w:pPr>
            <w:r>
              <w:t xml:space="preserve">GLN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p>
            <w:pPr>
              <w:pStyle w:val="Compact"/>
              <w:jc w:val="left"/>
            </w:pPr>
            <w:r>
              <w:t xml:space="preserve">Decimal(9,6)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p>
            <w:pPr>
              <w:pStyle w:val="Compact"/>
              <w:jc w:val="left"/>
            </w:pPr>
            <w:r>
              <w:t xml:space="preserve">Decimal(9,6)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audit_status</w:t>
            </w:r>
          </w:p>
        </w:tc>
        <w:tc>
          <w:p>
            <w:pPr>
              <w:pStyle w:val="Compact"/>
              <w:jc w:val="left"/>
            </w:pPr>
            <w:r>
              <w:t xml:space="preserve">AuditStatus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last_audit_date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</w:tbl>
    <w:bookmarkEnd w:id="23"/>
    <w:bookmarkStart w:id="24" w:name="users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Users</w:t>
      </w:r>
    </w:p>
    <w:p>
      <w:pPr>
        <w:pStyle w:val="FirstParagraph"/>
      </w:pPr>
      <w:r>
        <w:t xml:space="preserve">n:1 to Organizations; UNIQUE constraint on</w:t>
      </w:r>
      <w:r>
        <w:t xml:space="preserve"> </w:t>
      </w:r>
      <w:r>
        <w:rPr>
          <w:rStyle w:val="VerbatimChar"/>
        </w:rPr>
        <w:t xml:space="preserve">(email, organization)</w:t>
      </w:r>
      <w:r>
        <w:t xml:space="preserve">;</w:t>
      </w:r>
      <w:r>
        <w:t xml:space="preserve"> </w:t>
      </w:r>
      <w:r>
        <w:rPr>
          <w:rStyle w:val="VerbatimChar"/>
        </w:rPr>
        <w:t xml:space="preserve">external_user_id</w:t>
      </w:r>
      <w:r>
        <w:t xml:space="preserve"> </w:t>
      </w:r>
      <w:r>
        <w:t xml:space="preserve">links to the XSUAA subject.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EmailAddr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organization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UserRole</w:t>
            </w:r>
          </w:p>
        </w:tc>
        <w:tc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external_user_id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  <w:tc>
          <w:p>
            <w:pPr>
              <w:pStyle w:val="Compact"/>
              <w:jc w:val="left"/>
            </w:pPr>
            <w:r>
              <w:t xml:space="preserve">XSUAA subject mapping</w:t>
            </w:r>
          </w:p>
        </w:tc>
      </w:tr>
    </w:tbl>
    <w:bookmarkEnd w:id="24"/>
    <w:bookmarkEnd w:id="25"/>
    <w:bookmarkStart w:id="30" w:name="Xcbcaf7294148e78e5ca767ec982d4918801dec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DPP Core Model (</w:t>
      </w:r>
      <w:r>
        <w:rPr>
          <w:rStyle w:val="VerbatimChar"/>
        </w:rPr>
        <w:t xml:space="preserve">dpp.cds</w:t>
      </w:r>
      <w:r>
        <w:t xml:space="preserve">)</w:t>
      </w:r>
    </w:p>
    <w:bookmarkStart w:id="26" w:name="products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Products</w:t>
      </w:r>
    </w:p>
    <w:p>
      <w:pPr>
        <w:pStyle w:val="FirstParagraph"/>
      </w:pPr>
      <w:r>
        <w:t xml:space="preserve">Product master data, n:1 to</w:t>
      </w:r>
      <w:r>
        <w:t xml:space="preserve"> </w:t>
      </w:r>
      <w:r>
        <w:rPr>
          <w:rStyle w:val="VerbatimChar"/>
        </w:rPr>
        <w:t xml:space="preserve">owning_organization</w:t>
      </w:r>
      <w:r>
        <w:t xml:space="preserve">, UNIQUE on</w:t>
      </w:r>
      <w:r>
        <w:t xml:space="preserve"> </w:t>
      </w:r>
      <w:r>
        <w:rPr>
          <w:rStyle w:val="VerbatimChar"/>
        </w:rPr>
        <w:t xml:space="preserve">(gtin, owning_organization)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String(120) not 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t xml:space="preserve">GTIN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String(40)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brand</w:t>
            </w:r>
          </w:p>
        </w:tc>
        <w:tc>
          <w:p>
            <w:pPr>
              <w:pStyle w:val="Compact"/>
              <w:jc w:val="left"/>
            </w:pPr>
            <w:r>
              <w:t xml:space="preserve">String(120)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String(500)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owning_organization</w:t>
            </w:r>
          </w:p>
        </w:tc>
        <w:tc>
          <w:p>
            <w:pPr>
              <w:pStyle w:val="Compact"/>
              <w:jc w:val="left"/>
            </w:pPr>
            <w:r>
              <w:t xml:space="preserve">Association to Organizations</w:t>
            </w:r>
          </w:p>
        </w:tc>
      </w:tr>
    </w:tbl>
    <w:bookmarkEnd w:id="26"/>
    <w:bookmarkStart w:id="27" w:name="dpps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DPPs</w:t>
      </w:r>
    </w:p>
    <w:p>
      <w:pPr>
        <w:pStyle w:val="FirstParagraph"/>
      </w:pPr>
      <w:r>
        <w:t xml:space="preserve">Central entity, can be model- or batch-specific.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String(36)</w:t>
            </w:r>
          </w:p>
        </w:tc>
        <w:tc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product, issuing_organization, facility</w:t>
            </w:r>
          </w:p>
        </w:tc>
        <w:tc>
          <w:p>
            <w:pPr>
              <w:pStyle w:val="Compact"/>
              <w:jc w:val="left"/>
            </w:pPr>
            <w:r>
              <w:t xml:space="preserve">Assoc.</w:t>
            </w:r>
          </w:p>
        </w:tc>
        <w:tc>
          <w:p>
            <w:pPr>
              <w:pStyle w:val="Compact"/>
              <w:jc w:val="left"/>
            </w:pPr>
            <w:r>
              <w:t xml:space="preserve">References to master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t xml:space="preserve">GTIN</w:t>
            </w:r>
          </w:p>
        </w:tc>
        <w:tc>
          <w:p>
            <w:pPr>
              <w:pStyle w:val="Compact"/>
              <w:jc w:val="left"/>
            </w:pPr>
            <w:r>
              <w:t xml:space="preserve">Used when batch-level GTIN differs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granularity_level</w:t>
            </w:r>
          </w:p>
        </w:tc>
        <w:tc>
          <w:p>
            <w:pPr>
              <w:pStyle w:val="Compact"/>
              <w:jc w:val="left"/>
            </w:pPr>
            <w:r>
              <w:t xml:space="preserve">Granularity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batch_lot_number</w:t>
            </w:r>
          </w:p>
        </w:tc>
        <w:tc>
          <w:p>
            <w:pPr>
              <w:pStyle w:val="Compact"/>
              <w:jc w:val="left"/>
            </w:pPr>
            <w:r>
              <w:t xml:space="preserve">String(40)</w:t>
            </w:r>
          </w:p>
        </w:tc>
        <w:tc>
          <w:p>
            <w:pPr>
              <w:pStyle w:val="Compact"/>
              <w:jc w:val="left"/>
            </w:pPr>
            <w:r>
              <w:t xml:space="preserve">UNIQUE per 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DPPStatus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verification_status</w:t>
            </w:r>
          </w:p>
        </w:tc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declared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manufacturing_country_iso2</w:t>
            </w:r>
          </w:p>
        </w:tc>
        <w:tc>
          <w:p>
            <w:pPr>
              <w:pStyle w:val="Compact"/>
              <w:jc w:val="left"/>
            </w:pPr>
            <w:r>
              <w:t xml:space="preserve">CountryISO2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manufacturing_date_from / _to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placed_on_market_date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published_at, archived_at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Lifecycle markers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qr_token</w:t>
            </w:r>
          </w:p>
        </w:tc>
        <w:tc>
          <w:p>
            <w:pPr>
              <w:pStyle w:val="Compact"/>
              <w:jc w:val="left"/>
            </w:pPr>
            <w:r>
              <w:t xml:space="preserve">String(128)</w:t>
            </w:r>
          </w:p>
        </w:tc>
        <w:tc>
          <w:p>
            <w:pPr>
              <w:pStyle w:val="Compact"/>
              <w:jc w:val="left"/>
            </w:pPr>
            <w:r>
              <w:t xml:space="preserve">UNIQUE, HMAC-signed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qr_payload_url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Consumer deep link</w:t>
            </w:r>
          </w:p>
        </w:tc>
      </w:tr>
    </w:tbl>
    <w:bookmarkEnd w:id="27"/>
    <w:bookmarkStart w:id="28" w:name="composition-children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Composition children</w:t>
      </w:r>
    </w:p>
    <w:p>
      <w:pPr>
        <w:pStyle w:val="FirstParagraph"/>
      </w:pPr>
      <w:r>
        <w:t xml:space="preserve">All composition children expose a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 </w:t>
      </w:r>
      <w:r>
        <w:t xml:space="preserve">column so that the public filter pipeline can strip non-public content.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MaterialComposition</w:t>
            </w:r>
          </w:p>
        </w:tc>
        <w:tc>
          <w:p>
            <w:pPr>
              <w:pStyle w:val="Compact"/>
              <w:jc w:val="left"/>
            </w:pPr>
            <w:r>
              <w:t xml:space="preserve">Fibres, percentage, recycled share, country of origin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ComplianceStatements</w:t>
            </w:r>
          </w:p>
        </w:tc>
        <w:tc>
          <w:p>
            <w:pPr>
              <w:pStyle w:val="Compact"/>
              <w:jc w:val="left"/>
            </w:pPr>
            <w:r>
              <w:t xml:space="preserve">Statements covering ESPR / REACH / SCIP / CSDDD / etc. including evidence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p>
            <w:pPr>
              <w:pStyle w:val="Compact"/>
              <w:jc w:val="left"/>
            </w:pPr>
            <w:r>
              <w:t xml:space="preserve">Certificates and reports including</w:t>
            </w:r>
            <w:r>
              <w:t xml:space="preserve"> </w:t>
            </w:r>
            <w:r>
              <w:rPr>
                <w:rStyle w:val="VerbatimChar"/>
              </w:rPr>
              <w:t xml:space="preserve">LargeBinary</w:t>
            </w:r>
            <w:r>
              <w:t xml:space="preserve"> </w:t>
            </w:r>
            <w:r>
              <w:t xml:space="preserve">content, SHA-256, MIME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SubstancesOfConcern</w:t>
            </w:r>
          </w:p>
        </w:tc>
        <w:tc>
          <w:p>
            <w:pPr>
              <w:pStyle w:val="Compact"/>
              <w:jc w:val="left"/>
            </w:pPr>
            <w:r>
              <w:t xml:space="preserve">CAS / EC numbers, SCIP reference, concentration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CareInstructions</w:t>
            </w:r>
          </w:p>
        </w:tc>
        <w:tc>
          <w:p>
            <w:pPr>
              <w:pStyle w:val="Compact"/>
              <w:jc w:val="left"/>
            </w:pPr>
            <w:r>
              <w:t xml:space="preserve">Care instructions per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SustainabilityIndicators</w:t>
            </w:r>
          </w:p>
        </w:tc>
        <w:tc>
          <w:p>
            <w:pPr>
              <w:pStyle w:val="Compact"/>
              <w:jc w:val="left"/>
            </w:pPr>
            <w:r>
              <w:t xml:space="preserve">CO₂, water, energy, durability / repairability (1:1 to DPP)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SupplyChainSteps</w:t>
            </w:r>
          </w:p>
        </w:tc>
        <w:tc>
          <w:p>
            <w:pPr>
              <w:pStyle w:val="Compact"/>
              <w:jc w:val="left"/>
            </w:pPr>
            <w:r>
              <w:t xml:space="preserve">Tier 1–4 step, facility, organization, time 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LifecycleEvents</w:t>
            </w:r>
          </w:p>
        </w:tc>
        <w:tc>
          <w:p>
            <w:pPr>
              <w:pStyle w:val="Compact"/>
              <w:jc w:val="left"/>
            </w:pPr>
            <w:r>
              <w:t xml:space="preserve">manufactured / sold / repaired / recycled / etc.</w:t>
            </w:r>
          </w:p>
        </w:tc>
      </w:tr>
    </w:tbl>
    <w:bookmarkEnd w:id="28"/>
    <w:bookmarkStart w:id="29" w:name="uniqueness-and-integrity-constraints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Uniqueness and integrity constraints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Organizations.tenant_id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Users (email, organization)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Products (gtin, owning_organization)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DPPs.qr_token</w:t>
      </w:r>
      <w:r>
        <w:t xml:space="preserve"> </w:t>
      </w:r>
      <w:r>
        <w:t xml:space="preserve">UNIQUE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DPPs (product, batch_lot_number)</w:t>
      </w:r>
      <w:r>
        <w:t xml:space="preserve"> </w:t>
      </w:r>
      <w:r>
        <w:t xml:space="preserve">UNIQUE</w:t>
      </w:r>
    </w:p>
    <w:bookmarkEnd w:id="29"/>
    <w:bookmarkEnd w:id="30"/>
    <w:bookmarkEnd w:id="31"/>
    <w:bookmarkStart w:id="36" w:name="X343ddb562f1b0cca3b6dcc0b620bfd4c4800ec0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Architecture Diagrams</w:t>
      </w:r>
    </w:p>
    <w:p>
      <w:pPr>
        <w:pStyle w:val="FirstParagraph"/>
      </w:pPr>
      <w:r>
        <w:t xml:space="preserve">The diagrams below are provided both as Mermaid source (renders on GitHub / VS Code with the Mermaid extension) and as a textual description that remains readable inside this .docx export.</w:t>
      </w:r>
    </w:p>
    <w:bookmarkStart w:id="32" w:name="X9a1a14155f80b4dd5444beed8e574f7ad05551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High-Level System Architecture</w:t>
      </w:r>
    </w:p>
    <w:p>
      <w:pPr>
        <w:pStyle w:val="FirstParagraph"/>
      </w:pPr>
      <w:r>
        <w:rPr>
          <w:bCs/>
          <w:b/>
        </w:rPr>
        <w:t xml:space="preserve">Description.</w:t>
      </w:r>
      <w:r>
        <w:t xml:space="preserve"> </w:t>
      </w:r>
      <w:r>
        <w:t xml:space="preserve">Three client classes (internal brand users, public authority users, and anonymous consumers) connect to a CAP runtime hosted on SAP BTP Cloud Foundry. Authenticated traffic flows through the App Router and XSUAA; the public consumer route bypasses authentication and is mounted directly on the Express bootstrap. Persistence targets SQLite for local development and SAP HANA Cloud in production.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Clients</w:t>
      </w:r>
      <w:r>
        <w:br/>
      </w:r>
      <w:r>
        <w:rPr>
          <w:rStyle w:val="VerbatimChar"/>
        </w:rPr>
        <w:t xml:space="preserve">        BR[Brand / Manufacturer&lt;br/&gt;OData Client]</w:t>
      </w:r>
      <w:r>
        <w:br/>
      </w:r>
      <w:r>
        <w:rPr>
          <w:rStyle w:val="VerbatimChar"/>
        </w:rPr>
        <w:t xml:space="preserve">        AUTH[Market Surveillance&lt;br/&gt;Authority]</w:t>
      </w:r>
      <w:r>
        <w:br/>
      </w:r>
      <w:r>
        <w:rPr>
          <w:rStyle w:val="VerbatimChar"/>
        </w:rPr>
        <w:t xml:space="preserve">        CONS[Consumer&lt;br/&gt;Smartphone / QR scanner]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BTP[SAP BTP - Cloud Foundry]</w:t>
      </w:r>
      <w:r>
        <w:br/>
      </w:r>
      <w:r>
        <w:rPr>
          <w:rStyle w:val="VerbatimChar"/>
        </w:rPr>
        <w:t xml:space="preserve">        APR[App Router&lt;br/&gt;app/router - planned]</w:t>
      </w:r>
      <w:r>
        <w:br/>
      </w:r>
      <w:r>
        <w:rPr>
          <w:rStyle w:val="VerbatimChar"/>
        </w:rPr>
        <w:t xml:space="preserve">        subgraph CAP[CAP Node.js Runtime]</w:t>
      </w:r>
      <w:r>
        <w:br/>
      </w:r>
      <w:r>
        <w:rPr>
          <w:rStyle w:val="VerbatimChar"/>
        </w:rPr>
        <w:t xml:space="preserve">            DPP[/DPPService&lt;br/&gt;/odata/v4/dpp/]</w:t>
      </w:r>
      <w:r>
        <w:br/>
      </w:r>
      <w:r>
        <w:rPr>
          <w:rStyle w:val="VerbatimChar"/>
        </w:rPr>
        <w:t xml:space="preserve">            AS[/AuthorityService&lt;br/&gt;/odata/v4/authority/]</w:t>
      </w:r>
      <w:r>
        <w:br/>
      </w:r>
      <w:r>
        <w:rPr>
          <w:rStyle w:val="VerbatimChar"/>
        </w:rPr>
        <w:t xml:space="preserve">            PUB[/Public Handler&lt;br/&gt;/public/dpp/:token/]</w:t>
      </w:r>
      <w:r>
        <w:br/>
      </w:r>
      <w:r>
        <w:rPr>
          <w:rStyle w:val="VerbatimChar"/>
        </w:rPr>
        <w:t xml:space="preserve">            HEALTH[/healthz + Swagger UI/]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XSUAA[XSUAA&lt;br/&gt;OAuth2 / JWT]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Persistence</w:t>
      </w:r>
      <w:r>
        <w:br/>
      </w:r>
      <w:r>
        <w:rPr>
          <w:rStyle w:val="VerbatimChar"/>
        </w:rPr>
        <w:t xml:space="preserve">        DEV[(SQLite&lt;br/&gt;Dev)]</w:t>
      </w:r>
      <w:r>
        <w:br/>
      </w:r>
      <w:r>
        <w:rPr>
          <w:rStyle w:val="VerbatimChar"/>
        </w:rPr>
        <w:t xml:space="preserve">        PROD[(HANA Cloud&lt;br/&gt;Prod)]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BR --&gt;|JWT scope: admin/editor/viewer| APR --&gt; XSUAA</w:t>
      </w:r>
      <w:r>
        <w:br/>
      </w:r>
      <w:r>
        <w:rPr>
          <w:rStyle w:val="VerbatimChar"/>
        </w:rPr>
        <w:t xml:space="preserve">    AUTH --&gt;|JWT scope: authority| APR</w:t>
      </w:r>
      <w:r>
        <w:br/>
      </w:r>
      <w:r>
        <w:rPr>
          <w:rStyle w:val="VerbatimChar"/>
        </w:rPr>
        <w:t xml:space="preserve">    CONS --&gt;|no login| PUB</w:t>
      </w:r>
      <w:r>
        <w:br/>
      </w:r>
      <w:r>
        <w:br/>
      </w:r>
      <w:r>
        <w:rPr>
          <w:rStyle w:val="VerbatimChar"/>
        </w:rPr>
        <w:t xml:space="preserve">    APR --&gt; DPP</w:t>
      </w:r>
      <w:r>
        <w:br/>
      </w:r>
      <w:r>
        <w:rPr>
          <w:rStyle w:val="VerbatimChar"/>
        </w:rPr>
        <w:t xml:space="preserve">    APR --&gt; AS</w:t>
      </w:r>
      <w:r>
        <w:br/>
      </w:r>
      <w:r>
        <w:rPr>
          <w:rStyle w:val="VerbatimChar"/>
        </w:rPr>
        <w:t xml:space="preserve">    XSUAA -.validates.-&gt; CAP</w:t>
      </w:r>
      <w:r>
        <w:br/>
      </w:r>
      <w:r>
        <w:rPr>
          <w:rStyle w:val="VerbatimChar"/>
        </w:rPr>
        <w:t xml:space="preserve">    CAP --&gt; DEV</w:t>
      </w:r>
      <w:r>
        <w:br/>
      </w:r>
      <w:r>
        <w:rPr>
          <w:rStyle w:val="VerbatimChar"/>
        </w:rPr>
        <w:t xml:space="preserve">    CAP --&gt; PROD</w:t>
      </w:r>
    </w:p>
    <w:p>
      <w:pPr>
        <w:pStyle w:val="FirstParagraph"/>
      </w:pPr>
      <w:r>
        <w:rPr>
          <w:bCs/>
          <w:b/>
        </w:rPr>
        <w:t xml:space="preserve">Component responsibilities.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App Router (planned)</w:t>
      </w:r>
      <w:r>
        <w:t xml:space="preserve"> </w:t>
      </w:r>
      <w:r>
        <w:t xml:space="preserve">— terminates user sessions and forwards JWTs to CAP services.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XSUAA</w:t>
      </w:r>
      <w:r>
        <w:t xml:space="preserve"> </w:t>
      </w:r>
      <w:r>
        <w:t xml:space="preserve">— issues OAuth2 JWTs and exposes role-template-driven scopes 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DPPService</w:t>
      </w:r>
      <w:r>
        <w:t xml:space="preserve"> </w:t>
      </w:r>
      <w:r>
        <w:t xml:space="preserve">— tenant-scoped CRUD for internal users.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AuthorityService</w:t>
      </w:r>
      <w:r>
        <w:t xml:space="preserve"> </w:t>
      </w:r>
      <w:r>
        <w:t xml:space="preserve">— cross-tenant, read-only view for market-surveillance authorities.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Public Handler</w:t>
      </w:r>
      <w:r>
        <w:t xml:space="preserve"> </w:t>
      </w:r>
      <w:r>
        <w:t xml:space="preserve">— anonymous consumer route serving a visibility-filtered DTO and the QR PNG.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Persistence</w:t>
      </w:r>
      <w:r>
        <w:t xml:space="preserve"> </w:t>
      </w:r>
      <w:r>
        <w:t xml:space="preserve">— SQLite locally, SAP HANA Cloud in production; the CDS model is portable across both.</w:t>
      </w:r>
    </w:p>
    <w:bookmarkEnd w:id="32"/>
    <w:bookmarkStart w:id="33" w:name="Xa2e299aa927ebd09314ed22d773ec56be563ad5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ER Diagram (Data Model)</w:t>
      </w:r>
    </w:p>
    <w:p>
      <w:pPr>
        <w:pStyle w:val="FirstParagraph"/>
      </w:pPr>
      <w:r>
        <w:rPr>
          <w:bCs/>
          <w:b/>
        </w:rPr>
        <w:t xml:space="preserve">Description.</w:t>
      </w:r>
      <w:r>
        <w:t xml:space="preserve"> </w:t>
      </w:r>
      <w:r>
        <w:t xml:space="preserve">Organizations sit at the top of the master-data tree; they own Facilities, Users, Products, and issue DPPs. A Product has one or more DPPs (model or batch granularity). Each DPP composes eight child entity sets;</w:t>
      </w:r>
      <w:r>
        <w:t xml:space="preserve"> </w:t>
      </w:r>
      <w:r>
        <w:rPr>
          <w:rStyle w:val="VerbatimChar"/>
        </w:rPr>
        <w:t xml:space="preserve">SustainabilityIndicators</w:t>
      </w:r>
      <w:r>
        <w:t xml:space="preserve"> </w:t>
      </w:r>
      <w:r>
        <w:t xml:space="preserve">is the only 1:1 relationship.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Organizations ||--o{ Facilities      : "operates"</w:t>
      </w:r>
      <w:r>
        <w:br/>
      </w:r>
      <w:r>
        <w:rPr>
          <w:rStyle w:val="VerbatimChar"/>
        </w:rPr>
        <w:t xml:space="preserve">    Organizations ||--o{ Users           : "employs"</w:t>
      </w:r>
      <w:r>
        <w:br/>
      </w:r>
      <w:r>
        <w:rPr>
          <w:rStyle w:val="VerbatimChar"/>
        </w:rPr>
        <w:t xml:space="preserve">    Organizations ||--o{ Products        : "owns"</w:t>
      </w:r>
      <w:r>
        <w:br/>
      </w:r>
      <w:r>
        <w:rPr>
          <w:rStyle w:val="VerbatimChar"/>
        </w:rPr>
        <w:t xml:space="preserve">    Organizations ||--o{ DPPs            : "issues"</w:t>
      </w:r>
      <w:r>
        <w:br/>
      </w:r>
      <w:r>
        <w:rPr>
          <w:rStyle w:val="VerbatimChar"/>
        </w:rPr>
        <w:t xml:space="preserve">    Facilities    ||--o{ DPPs            : "manufactures at"</w:t>
      </w:r>
      <w:r>
        <w:br/>
      </w:r>
      <w:r>
        <w:rPr>
          <w:rStyle w:val="VerbatimChar"/>
        </w:rPr>
        <w:t xml:space="preserve">    Products      ||--o{ DPPs            : "has passport"</w:t>
      </w:r>
      <w:r>
        <w:br/>
      </w:r>
      <w:r>
        <w:br/>
      </w:r>
      <w:r>
        <w:rPr>
          <w:rStyle w:val="VerbatimChar"/>
        </w:rPr>
        <w:t xml:space="preserve">    DPPs ||--o{ MaterialComposition       : "composes of"</w:t>
      </w:r>
      <w:r>
        <w:br/>
      </w:r>
      <w:r>
        <w:rPr>
          <w:rStyle w:val="VerbatimChar"/>
        </w:rPr>
        <w:t xml:space="preserve">    DPPs ||--o{ ComplianceStatements      : "states"</w:t>
      </w:r>
      <w:r>
        <w:br/>
      </w:r>
      <w:r>
        <w:rPr>
          <w:rStyle w:val="VerbatimChar"/>
        </w:rPr>
        <w:t xml:space="preserve">    DPPs ||--o{ Documents                 : "evidences"</w:t>
      </w:r>
      <w:r>
        <w:br/>
      </w:r>
      <w:r>
        <w:rPr>
          <w:rStyle w:val="VerbatimChar"/>
        </w:rPr>
        <w:t xml:space="preserve">    DPPs ||--o{ SubstancesOfConcern       : "declares"</w:t>
      </w:r>
      <w:r>
        <w:br/>
      </w:r>
      <w:r>
        <w:rPr>
          <w:rStyle w:val="VerbatimChar"/>
        </w:rPr>
        <w:t xml:space="preserve">    DPPs ||--o{ CareInstructions          : "carries"</w:t>
      </w:r>
      <w:r>
        <w:br/>
      </w:r>
      <w:r>
        <w:rPr>
          <w:rStyle w:val="VerbatimChar"/>
        </w:rPr>
        <w:t xml:space="preserve">    DPPs ||--|| SustainabilityIndicators  : "measured by"</w:t>
      </w:r>
      <w:r>
        <w:br/>
      </w:r>
      <w:r>
        <w:rPr>
          <w:rStyle w:val="VerbatimChar"/>
        </w:rPr>
        <w:t xml:space="preserve">    DPPs ||--o{ SupplyChainSteps          : "traces"</w:t>
      </w:r>
      <w:r>
        <w:br/>
      </w:r>
      <w:r>
        <w:rPr>
          <w:rStyle w:val="VerbatimChar"/>
        </w:rPr>
        <w:t xml:space="preserve">    DPPs ||--o{ LifecycleEvents           : "logs"</w:t>
      </w:r>
      <w:r>
        <w:br/>
      </w:r>
      <w:r>
        <w:br/>
      </w:r>
      <w:r>
        <w:rPr>
          <w:rStyle w:val="VerbatimChar"/>
        </w:rPr>
        <w:t xml:space="preserve">    ComplianceStatements }o--|| Documents     : "evidence_document"</w:t>
      </w:r>
      <w:r>
        <w:br/>
      </w:r>
      <w:r>
        <w:rPr>
          <w:rStyle w:val="VerbatimChar"/>
        </w:rPr>
        <w:t xml:space="preserve">    SupplyChainSteps     }o--|| Facilities    : "at"</w:t>
      </w:r>
      <w:r>
        <w:br/>
      </w:r>
      <w:r>
        <w:rPr>
          <w:rStyle w:val="VerbatimChar"/>
        </w:rPr>
        <w:t xml:space="preserve">    SupplyChainSteps     }o--|| Organizations : "by"</w:t>
      </w:r>
      <w:r>
        <w:br/>
      </w:r>
      <w:r>
        <w:rPr>
          <w:rStyle w:val="VerbatimChar"/>
        </w:rPr>
        <w:t xml:space="preserve">    LifecycleEvents      }o--|| Organizations : "actor"</w:t>
      </w:r>
    </w:p>
    <w:p>
      <w:pPr>
        <w:pStyle w:val="FirstParagraph"/>
      </w:pPr>
      <w:r>
        <w:rPr>
          <w:bCs/>
          <w:b/>
        </w:rPr>
        <w:t xml:space="preserve">Key entity attributes (compact view).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Organizations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legal_name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country_iso2</w:t>
      </w:r>
      <w:r>
        <w:t xml:space="preserve">,</w:t>
      </w:r>
      <w:r>
        <w:t xml:space="preserve"> </w:t>
      </w:r>
      <w:r>
        <w:rPr>
          <w:rStyle w:val="VerbatimChar"/>
        </w:rPr>
        <w:t xml:space="preserve">gln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DPPs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issuing_organization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granularity_level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batch_lot_number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qr_token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qr_payload_url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gtin</w:t>
      </w:r>
      <w:r>
        <w:t xml:space="preserve">,</w:t>
      </w:r>
      <w:r>
        <w:t xml:space="preserve"> </w:t>
      </w:r>
      <w:r>
        <w:rPr>
          <w:rStyle w:val="VerbatimChar"/>
        </w:rPr>
        <w:t xml:space="preserve">owning_organization</w:t>
      </w:r>
      <w:r>
        <w:t xml:space="preserve"> </w:t>
      </w:r>
      <w:r>
        <w:t xml:space="preserve">(FK).</w:t>
      </w:r>
    </w:p>
    <w:bookmarkEnd w:id="33"/>
    <w:bookmarkStart w:id="34" w:name="Xa69708d1ca87adeff606be4c476f7e4db00d86a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Service Architecture (Roles, Scopes, Authorization)</w:t>
      </w:r>
    </w:p>
    <w:p>
      <w:pPr>
        <w:pStyle w:val="FirstParagraph"/>
      </w:pPr>
      <w:r>
        <w:rPr>
          <w:bCs/>
          <w:b/>
        </w:rPr>
        <w:t xml:space="preserve">Description.</w:t>
      </w:r>
      <w:r>
        <w:t xml:space="preserve"> </w:t>
      </w:r>
      <w:r>
        <w:t xml:space="preserve">Authorization is layered. The service annotation</w:t>
      </w:r>
      <w:r>
        <w:t xml:space="preserve"> </w:t>
      </w:r>
      <w:r>
        <w:rPr>
          <w:rStyle w:val="VerbatimChar"/>
        </w:rPr>
        <w:t xml:space="preserve">@requires</w:t>
      </w:r>
      <w:r>
        <w:t xml:space="preserve"> </w:t>
      </w:r>
      <w:r>
        <w:t xml:space="preserve">controls who can reach the service at all; per-entity</w:t>
      </w:r>
      <w:r>
        <w:t xml:space="preserve"> </w:t>
      </w:r>
      <w:r>
        <w:rPr>
          <w:rStyle w:val="VerbatimChar"/>
        </w:rPr>
        <w:t xml:space="preserve">@restrict</w:t>
      </w:r>
      <w:r>
        <w:t xml:space="preserve"> </w:t>
      </w:r>
      <w:r>
        <w:t xml:space="preserve">rules then combine the caller's role with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that pins each query to</w:t>
      </w:r>
      <w:r>
        <w:t xml:space="preserve"> </w:t>
      </w:r>
      <w:r>
        <w:rPr>
          <w:rStyle w:val="VerbatimChar"/>
        </w:rPr>
        <w:t xml:space="preserve">Organizations.tenant_id = $user.tenant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 </w:t>
      </w:r>
      <w:r>
        <w:t xml:space="preserve">role is intentionally issued without a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attribute, so its queries skip the tenant filter and observe the full data set (excluding document binary content).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Roles[XSUAA role templates]</w:t>
      </w:r>
      <w:r>
        <w:br/>
      </w:r>
      <w:r>
        <w:rPr>
          <w:rStyle w:val="VerbatimChar"/>
        </w:rPr>
        <w:t xml:space="preserve">        ADM[admin&lt;br/&gt;attr: tenant]</w:t>
      </w:r>
      <w:r>
        <w:br/>
      </w:r>
      <w:r>
        <w:rPr>
          <w:rStyle w:val="VerbatimChar"/>
        </w:rPr>
        <w:t xml:space="preserve">        EDT[editor&lt;br/&gt;attr: tenant]</w:t>
      </w:r>
      <w:r>
        <w:br/>
      </w:r>
      <w:r>
        <w:rPr>
          <w:rStyle w:val="VerbatimChar"/>
        </w:rPr>
        <w:t xml:space="preserve">        VWR[viewer&lt;br/&gt;attr: tenant]</w:t>
      </w:r>
      <w:r>
        <w:br/>
      </w:r>
      <w:r>
        <w:rPr>
          <w:rStyle w:val="VerbatimChar"/>
        </w:rPr>
        <w:t xml:space="preserve">        AUT[authority&lt;br/&gt;no tenant attribute]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Services[CAP services]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DS[DPPService&lt;br/&gt;requires authenticated-user]</w:t>
      </w:r>
      <w:r>
        <w:br/>
      </w:r>
      <w:r>
        <w:rPr>
          <w:rStyle w:val="VerbatimChar"/>
        </w:rPr>
        <w:t xml:space="preserve">        AS2[AuthorityService&lt;br/&gt;requires authority]</w:t>
      </w:r>
      <w:r>
        <w:br/>
      </w:r>
      <w:r>
        <w:rPr>
          <w:rStyle w:val="VerbatimChar"/>
        </w:rPr>
        <w:t xml:space="preserve">        PH[Public Handler&lt;br/&gt;no auth]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Restrictions[Per-entity restrictions]</w:t>
      </w:r>
      <w:r>
        <w:br/>
      </w:r>
      <w:r>
        <w:rPr>
          <w:rStyle w:val="VerbatimChar"/>
        </w:rPr>
        <w:t xml:space="preserve">        R1["READ: admin/editor/viewer&lt;br/&gt;where tenant_id = $user.tenant"]</w:t>
      </w:r>
      <w:r>
        <w:br/>
      </w:r>
      <w:r>
        <w:rPr>
          <w:rStyle w:val="VerbatimChar"/>
        </w:rPr>
        <w:t xml:space="preserve">        R2["WRITE: admin/editor&lt;br/&gt;where tenant_id = $user.tenant"]</w:t>
      </w:r>
      <w:r>
        <w:br/>
      </w:r>
      <w:r>
        <w:rPr>
          <w:rStyle w:val="VerbatimChar"/>
        </w:rPr>
        <w:t xml:space="preserve">        R3["UPDATE Org / Users: admin only"]</w:t>
      </w:r>
      <w:r>
        <w:br/>
      </w:r>
      <w:r>
        <w:rPr>
          <w:rStyle w:val="VerbatimChar"/>
        </w:rPr>
        <w:t xml:space="preserve">        R4["READ all entities&lt;br/&gt;cross-tenant, binary content excluded"]</w:t>
      </w:r>
      <w:r>
        <w:br/>
      </w:r>
      <w:r>
        <w:rPr>
          <w:rStyle w:val="VerbatimChar"/>
        </w:rPr>
        <w:t xml:space="preserve">        R5["visibility != internal&lt;br/&gt;visibility != authority_only&lt;br/&gt;status = published"]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ADM --&gt; DS</w:t>
      </w:r>
      <w:r>
        <w:br/>
      </w:r>
      <w:r>
        <w:rPr>
          <w:rStyle w:val="VerbatimChar"/>
        </w:rPr>
        <w:t xml:space="preserve">    EDT --&gt; DS</w:t>
      </w:r>
      <w:r>
        <w:br/>
      </w:r>
      <w:r>
        <w:rPr>
          <w:rStyle w:val="VerbatimChar"/>
        </w:rPr>
        <w:t xml:space="preserve">    VWR --&gt; DS</w:t>
      </w:r>
      <w:r>
        <w:br/>
      </w:r>
      <w:r>
        <w:rPr>
          <w:rStyle w:val="VerbatimChar"/>
        </w:rPr>
        <w:t xml:space="preserve">    AUT --&gt; AS2</w:t>
      </w:r>
      <w:r>
        <w:br/>
      </w:r>
      <w:r>
        <w:br/>
      </w:r>
      <w:r>
        <w:rPr>
          <w:rStyle w:val="VerbatimChar"/>
        </w:rPr>
        <w:t xml:space="preserve">    DS --&gt; R1</w:t>
      </w:r>
      <w:r>
        <w:br/>
      </w:r>
      <w:r>
        <w:rPr>
          <w:rStyle w:val="VerbatimChar"/>
        </w:rPr>
        <w:t xml:space="preserve">    DS --&gt; R2</w:t>
      </w:r>
      <w:r>
        <w:br/>
      </w:r>
      <w:r>
        <w:rPr>
          <w:rStyle w:val="VerbatimChar"/>
        </w:rPr>
        <w:t xml:space="preserve">    DS --&gt; R3</w:t>
      </w:r>
      <w:r>
        <w:br/>
      </w:r>
      <w:r>
        <w:rPr>
          <w:rStyle w:val="VerbatimChar"/>
        </w:rPr>
        <w:t xml:space="preserve">    AS2 --&gt; R4</w:t>
      </w:r>
      <w:r>
        <w:br/>
      </w:r>
      <w:r>
        <w:rPr>
          <w:rStyle w:val="VerbatimChar"/>
        </w:rPr>
        <w:t xml:space="preserve">    PH --&gt; R5</w:t>
      </w:r>
    </w:p>
    <w:p>
      <w:pPr>
        <w:pStyle w:val="FirstParagraph"/>
      </w:pPr>
      <w:r>
        <w:rPr>
          <w:bCs/>
          <w:b/>
        </w:rPr>
        <w:t xml:space="preserve">Role / capability matrix.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DPP within own tenant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/ update / delete DPP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Publish / archive DPP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 Users /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DPP across all tenants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published, public-visible DPP via QR token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4"/>
    <w:bookmarkStart w:id="35" w:name="Xc33e6984021c39fa0f28c5df032d8cd0748b7a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QR Workflow (Publish → Consumer Scan)</w:t>
      </w:r>
    </w:p>
    <w:p>
      <w:pPr>
        <w:pStyle w:val="FirstParagraph"/>
      </w:pPr>
      <w:r>
        <w:rPr>
          <w:bCs/>
          <w:b/>
        </w:rPr>
        <w:t xml:space="preserve">Description.</w:t>
      </w:r>
      <w:r>
        <w:t xml:space="preserve"> </w:t>
      </w:r>
      <w:r>
        <w:t xml:space="preserve">When an editor publishes a DPP, the service generates an HMAC-signed token, stamps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, and stores the consumer payload URL. Calling</w:t>
      </w:r>
      <w:r>
        <w:t xml:space="preserve"> </w:t>
      </w:r>
      <w:r>
        <w:rPr>
          <w:rStyle w:val="VerbatimChar"/>
        </w:rPr>
        <w:t xml:space="preserve">generateQRCode()</w:t>
      </w:r>
      <w:r>
        <w:t xml:space="preserve"> </w:t>
      </w:r>
      <w:r>
        <w:t xml:space="preserve">returns a base64 PNG of that URL. When a consumer scans the printed QR code, the public handler verifies the HMAC in constant time without touching the database, then loads the DPP and its children and emits a Consumer DTO that filters out non-public rows.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E as Editor (Brand)</w:t>
      </w:r>
      <w:r>
        <w:br/>
      </w:r>
      <w:r>
        <w:rPr>
          <w:rStyle w:val="VerbatimChar"/>
        </w:rPr>
        <w:t xml:space="preserve">    participant DS as DPPService</w:t>
      </w:r>
      <w:r>
        <w:br/>
      </w:r>
      <w:r>
        <w:rPr>
          <w:rStyle w:val="VerbatimChar"/>
        </w:rPr>
        <w:t xml:space="preserve">    participant TK as token.js (HMAC-SHA256)</w:t>
      </w:r>
      <w:r>
        <w:br/>
      </w:r>
      <w:r>
        <w:rPr>
          <w:rStyle w:val="VerbatimChar"/>
        </w:rPr>
        <w:t xml:space="preserve">    participant DB as DB (DPPs)</w:t>
      </w:r>
      <w:r>
        <w:br/>
      </w:r>
      <w:r>
        <w:rPr>
          <w:rStyle w:val="VerbatimChar"/>
        </w:rPr>
        <w:t xml:space="preserve">    participant Q as QRCode lib</w:t>
      </w:r>
      <w:r>
        <w:br/>
      </w:r>
      <w:r>
        <w:rPr>
          <w:rStyle w:val="VerbatimChar"/>
        </w:rPr>
        <w:t xml:space="preserve">    participant C as Consumer</w:t>
      </w:r>
      <w:r>
        <w:br/>
      </w:r>
      <w:r>
        <w:rPr>
          <w:rStyle w:val="VerbatimChar"/>
        </w:rPr>
        <w:t xml:space="preserve">    participant PH as Public Handler</w:t>
      </w:r>
      <w:r>
        <w:br/>
      </w:r>
      <w:r>
        <w:br/>
      </w:r>
      <w:r>
        <w:rPr>
          <w:rStyle w:val="VerbatimChar"/>
        </w:rPr>
        <w:t xml:space="preserve">    E-&gt;&gt;DS: POST .../DPPs(ID)/DPPService.publishDPP()</w:t>
      </w:r>
      <w:r>
        <w:br/>
      </w:r>
      <w:r>
        <w:rPr>
          <w:rStyle w:val="VerbatimChar"/>
        </w:rPr>
        <w:t xml:space="preserve">    DS-&gt;&gt;DB: SELECT one DPP</w:t>
      </w:r>
      <w:r>
        <w:br/>
      </w:r>
      <w:r>
        <w:rPr>
          <w:rStyle w:val="VerbatimChar"/>
        </w:rPr>
        <w:t xml:space="preserve">    alt status = archived</w:t>
      </w:r>
      <w:r>
        <w:br/>
      </w:r>
      <w:r>
        <w:rPr>
          <w:rStyle w:val="VerbatimChar"/>
        </w:rPr>
        <w:t xml:space="preserve">        DS--&gt;&gt;E: 400 cannot publish archived</w:t>
      </w:r>
      <w:r>
        <w:br/>
      </w:r>
      <w:r>
        <w:rPr>
          <w:rStyle w:val="VerbatimChar"/>
        </w:rPr>
        <w:t xml:space="preserve">    else status = published</w:t>
      </w:r>
      <w:r>
        <w:br/>
      </w:r>
      <w:r>
        <w:rPr>
          <w:rStyle w:val="VerbatimChar"/>
        </w:rPr>
        <w:t xml:space="preserve">        DS--&gt;&gt;E: 200 (idempotent, current state)</w:t>
      </w:r>
      <w:r>
        <w:br/>
      </w:r>
      <w:r>
        <w:rPr>
          <w:rStyle w:val="VerbatimChar"/>
        </w:rPr>
        <w:t xml:space="preserve">    else status = draft</w:t>
      </w:r>
      <w:r>
        <w:br/>
      </w:r>
      <w:r>
        <w:rPr>
          <w:rStyle w:val="VerbatimChar"/>
        </w:rPr>
        <w:t xml:space="preserve">        DS-&gt;&gt;TK: generate()</w:t>
      </w:r>
      <w:r>
        <w:br/>
      </w:r>
      <w:r>
        <w:rPr>
          <w:rStyle w:val="VerbatimChar"/>
        </w:rPr>
        <w:t xml:space="preserve">        TK--&gt;&gt;DS: uuid.HMAC(uuid, secret)</w:t>
      </w:r>
      <w:r>
        <w:br/>
      </w:r>
      <w:r>
        <w:rPr>
          <w:rStyle w:val="VerbatimChar"/>
        </w:rPr>
        <w:t xml:space="preserve">        DS-&gt;&gt;DB: UPDATE set status=published, published_at=now, qr_token, qr_payload_url</w:t>
      </w:r>
      <w:r>
        <w:br/>
      </w:r>
      <w:r>
        <w:rPr>
          <w:rStyle w:val="VerbatimChar"/>
        </w:rPr>
        <w:t xml:space="preserve">        DS--&gt;&gt;E: 200 published DPP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E-&gt;&gt;DS: GET .../DPPs(ID)/DPPService.generateQRCode()</w:t>
      </w:r>
      <w:r>
        <w:br/>
      </w:r>
      <w:r>
        <w:rPr>
          <w:rStyle w:val="VerbatimChar"/>
        </w:rPr>
        <w:t xml:space="preserve">    DS-&gt;&gt;Q: toBuffer(payload_url)</w:t>
      </w:r>
      <w:r>
        <w:br/>
      </w:r>
      <w:r>
        <w:rPr>
          <w:rStyle w:val="VerbatimChar"/>
        </w:rPr>
        <w:t xml:space="preserve">    Q--&gt;&gt;DS: PNG buffer</w:t>
      </w:r>
      <w:r>
        <w:br/>
      </w:r>
      <w:r>
        <w:rPr>
          <w:rStyle w:val="VerbatimChar"/>
        </w:rPr>
        <w:t xml:space="preserve">    DS--&gt;&gt;E: { png: base64, payload }</w:t>
      </w:r>
      <w:r>
        <w:br/>
      </w:r>
      <w:r>
        <w:br/>
      </w:r>
      <w:r>
        <w:rPr>
          <w:rStyle w:val="VerbatimChar"/>
        </w:rPr>
        <w:t xml:space="preserve">    Note over C: Consumer scans the QR code</w:t>
      </w:r>
      <w:r>
        <w:br/>
      </w:r>
      <w:r>
        <w:rPr>
          <w:rStyle w:val="VerbatimChar"/>
        </w:rPr>
        <w:t xml:space="preserve">    C-&gt;&gt;PH: GET /public/dpp/:token</w:t>
      </w:r>
      <w:r>
        <w:br/>
      </w:r>
      <w:r>
        <w:rPr>
          <w:rStyle w:val="VerbatimChar"/>
        </w:rPr>
        <w:t xml:space="preserve">    PH-&gt;&gt;TK: verify(token)</w:t>
      </w:r>
      <w:r>
        <w:br/>
      </w:r>
      <w:r>
        <w:rPr>
          <w:rStyle w:val="VerbatimChar"/>
        </w:rPr>
        <w:t xml:space="preserve">    alt signature invalid</w:t>
      </w:r>
      <w:r>
        <w:br/>
      </w:r>
      <w:r>
        <w:rPr>
          <w:rStyle w:val="VerbatimChar"/>
        </w:rPr>
        <w:t xml:space="preserve">        PH--&gt;&gt;C: 404</w:t>
      </w:r>
      <w:r>
        <w:br/>
      </w:r>
      <w:r>
        <w:rPr>
          <w:rStyle w:val="VerbatimChar"/>
        </w:rPr>
        <w:t xml:space="preserve">    else valid</w:t>
      </w:r>
      <w:r>
        <w:br/>
      </w:r>
      <w:r>
        <w:rPr>
          <w:rStyle w:val="VerbatimChar"/>
        </w:rPr>
        <w:t xml:space="preserve">        PH-&gt;&gt;DB: SELECT DPP WHERE qr_token=token</w:t>
      </w:r>
      <w:r>
        <w:br/>
      </w:r>
      <w:r>
        <w:rPr>
          <w:rStyle w:val="VerbatimChar"/>
        </w:rPr>
        <w:t xml:space="preserve">        alt not published / internal / authority_only</w:t>
      </w:r>
      <w:r>
        <w:br/>
      </w:r>
      <w:r>
        <w:rPr>
          <w:rStyle w:val="VerbatimChar"/>
        </w:rPr>
        <w:t xml:space="preserve">            PH--&gt;&gt;C: 404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PH-&gt;&gt;DB: SELECT children (materials, compliance, care, substances, sustainability, lifecycle)</w:t>
      </w:r>
      <w:r>
        <w:br/>
      </w:r>
      <w:r>
        <w:rPr>
          <w:rStyle w:val="VerbatimChar"/>
        </w:rPr>
        <w:t xml:space="preserve">            PH-&gt;&gt;PH: filter visibility = "public" → Consumer DTO</w:t>
      </w:r>
      <w:r>
        <w:br/>
      </w:r>
      <w:r>
        <w:rPr>
          <w:rStyle w:val="VerbatimChar"/>
        </w:rPr>
        <w:t xml:space="preserve">            PH--&gt;&gt;C: 200 JSON (Cache-Control 60s)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C-&gt;&gt;PH: GET /public/dpp/:token/qr.png</w:t>
      </w:r>
      <w:r>
        <w:br/>
      </w:r>
      <w:r>
        <w:rPr>
          <w:rStyle w:val="VerbatimChar"/>
        </w:rPr>
        <w:t xml:space="preserve">    PH-&gt;&gt;TK: verify(token)</w:t>
      </w:r>
      <w:r>
        <w:br/>
      </w:r>
      <w:r>
        <w:rPr>
          <w:rStyle w:val="VerbatimChar"/>
        </w:rPr>
        <w:t xml:space="preserve">    PH-&gt;&gt;Q: toBuffer(PUBLIC_BASE_URL/public/dpp/:token)</w:t>
      </w:r>
      <w:r>
        <w:br/>
      </w:r>
      <w:r>
        <w:rPr>
          <w:rStyle w:val="VerbatimChar"/>
        </w:rPr>
        <w:t xml:space="preserve">    PH--&gt;&gt;C: image/png (Cache-Control 3600s)</w:t>
      </w:r>
    </w:p>
    <w:p>
      <w:pPr>
        <w:pStyle w:val="FirstParagraph"/>
      </w:pPr>
      <w:r>
        <w:rPr>
          <w:bCs/>
          <w:b/>
        </w:rPr>
        <w:t xml:space="preserve">Token format.</w:t>
      </w:r>
    </w:p>
    <w:p>
      <w:pPr>
        <w:pStyle w:val="SourceCode"/>
      </w:pPr>
      <w:r>
        <w:rPr>
          <w:rStyle w:val="VerbatimChar"/>
        </w:rPr>
        <w:t xml:space="preserve">&lt;uuid-v4&gt;.&lt;base64url(HMAC-SHA256(QR_TOKEN_HMAC_SECRET, uuid))&gt;</w:t>
      </w:r>
    </w:p>
    <w:p>
      <w:pPr>
        <w:pStyle w:val="FirstParagraph"/>
      </w:pPr>
      <w:r>
        <w:t xml:space="preserve">The HMAC prefix lets the public route reject forged tokens in constant time (</w:t>
      </w:r>
      <w:r>
        <w:rPr>
          <w:rStyle w:val="VerbatimChar"/>
        </w:rPr>
        <w:t xml:space="preserve">timingSafeEqual</w:t>
      </w:r>
      <w:r>
        <w:t xml:space="preserve">) before any database lookup. Sensitive fields (tenant, hash audit, internal counters) are intentionally excluded from the Consumer DTO.</w:t>
      </w:r>
    </w:p>
    <w:bookmarkEnd w:id="35"/>
    <w:bookmarkEnd w:id="36"/>
    <w:bookmarkStart w:id="37" w:name="appendix-a--endpoin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Appendix A — Endpoints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/odata/v4/dpp/$metadata</w:t>
            </w:r>
          </w:p>
        </w:tc>
        <w:tc>
          <w:p>
            <w:pPr>
              <w:pStyle w:val="Compact"/>
              <w:jc w:val="left"/>
            </w:pPr>
            <w:r>
              <w:t xml:space="preserve">XSUAA</w:t>
            </w:r>
          </w:p>
        </w:tc>
        <w:tc>
          <w:p>
            <w:pPr>
              <w:pStyle w:val="Compact"/>
              <w:jc w:val="left"/>
            </w:pPr>
            <w:r>
              <w:t xml:space="preserve">Tenant-scoped DPP CRUD service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/odata/v4/authority/$metadata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Read-only cross-tenant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/public/dpp/:token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Consumer view (visibility-filtered)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/public/dpp/:token/qr.png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Printable QR code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/$api-docs/odata/v4/dpp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Swagger UI for the DPP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/$api-docs/odata/v4/authority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Swagger UI for the authority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Liveness probe</w:t>
            </w:r>
          </w:p>
        </w:tc>
      </w:tr>
    </w:tbl>
    <w:bookmarkEnd w:id="37"/>
    <w:bookmarkStart w:id="38" w:name="appendix-b--mock-users-local-developmen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Appendix B — Mock Users (Local Development)</w:t>
      </w:r>
    </w:p>
    <w:p>
      <w:pPr>
        <w:pStyle w:val="FirstParagraph"/>
      </w:pPr>
      <w:r>
        <w:t xml:space="preserve">Basic-Auth, password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alice.admin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ORG-A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bob.editor</w:t>
            </w:r>
          </w:p>
        </w:tc>
        <w:tc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p>
            <w:pPr>
              <w:pStyle w:val="Compact"/>
              <w:jc w:val="left"/>
            </w:pPr>
            <w:r>
              <w:t xml:space="preserve">ORG-A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carol.viewer</w:t>
            </w:r>
          </w:p>
        </w:tc>
        <w:tc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p>
            <w:pPr>
              <w:pStyle w:val="Compact"/>
              <w:jc w:val="left"/>
            </w:pPr>
            <w:r>
              <w:t xml:space="preserve">ORG-A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dan.editor.b</w:t>
            </w:r>
          </w:p>
        </w:tc>
        <w:tc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p>
            <w:pPr>
              <w:pStyle w:val="Compact"/>
              <w:jc w:val="left"/>
            </w:pPr>
            <w:r>
              <w:t xml:space="preserve">ORG-B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eve.authority</w:t>
            </w:r>
          </w:p>
        </w:tc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2026-05-21T07:50:06Z</dcterms:created>
  <dcterms:modified xsi:type="dcterms:W3CDTF">2026-05-21T07:50:06Z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