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9.png" ContentType="image/png"/>
  <Override PartName="/word/media/rId4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% DPP Capgemini — Technical Documentation</w:t>
      </w:r>
      <w:r>
        <w:t xml:space="preserve"> </w:t>
      </w:r>
      <w:r>
        <w:t xml:space="preserve">% Digital Product Passport Backend (Fashion)</w:t>
      </w:r>
      <w:r>
        <w:t xml:space="preserve"> </w:t>
      </w:r>
      <w:r>
        <w:t xml:space="preserve">% 2026</w:t>
      </w:r>
    </w:p>
    <w:bookmarkStart w:id="20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dpp_capgemini</w:t>
      </w:r>
      <w:r>
        <w:t xml:space="preserve"> </w:t>
      </w:r>
      <w:r>
        <w:t xml:space="preserve">project is a backend for an EU-ESPR–oriented Digital Product Passport (DPP) targeted at the fashion industry. It is implemented as a TUM × Capgemini student project.</w:t>
      </w:r>
    </w:p>
    <w:p>
      <w:pPr>
        <w:pStyle w:val="BodyText"/>
      </w:pPr>
      <w:r>
        <w:rPr>
          <w:bCs/>
          <w:b/>
        </w:rPr>
        <w:t xml:space="preserve">Technology stack</w:t>
      </w:r>
    </w:p>
    <w:p>
      <w:pPr>
        <w:numPr>
          <w:ilvl w:val="0"/>
          <w:numId w:val="1001"/>
        </w:numPr>
        <w:pStyle w:val="Compact"/>
      </w:pPr>
      <w:r>
        <w:t xml:space="preserve">SAP Cloud Application Programming Model (CAP), Node.js,</w:t>
      </w:r>
      <w:r>
        <w:t xml:space="preserve"> </w:t>
      </w:r>
      <w:r>
        <w:rPr>
          <w:rStyle w:val="VerbatimChar"/>
        </w:rPr>
        <w:t xml:space="preserve">@sap/cds</w:t>
      </w:r>
      <w:r>
        <w:t xml:space="preserve"> </w:t>
      </w:r>
      <w:r>
        <w:t xml:space="preserve">^9</w:t>
      </w:r>
    </w:p>
    <w:p>
      <w:pPr>
        <w:numPr>
          <w:ilvl w:val="0"/>
          <w:numId w:val="1001"/>
        </w:numPr>
        <w:pStyle w:val="Compact"/>
      </w:pPr>
      <w:r>
        <w:t xml:space="preserve">CDS data model, OData V4 services, auto-generated OpenAPI / Swagger</w:t>
      </w:r>
    </w:p>
    <w:p>
      <w:pPr>
        <w:numPr>
          <w:ilvl w:val="0"/>
          <w:numId w:val="1001"/>
        </w:numPr>
        <w:pStyle w:val="Compact"/>
      </w:pPr>
      <w:r>
        <w:t xml:space="preserve">SQLite (development) / SAP HANA Cloud (production on SAP BTP)</w:t>
      </w:r>
    </w:p>
    <w:p>
      <w:pPr>
        <w:numPr>
          <w:ilvl w:val="0"/>
          <w:numId w:val="1001"/>
        </w:numPr>
        <w:pStyle w:val="Compact"/>
      </w:pPr>
      <w:r>
        <w:t xml:space="preserve">XSUAA authentication with four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authority</w:t>
      </w:r>
    </w:p>
    <w:p>
      <w:pPr>
        <w:numPr>
          <w:ilvl w:val="0"/>
          <w:numId w:val="1001"/>
        </w:numPr>
        <w:pStyle w:val="Compact"/>
      </w:pPr>
      <w:r>
        <w:t xml:space="preserve">Public consumer endpoint (</w:t>
      </w:r>
      <w:r>
        <w:rPr>
          <w:rStyle w:val="VerbatimChar"/>
        </w:rPr>
        <w:t xml:space="preserve">/public/dpp/:token</w:t>
      </w:r>
      <w:r>
        <w:t xml:space="preserve">, no login) with QR-code PNG generation</w:t>
      </w:r>
    </w:p>
    <w:p>
      <w:pPr>
        <w:numPr>
          <w:ilvl w:val="0"/>
          <w:numId w:val="1001"/>
        </w:numPr>
        <w:pStyle w:val="Compact"/>
      </w:pPr>
      <w:r>
        <w:t xml:space="preserve">Jest unit tests +</w:t>
      </w:r>
      <w:r>
        <w:t xml:space="preserve"> </w:t>
      </w:r>
      <w:r>
        <w:rPr>
          <w:rStyle w:val="VerbatimChar"/>
        </w:rPr>
        <w:t xml:space="preserve">cds.test</w:t>
      </w:r>
      <w:r>
        <w:t xml:space="preserve"> </w:t>
      </w:r>
      <w:r>
        <w:t xml:space="preserve">integration tests</w:t>
      </w:r>
    </w:p>
    <w:bookmarkEnd w:id="20"/>
    <w:bookmarkStart w:id="36" w:name="Xc1af58fc431aa4117cac9562448e50d1e6f578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Technical Data Model (Data Schema)</w:t>
      </w:r>
    </w:p>
    <w:p>
      <w:pPr>
        <w:pStyle w:val="FirstParagraph"/>
      </w:pPr>
      <w:r>
        <w:t xml:space="preserve">The data model is declared in CDS (SAP Cloud Application Programming Model) and lives under</w:t>
      </w:r>
      <w:r>
        <w:t xml:space="preserve"> </w:t>
      </w:r>
      <w:r>
        <w:rPr>
          <w:rStyle w:val="VerbatimChar"/>
        </w:rPr>
        <w:t xml:space="preserve">db/</w:t>
      </w:r>
      <w:r>
        <w:t xml:space="preserve">. It is split into three files: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db/common.cds</w:t>
      </w:r>
      <w:r>
        <w:t xml:space="preserve"> </w:t>
      </w:r>
      <w:r>
        <w:t xml:space="preserve">— base types and enumerations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db/org.cds</w:t>
      </w:r>
      <w:r>
        <w:t xml:space="preserve"> </w:t>
      </w:r>
      <w:r>
        <w:t xml:space="preserve">— organization and user master data (tenant level)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db/dpp.cds</w:t>
      </w:r>
      <w:r>
        <w:t xml:space="preserve"> </w:t>
      </w:r>
      <w:r>
        <w:t xml:space="preserve">— DPP core model with composition children</w:t>
      </w:r>
    </w:p>
    <w:bookmarkStart w:id="21" w:name="X5df68e8f5aa7d5ad3c277b30a691994095685c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Types and Enumerations (</w:t>
      </w:r>
      <w:r>
        <w:rPr>
          <w:rStyle w:val="VerbatimChar"/>
        </w:rPr>
        <w:t xml:space="preserve">common.cds</w:t>
      </w:r>
      <w:r>
        <w:t xml:space="preserve">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CountryISO2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String(2)</w:t>
            </w:r>
          </w:p>
        </w:tc>
        <w:tc>
          <w:p>
            <w:pPr>
              <w:pStyle w:val="Compact"/>
              <w:jc w:val="left"/>
            </w:pPr>
            <w:r>
              <w:t xml:space="preserve">ISO-3166-1 alpha-2 country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String(14)</w:t>
            </w:r>
          </w:p>
        </w:tc>
        <w:tc>
          <w:p>
            <w:pPr>
              <w:pStyle w:val="Compact"/>
              <w:jc w:val="left"/>
            </w:pPr>
            <w:r>
              <w:t xml:space="preserve">Global Trade Item Number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String(13)</w:t>
            </w:r>
          </w:p>
        </w:tc>
        <w:tc>
          <w:p>
            <w:pPr>
              <w:pStyle w:val="Compact"/>
              <w:jc w:val="left"/>
            </w:pPr>
            <w:r>
              <w:t xml:space="preserve">Global Location Number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EmailAddr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String(254)</w:t>
            </w:r>
          </w:p>
        </w:tc>
        <w:tc>
          <w:p>
            <w:pPr>
              <w:pStyle w:val="Compact"/>
              <w:jc w:val="left"/>
            </w:pPr>
            <w:r>
              <w:t xml:space="preserve">RFC 5321-compliant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String(500)</w:t>
            </w:r>
          </w:p>
        </w:tc>
        <w:tc>
          <w:p>
            <w:pPr>
              <w:pStyle w:val="Compact"/>
              <w:jc w:val="left"/>
            </w:pPr>
            <w:r>
              <w:t xml:space="preserve">External references, QR 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Sha256Hex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Hash audit for documents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OrgType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brand, manufacturer, supplier, distributor, retailer, logistics_provider, recycler, repair_service, certifier, authority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DPPStatus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draft, published, superseded,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public, restricted, internal, authority_only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declared, documented, third_party_verified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model,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MaterialClass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natural_plant, natural_animal, synthetic, regenerated, recycled, bio_based, metal, other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ComplianceStandard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ESPR, EU_Textile_Labelling, REACH, SCIP, CSDDD, CSRD, AGEC_FR, GOTS, OEKO_TEX, BLUESIGN, CRADLE_TO_CRADLE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DocumentType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certificate, audit_report, test_report, declaration, safety_sheet, care_label, repair_manual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admin, editor, viewer, authority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LifecycleEventType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manufactured, sold, repaired, resold, refurbished, recycled, disposed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SupplyChainTier</w:t>
            </w:r>
          </w:p>
        </w:tc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tier1, tier2, tier3, tier4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identified</w:t>
      </w:r>
      <w:r>
        <w:t xml:space="preserve"> </w:t>
      </w:r>
      <w:r>
        <w:t xml:space="preserve">aspect provides a readable</w:t>
      </w:r>
      <w:r>
        <w:t xml:space="preserve"> </w:t>
      </w:r>
      <w:r>
        <w:rPr>
          <w:rStyle w:val="VerbatimChar"/>
        </w:rPr>
        <w:t xml:space="preserve">String(36)</w:t>
      </w:r>
      <w:r>
        <w:t xml:space="preserve"> </w:t>
      </w:r>
      <w:r>
        <w:t xml:space="preserve">key instead of a UUID. This is a deliberate choice so that sample IDs such as</w:t>
      </w:r>
      <w:r>
        <w:t xml:space="preserve"> </w:t>
      </w:r>
      <w:r>
        <w:rPr>
          <w:rStyle w:val="VerbatimChar"/>
        </w:rPr>
        <w:t xml:space="preserve">dpp-001</w:t>
      </w:r>
      <w:r>
        <w:t xml:space="preserve"> </w:t>
      </w:r>
      <w:r>
        <w:t xml:space="preserve">and upstream system identifiers can be kept unchanged.</w:t>
      </w:r>
    </w:p>
    <w:bookmarkEnd w:id="21"/>
    <w:bookmarkStart w:id="25" w:name="X5591722c79358944266b8455e9e05a3a6fb222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Tenant and Master Data Entities (</w:t>
      </w:r>
      <w:r>
        <w:rPr>
          <w:rStyle w:val="VerbatimChar"/>
        </w:rPr>
        <w:t xml:space="preserve">org.cds</w:t>
      </w:r>
      <w:r>
        <w:t xml:space="preserve">)</w:t>
      </w:r>
    </w:p>
    <w:bookmarkStart w:id="22" w:name="organizations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Organizations</w:t>
      </w:r>
    </w:p>
    <w:p>
      <w:pPr>
        <w:pStyle w:val="FirstParagraph"/>
      </w:pPr>
      <w:r>
        <w:t xml:space="preserve">The tenant is represented by the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column (UNIQUE). An organization owns Facilities and Users.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legal_name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trade_name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organization_type</w:t>
            </w:r>
          </w:p>
        </w:tc>
        <w:tc>
          <w:p>
            <w:pPr>
              <w:pStyle w:val="Compact"/>
              <w:jc w:val="left"/>
            </w:pPr>
            <w:r>
              <w:t xml:space="preserve">OrgType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country_iso2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p>
            <w:pPr>
              <w:pStyle w:val="Compact"/>
              <w:jc w:val="left"/>
            </w:pPr>
            <w:r>
              <w:t xml:space="preserve">String(80)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tenant_id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is_platform_tenant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 false</w:t>
            </w:r>
          </w:p>
        </w:tc>
      </w:tr>
    </w:tbl>
    <w:bookmarkEnd w:id="22"/>
    <w:bookmarkStart w:id="23" w:name="facilities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Facilities</w:t>
      </w:r>
    </w:p>
    <w:p>
      <w:pPr>
        <w:pStyle w:val="FirstParagraph"/>
      </w:pPr>
      <w:r>
        <w:t xml:space="preserve">n:1 to Organizations, with geo-coordinates and audit status for tier mapping.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facility_type</w:t>
            </w:r>
          </w:p>
        </w:tc>
        <w:tc>
          <w:p>
            <w:pPr>
              <w:pStyle w:val="Compact"/>
              <w:jc w:val="left"/>
            </w:pPr>
            <w:r>
              <w:t xml:space="preserve">FacilityType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country_iso2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String(80)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>
            <w:pPr>
              <w:pStyle w:val="Compact"/>
              <w:jc w:val="left"/>
            </w:pPr>
            <w:r>
              <w:t xml:space="preserve">GLN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p>
            <w:pPr>
              <w:pStyle w:val="Compact"/>
              <w:jc w:val="left"/>
            </w:pPr>
            <w:r>
              <w:t xml:space="preserve">Decimal(9,6)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p>
            <w:pPr>
              <w:pStyle w:val="Compact"/>
              <w:jc w:val="left"/>
            </w:pPr>
            <w:r>
              <w:t xml:space="preserve">Decimal(9,6)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audit_status</w:t>
            </w:r>
          </w:p>
        </w:tc>
        <w:tc>
          <w:p>
            <w:pPr>
              <w:pStyle w:val="Compact"/>
              <w:jc w:val="left"/>
            </w:pPr>
            <w:r>
              <w:t xml:space="preserve">AuditStatus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last_audit_date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</w:tbl>
    <w:bookmarkEnd w:id="23"/>
    <w:bookmarkStart w:id="24" w:name="user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Users</w:t>
      </w:r>
    </w:p>
    <w:p>
      <w:pPr>
        <w:pStyle w:val="FirstParagraph"/>
      </w:pPr>
      <w:r>
        <w:t xml:space="preserve">n:1 to Organizations; UNIQUE constraint on</w:t>
      </w:r>
      <w:r>
        <w:t xml:space="preserve"> </w:t>
      </w:r>
      <w:r>
        <w:rPr>
          <w:rStyle w:val="VerbatimChar"/>
        </w:rPr>
        <w:t xml:space="preserve">(email, organization)</w:t>
      </w:r>
      <w:r>
        <w:t xml:space="preserve">;</w:t>
      </w:r>
      <w:r>
        <w:t xml:space="preserve"> </w:t>
      </w:r>
      <w:r>
        <w:rPr>
          <w:rStyle w:val="VerbatimChar"/>
        </w:rPr>
        <w:t xml:space="preserve">external_user_id</w:t>
      </w:r>
      <w:r>
        <w:t xml:space="preserve"> </w:t>
      </w:r>
      <w:r>
        <w:t xml:space="preserve">links to the XSUAA subject.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EmailAddr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external_user_id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XSUAA subject mapping</w:t>
            </w:r>
          </w:p>
        </w:tc>
      </w:tr>
    </w:tbl>
    <w:bookmarkEnd w:id="24"/>
    <w:bookmarkEnd w:id="25"/>
    <w:bookmarkStart w:id="29" w:name="Xcbcaf7294148e78e5ca767ec982d4918801dec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DPP Core Model (</w:t>
      </w:r>
      <w:r>
        <w:rPr>
          <w:rStyle w:val="VerbatimChar"/>
        </w:rPr>
        <w:t xml:space="preserve">dpp.cds</w:t>
      </w:r>
      <w:r>
        <w:t xml:space="preserve">)</w:t>
      </w:r>
    </w:p>
    <w:bookmarkStart w:id="26" w:name="products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Products</w:t>
      </w:r>
    </w:p>
    <w:p>
      <w:pPr>
        <w:pStyle w:val="FirstParagraph"/>
      </w:pPr>
      <w:r>
        <w:t xml:space="preserve">Product master data, n:1 to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, UNIQUE on</w:t>
      </w:r>
      <w:r>
        <w:t xml:space="preserve"> </w:t>
      </w:r>
      <w:r>
        <w:rPr>
          <w:rStyle w:val="VerbatimChar"/>
        </w:rPr>
        <w:t xml:space="preserve">(gtin, owning_organization)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 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GTIN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owning_organization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</w:tr>
    </w:tbl>
    <w:bookmarkEnd w:id="26"/>
    <w:bookmarkStart w:id="27" w:name="dpps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DPPs</w:t>
      </w:r>
    </w:p>
    <w:p>
      <w:pPr>
        <w:pStyle w:val="FirstParagraph"/>
      </w:pPr>
      <w:r>
        <w:t xml:space="preserve">Central entity, can be model- or batch-specific.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product, issuing_organization, facility</w:t>
            </w:r>
          </w:p>
        </w:tc>
        <w:tc>
          <w:p>
            <w:pPr>
              <w:pStyle w:val="Compact"/>
              <w:jc w:val="left"/>
            </w:pPr>
            <w:r>
              <w:t xml:space="preserve">Assoc.</w:t>
            </w:r>
          </w:p>
        </w:tc>
        <w:tc>
          <w:p>
            <w:pPr>
              <w:pStyle w:val="Compact"/>
              <w:jc w:val="left"/>
            </w:pPr>
            <w:r>
              <w:t xml:space="preserve">References to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GTIN</w:t>
            </w:r>
          </w:p>
        </w:tc>
        <w:tc>
          <w:p>
            <w:pPr>
              <w:pStyle w:val="Compact"/>
              <w:jc w:val="left"/>
            </w:pPr>
            <w:r>
              <w:t xml:space="preserve">Used when batch-level GTIN differs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granularity_level</w:t>
            </w:r>
          </w:p>
        </w:tc>
        <w:tc>
          <w:p>
            <w:pPr>
              <w:pStyle w:val="Compact"/>
              <w:jc w:val="left"/>
            </w:pPr>
            <w:r>
              <w:t xml:space="preserve">Granularity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batch_lot_number</w:t>
            </w:r>
          </w:p>
        </w:tc>
        <w:tc>
          <w:p>
            <w:pPr>
              <w:pStyle w:val="Compact"/>
              <w:jc w:val="left"/>
            </w:pPr>
            <w:r>
              <w:t xml:space="preserve">String(40)</w:t>
            </w:r>
          </w:p>
        </w:tc>
        <w:tc>
          <w:p>
            <w:pPr>
              <w:pStyle w:val="Compact"/>
              <w:jc w:val="left"/>
            </w:pPr>
            <w:r>
              <w:t xml:space="preserve">UNIQUE per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DPPStatus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manufacturing_country_iso2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manufacturing_date_from / _to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placed_on_market_date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published_at, archived_at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Lifecycle markers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qr_token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HMAC-signed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qr_payload_url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Consumer deep link</w:t>
            </w:r>
          </w:p>
        </w:tc>
      </w:tr>
    </w:tbl>
    <w:bookmarkEnd w:id="27"/>
    <w:bookmarkStart w:id="28" w:name="composition-children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Composition children</w:t>
      </w:r>
    </w:p>
    <w:p>
      <w:pPr>
        <w:pStyle w:val="FirstParagraph"/>
      </w:pPr>
      <w:r>
        <w:t xml:space="preserve">All composition children expose a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column so that the public filter pipeline can strip non-public content.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MaterialComposition</w:t>
            </w:r>
          </w:p>
        </w:tc>
        <w:tc>
          <w:p>
            <w:pPr>
              <w:pStyle w:val="Compact"/>
              <w:jc w:val="left"/>
            </w:pPr>
            <w:r>
              <w:t xml:space="preserve">Links a DPP to a root Material from the master data, with the percentage that material contributes to the DPP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ComplianceStatements</w:t>
            </w:r>
          </w:p>
        </w:tc>
        <w:tc>
          <w:p>
            <w:pPr>
              <w:pStyle w:val="Compact"/>
              <w:jc w:val="left"/>
            </w:pPr>
            <w:r>
              <w:t xml:space="preserve">Statements covering ESPR / REACH / SCIP / CSDDD / etc. including evidence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p>
            <w:pPr>
              <w:pStyle w:val="Compact"/>
              <w:jc w:val="left"/>
            </w:pPr>
            <w:r>
              <w:t xml:space="preserve">Certificates and reports including</w:t>
            </w:r>
            <w:r>
              <w:t xml:space="preserve"> </w:t>
            </w:r>
            <w:r>
              <w:rPr>
                <w:rStyle w:val="VerbatimChar"/>
              </w:rPr>
              <w:t xml:space="preserve">LargeBinary</w:t>
            </w:r>
            <w:r>
              <w:t xml:space="preserve"> </w:t>
            </w:r>
            <w:r>
              <w:t xml:space="preserve">content, SHA-256, MIME 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SubstancesOfConcern</w:t>
            </w:r>
          </w:p>
        </w:tc>
        <w:tc>
          <w:p>
            <w:pPr>
              <w:pStyle w:val="Compact"/>
              <w:jc w:val="left"/>
            </w:pPr>
            <w:r>
              <w:t xml:space="preserve">CAS / EC numbers, SCIP reference, concentration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CareInstructions</w:t>
            </w:r>
          </w:p>
        </w:tc>
        <w:tc>
          <w:p>
            <w:pPr>
              <w:pStyle w:val="Compact"/>
              <w:jc w:val="left"/>
            </w:pPr>
            <w:r>
              <w:t xml:space="preserve">Care instructions per language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SustainabilityIndicators</w:t>
            </w:r>
          </w:p>
        </w:tc>
        <w:tc>
          <w:p>
            <w:pPr>
              <w:pStyle w:val="Compact"/>
              <w:jc w:val="left"/>
            </w:pPr>
            <w:r>
              <w:t xml:space="preserve">CO₂, water, energy, durability / repairability (1:1 to DPP)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SupplyChainSteps</w:t>
            </w:r>
          </w:p>
        </w:tc>
        <w:tc>
          <w:p>
            <w:pPr>
              <w:pStyle w:val="Compact"/>
              <w:jc w:val="left"/>
            </w:pPr>
            <w:r>
              <w:t xml:space="preserve">Tier 1–4 step, facility, organization, time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LifecycleEvents</w:t>
            </w:r>
          </w:p>
        </w:tc>
        <w:tc>
          <w:p>
            <w:pPr>
              <w:pStyle w:val="Compact"/>
              <w:jc w:val="left"/>
            </w:pPr>
            <w:r>
              <w:t xml:space="preserve">manufactured / sold / repaired / recycled / etc.</w:t>
            </w:r>
          </w:p>
        </w:tc>
      </w:tr>
    </w:tbl>
    <w:bookmarkEnd w:id="28"/>
    <w:bookmarkEnd w:id="29"/>
    <w:bookmarkStart w:id="35" w:name="X4608d4160b0e4476986638fad7a44d9c4edad66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Material Master Data and BOM Tree</w:t>
      </w:r>
    </w:p>
    <w:p>
      <w:pPr>
        <w:pStyle w:val="FirstParagraph"/>
      </w:pPr>
      <w:r>
        <w:t xml:space="preserve">Materials are modelled as reusable master data per organization. A material carries every DPP-relevant attribute (origin, recycled share, verification status, CO₂ / water / energy figures, supplier). A material may itself be composed of further materials through a many-to-many BOM relation (</w:t>
      </w:r>
      <w:r>
        <w:rPr>
          <w:rStyle w:val="VerbatimChar"/>
        </w:rPr>
        <w:t xml:space="preserve">MaterialComponents</w:t>
      </w:r>
      <w:r>
        <w:t xml:space="preserve">), so a recycled-cotton yarn can declare its sub-materials, each of which exposes the same DPP attributes.</w:t>
      </w:r>
    </w:p>
    <w:bookmarkStart w:id="30" w:name="materials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Materials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owning_organization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not null, tenant scope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String(120)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 within organization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material_class</w:t>
            </w:r>
          </w:p>
        </w:tc>
        <w:tc>
          <w:p>
            <w:pPr>
              <w:pStyle w:val="Compact"/>
              <w:jc w:val="left"/>
            </w:pPr>
            <w:r>
              <w:t xml:space="preserve">MaterialClass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country_of_origin</w:t>
            </w:r>
          </w:p>
        </w:tc>
        <w:tc>
          <w:p>
            <w:pPr>
              <w:pStyle w:val="Compact"/>
              <w:jc w:val="left"/>
            </w:pPr>
            <w:r>
              <w:t xml:space="preserve">CountryISO2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recycled_content_pct</w:t>
            </w:r>
          </w:p>
        </w:tc>
        <w:tc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p>
            <w:pPr>
              <w:pStyle w:val="Compact"/>
              <w:jc w:val="left"/>
            </w:pPr>
            <w:r>
              <w:t xml:space="preserve">default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supplier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optional supplier reference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supplier_facility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Facilities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co2_footprint_kg</w:t>
            </w:r>
          </w:p>
        </w:tc>
        <w:tc>
          <w:p>
            <w:pPr>
              <w:pStyle w:val="Compact"/>
              <w:jc w:val="left"/>
            </w:pPr>
            <w:r>
              <w:t xml:space="preserve">Decimal(10,3)</w:t>
            </w:r>
          </w:p>
        </w:tc>
        <w:tc>
          <w:p>
            <w:pPr>
              <w:pStyle w:val="Compact"/>
              <w:jc w:val="left"/>
            </w:pPr>
            <w:r>
              <w:t xml:space="preserve">declared per master record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water_usage_l</w:t>
            </w:r>
          </w:p>
        </w:tc>
        <w:tc>
          <w:p>
            <w:pPr>
              <w:pStyle w:val="Compact"/>
              <w:jc w:val="left"/>
            </w:pPr>
            <w:r>
              <w:t xml:space="preserve">Decimal(12,2)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energy_usage_kwh</w:t>
            </w:r>
          </w:p>
        </w:tc>
        <w:tc>
          <w:p>
            <w:pPr>
              <w:pStyle w:val="Compact"/>
              <w:jc w:val="left"/>
            </w:pPr>
            <w:r>
              <w:t xml:space="preserve">Decimal(12,2)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p>
            <w:pPr>
              <w:pStyle w:val="Compact"/>
              <w:jc w:val="left"/>
            </w:pPr>
            <w:r>
              <w:t xml:space="preserve">Composition of many MaterialComponents</w:t>
            </w:r>
          </w:p>
        </w:tc>
        <w:tc>
          <w:p>
            <w:pPr>
              <w:pStyle w:val="Compact"/>
              <w:jc w:val="left"/>
            </w:pPr>
            <w:r>
              <w:t xml:space="preserve">child BOM edges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usages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many MaterialComposition</w:t>
            </w:r>
          </w:p>
        </w:tc>
        <w:tc>
          <w:p>
            <w:pPr>
              <w:pStyle w:val="Compact"/>
              <w:jc w:val="left"/>
            </w:pPr>
            <w:r>
              <w:t xml:space="preserve">back-reference to DPP usage</w:t>
            </w:r>
          </w:p>
        </w:tc>
      </w:tr>
    </w:tbl>
    <w:bookmarkEnd w:id="30"/>
    <w:bookmarkStart w:id="31" w:name="materialcomponents-bom-edges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MaterialComponents (BOM edges)</w:t>
      </w:r>
    </w:p>
    <w:p>
      <w:pPr>
        <w:pStyle w:val="FirstParagraph"/>
      </w:pPr>
      <w:r>
        <w:t xml:space="preserve">A row says:</w:t>
      </w:r>
      <w:r>
        <w:t xml:space="preserve"> </w:t>
      </w:r>
      <w:r>
        <w:rPr>
          <w:rStyle w:val="VerbatimChar"/>
        </w:rPr>
        <w:t xml:space="preserve">parent_material</w:t>
      </w:r>
      <w:r>
        <w:t xml:space="preserve"> </w:t>
      </w:r>
      <w:r>
        <w:t xml:space="preserve">is composed of</w:t>
      </w:r>
      <w:r>
        <w:t xml:space="preserve"> </w:t>
      </w:r>
      <w:r>
        <w:rPr>
          <w:rStyle w:val="VerbatimChar"/>
        </w:rPr>
        <w:t xml:space="preserve">percentage</w:t>
      </w:r>
      <w:r>
        <w:t xml:space="preserve"> </w:t>
      </w:r>
      <w:r>
        <w:t xml:space="preserve">% of</w:t>
      </w:r>
      <w:r>
        <w:t xml:space="preserve"> </w:t>
      </w:r>
      <w:r>
        <w:rPr>
          <w:rStyle w:val="VerbatimChar"/>
        </w:rPr>
        <w:t xml:space="preserve">child_material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parent_material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Materials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child_material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Materials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p>
            <w:pPr>
              <w:pStyle w:val="Compact"/>
              <w:jc w:val="left"/>
            </w:pPr>
            <w:r>
              <w:t xml:space="preserve">not null, range (0, 100]</w:t>
            </w:r>
          </w:p>
        </w:tc>
      </w:tr>
    </w:tbl>
    <w:p>
      <w:pPr>
        <w:pStyle w:val="BodyText"/>
      </w:pPr>
      <w:r>
        <w:t xml:space="preserve">UNIQUE on</w:t>
      </w:r>
      <w:r>
        <w:t xml:space="preserve"> </w:t>
      </w:r>
      <w:r>
        <w:rPr>
          <w:rStyle w:val="VerbatimChar"/>
        </w:rPr>
        <w:t xml:space="preserve">(parent_material, child_material)</w:t>
      </w:r>
      <w:r>
        <w:t xml:space="preserve">. Self-loops and transitive cycles are rejected by handler.</w:t>
      </w:r>
    </w:p>
    <w:bookmarkEnd w:id="31"/>
    <w:bookmarkStart w:id="32" w:name="materialcomposition-dpp-usage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MaterialComposition (DPP usage)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String(36)</w:t>
            </w:r>
          </w:p>
        </w:tc>
        <w:tc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DPPs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p>
            <w:pPr>
              <w:pStyle w:val="Compact"/>
              <w:jc w:val="left"/>
            </w:pPr>
            <w:r>
              <w:t xml:space="preserve">Association to Materials</w:t>
            </w:r>
          </w:p>
        </w:tc>
        <w:tc>
          <w:p>
            <w:pPr>
              <w:pStyle w:val="Compact"/>
              <w:jc w:val="left"/>
            </w:pPr>
            <w:r>
              <w:t xml:space="preserve">not null — root of the per-DPP sub-tree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p>
            <w:pPr>
              <w:pStyle w:val="Compact"/>
              <w:jc w:val="left"/>
            </w:pPr>
            <w:r>
              <w:t xml:space="preserve">share of this material in the finished DPP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String(500)</w:t>
            </w:r>
          </w:p>
        </w:tc>
        <w:tc>
          <w:p>
            <w:pPr>
              <w:pStyle w:val="Compact"/>
              <w:jc w:val="left"/>
            </w:pPr>
            <w:r>
              <w:t xml:space="preserve">optional per-usage remark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Visibility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</w:p>
        </w:tc>
      </w:tr>
    </w:tbl>
    <w:bookmarkEnd w:id="32"/>
    <w:bookmarkStart w:id="33" w:name="integrity-rules-handler-enforced"/>
    <w:p>
      <w:pPr>
        <w:pStyle w:val="Heading3"/>
      </w:pPr>
      <w:r>
        <w:rPr>
          <w:rStyle w:val="SectionNumber"/>
        </w:rPr>
        <w:t xml:space="preserve">2.4.4</w:t>
      </w:r>
      <w:r>
        <w:tab/>
      </w:r>
      <w:r>
        <w:t xml:space="preserve">Integrity rules (handler-enforced)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MaterialComponents.parent_material != child_material</w:t>
      </w:r>
      <w:r>
        <w:t xml:space="preserve"> </w:t>
      </w:r>
      <w:r>
        <w:t xml:space="preserve">(no direct self-loop).</w:t>
      </w:r>
    </w:p>
    <w:p>
      <w:pPr>
        <w:numPr>
          <w:ilvl w:val="0"/>
          <w:numId w:val="1003"/>
        </w:numPr>
        <w:pStyle w:val="Compact"/>
      </w:pPr>
      <w:r>
        <w:t xml:space="preserve">Inserting an edge that would close a cycle (parent reachable from child) is rejected with HTTP 409.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MaterialComponents.percentage</w:t>
      </w:r>
      <w:r>
        <w:t xml:space="preserve"> </w:t>
      </w:r>
      <w:r>
        <w:t xml:space="preserve">must be in (0, 100].</w:t>
      </w:r>
    </w:p>
    <w:p>
      <w:pPr>
        <w:numPr>
          <w:ilvl w:val="0"/>
          <w:numId w:val="1003"/>
        </w:numPr>
        <w:pStyle w:val="Compact"/>
      </w:pPr>
      <w:r>
        <w:t xml:space="preserve">Tenant defaulting: on CREATE of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 </w:t>
      </w:r>
      <w:r>
        <w:t xml:space="preserve">is auto-filled from the caller's tenant.</w:t>
      </w:r>
    </w:p>
    <w:bookmarkEnd w:id="33"/>
    <w:bookmarkStart w:id="34" w:name="uniqueness-and-integrity-constraints"/>
    <w:p>
      <w:pPr>
        <w:pStyle w:val="Heading3"/>
      </w:pPr>
      <w:r>
        <w:rPr>
          <w:rStyle w:val="SectionNumber"/>
        </w:rPr>
        <w:t xml:space="preserve">2.4.5</w:t>
      </w:r>
      <w:r>
        <w:tab/>
      </w:r>
      <w:r>
        <w:t xml:space="preserve">Uniqueness and integrity constraints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Organizations.tenant_id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Users (email, organization)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Products (gtin, owning_organization)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Materials (name, owning_organization)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MaterialComponents (parent_material, child_material)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DPPs.qr_token</w:t>
      </w:r>
      <w:r>
        <w:t xml:space="preserve"> </w:t>
      </w:r>
      <w:r>
        <w:t xml:space="preserve">UNIQUE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DPPs (product, batch_lot_number)</w:t>
      </w:r>
      <w:r>
        <w:t xml:space="preserve"> </w:t>
      </w:r>
      <w:r>
        <w:t xml:space="preserve">UNIQUE</w:t>
      </w:r>
    </w:p>
    <w:bookmarkEnd w:id="34"/>
    <w:bookmarkEnd w:id="35"/>
    <w:bookmarkEnd w:id="36"/>
    <w:bookmarkStart w:id="45" w:name="X343ddb562f1b0cca3b6dcc0b620bfd4c4800ec0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Architecture Diagrams</w:t>
      </w:r>
    </w:p>
    <w:bookmarkStart w:id="38" w:name="X9a1a14155f80b4dd5444beed8e574f7ad05551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High-Level System Architecture</w:t>
      </w:r>
    </w:p>
    <w:p>
      <w:pPr>
        <w:pStyle w:val="FirstParagraph"/>
      </w:pPr>
      <w:r>
        <w:t xml:space="preserve">Three client classes (internal brand users, public authority users, and anonymous consumers) connect to a CAP runtime hosted on SAP BTP Cloud Foundry. Authenticated traffic flows through the App Router and XSUAA; the public consumer route bypasses authentication and is mounted directly on the Express bootstrap. Persistence targets SQLite for local development and SAP HANA Cloud in production.</w:t>
      </w:r>
    </w:p>
    <w:p>
      <w:pPr>
        <w:pStyle w:val="BodyText"/>
      </w:pPr>
      <w:r>
        <w:drawing>
          <wp:inline>
            <wp:extent cx="5334000" cy="4257800"/>
            <wp:effectExtent b="0" l="0" r="0" t="0"/>
            <wp:docPr descr="High-level system architecture" title="" id="1" name="Picture"/>
            <a:graphic>
              <a:graphicData uri="http://schemas.openxmlformats.org/drawingml/2006/picture">
                <pic:pic>
                  <pic:nvPicPr>
                    <pic:cNvPr descr="diagrams/01_system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Component responsibilities.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 Router (planned)</w:t>
      </w:r>
      <w:r>
        <w:t xml:space="preserve"> </w:t>
      </w:r>
      <w:r>
        <w:t xml:space="preserve">— terminates user sessions and forwards JWTs to CAP services.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XSUAA</w:t>
      </w:r>
      <w:r>
        <w:t xml:space="preserve"> </w:t>
      </w:r>
      <w:r>
        <w:t xml:space="preserve">— issues OAuth2 JWTs and exposes role-template-driven scopes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DPPService</w:t>
      </w:r>
      <w:r>
        <w:t xml:space="preserve"> </w:t>
      </w:r>
      <w:r>
        <w:t xml:space="preserve">— tenant-scoped CRUD for internal users.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AuthorityService</w:t>
      </w:r>
      <w:r>
        <w:t xml:space="preserve"> </w:t>
      </w:r>
      <w:r>
        <w:t xml:space="preserve">— cross-tenant, read-only view for market-surveillance authorities.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 Handler</w:t>
      </w:r>
      <w:r>
        <w:t xml:space="preserve"> </w:t>
      </w:r>
      <w:r>
        <w:t xml:space="preserve">— anonymous consumer route serving a visibility-filtered DTO and the QR PNG.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Persistence</w:t>
      </w:r>
      <w:r>
        <w:t xml:space="preserve"> </w:t>
      </w:r>
      <w:r>
        <w:t xml:space="preserve">— SQLite locally, SAP HANA Cloud in production; the CDS model is portable across both.</w:t>
      </w:r>
    </w:p>
    <w:bookmarkEnd w:id="38"/>
    <w:bookmarkStart w:id="40" w:name="Xa2e299aa927ebd09314ed22d773ec56be563ad5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ER Diagram (Data Model)</w:t>
      </w:r>
    </w:p>
    <w:p>
      <w:pPr>
        <w:pStyle w:val="FirstParagraph"/>
      </w:pPr>
      <w:r>
        <w:t xml:space="preserve">Organizations sit at the top of the master-data tree; they own Facilities, Users, Products,</w:t>
      </w:r>
      <w:r>
        <w:t xml:space="preserve"> </w:t>
      </w:r>
      <w:r>
        <w:rPr>
          <w:bCs/>
          <w:b/>
        </w:rPr>
        <w:t xml:space="preserve">Materials</w:t>
      </w:r>
      <w:r>
        <w:t xml:space="preserve">, and issue DPPs. A Product has one or more DPPs (model or batch granularity). Materials are reusable master data that form a directed acyclic graph through</w:t>
      </w:r>
      <w:r>
        <w:t xml:space="preserve"> </w:t>
      </w:r>
      <w:r>
        <w:rPr>
          <w:rStyle w:val="VerbatimChar"/>
        </w:rPr>
        <w:t xml:space="preserve">MaterialComponents</w:t>
      </w:r>
      <w:r>
        <w:t xml:space="preserve"> </w:t>
      </w:r>
      <w:r>
        <w:t xml:space="preserve">(BOM edges). Each DPP composes child entity sets;</w:t>
      </w:r>
      <w:r>
        <w:t xml:space="preserve"> </w:t>
      </w:r>
      <w:r>
        <w:rPr>
          <w:rStyle w:val="VerbatimChar"/>
        </w:rPr>
        <w:t xml:space="preserve">MaterialComposition</w:t>
      </w:r>
      <w:r>
        <w:t xml:space="preserve"> </w:t>
      </w:r>
      <w:r>
        <w:t xml:space="preserve">is the link from a DPP to a root Material (the recursive sub-tree of which the consumer sees on scan).</w:t>
      </w:r>
      <w:r>
        <w:t xml:space="preserve"> </w:t>
      </w:r>
      <w:r>
        <w:rPr>
          <w:rStyle w:val="VerbatimChar"/>
        </w:rPr>
        <w:t xml:space="preserve">SustainabilityIndicators</w:t>
      </w:r>
      <w:r>
        <w:t xml:space="preserve"> </w:t>
      </w:r>
      <w:r>
        <w:t xml:space="preserve">is the only 1:1 relationship.</w:t>
      </w:r>
    </w:p>
    <w:p>
      <w:pPr>
        <w:pStyle w:val="BodyText"/>
      </w:pPr>
      <w:r>
        <w:drawing>
          <wp:inline>
            <wp:extent cx="5334000" cy="3241062"/>
            <wp:effectExtent b="0" l="0" r="0" t="0"/>
            <wp:docPr descr="ER diagram" title="" id="1" name="Picture"/>
            <a:graphic>
              <a:graphicData uri="http://schemas.openxmlformats.org/drawingml/2006/picture">
                <pic:pic>
                  <pic:nvPicPr>
                    <pic:cNvPr descr="diagrams/02_er_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1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Key entity attributes (compact view).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Organizations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legal_name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country_iso2</w:t>
      </w:r>
      <w:r>
        <w:t xml:space="preserve">,</w:t>
      </w:r>
      <w:r>
        <w:t xml:space="preserve"> </w:t>
      </w:r>
      <w:r>
        <w:rPr>
          <w:rStyle w:val="VerbatimChar"/>
        </w:rPr>
        <w:t xml:space="preserve">gln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DPPs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issuing_organization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granularity_level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batch_lot_number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qr_payload_url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Products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gtin</w:t>
      </w:r>
      <w:r>
        <w:t xml:space="preserve">,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 </w:t>
      </w:r>
      <w:r>
        <w:t xml:space="preserve">(FK).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owning_organization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(UNIQUE per org),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country_of_origin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recycled_content_pct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(FK), CO₂ / water / energy footprint,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MaterialComponents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parent_material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child_material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percentage</w:t>
      </w:r>
      <w:r>
        <w:t xml:space="preserve">; UNIQUE on the edge, no cycles allowed.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MaterialComposition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dpp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percentage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</w:t>
      </w:r>
    </w:p>
    <w:bookmarkEnd w:id="40"/>
    <w:bookmarkStart w:id="42" w:name="Xa69708d1ca87adeff606be4c476f7e4db00d86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Service Architecture (Roles, Scopes, Authorization)</w:t>
      </w:r>
    </w:p>
    <w:p>
      <w:pPr>
        <w:pStyle w:val="FirstParagraph"/>
      </w:pPr>
      <w:r>
        <w:t xml:space="preserve">Authorization is layered. The service annotation</w:t>
      </w:r>
      <w:r>
        <w:t xml:space="preserve"> </w:t>
      </w:r>
      <w:r>
        <w:rPr>
          <w:rStyle w:val="VerbatimChar"/>
        </w:rPr>
        <w:t xml:space="preserve">@requires</w:t>
      </w:r>
      <w:r>
        <w:t xml:space="preserve"> </w:t>
      </w:r>
      <w:r>
        <w:t xml:space="preserve">controls who can reach the service at all; per-entity</w:t>
      </w:r>
      <w:r>
        <w:t xml:space="preserve"> </w:t>
      </w:r>
      <w:r>
        <w:rPr>
          <w:rStyle w:val="VerbatimChar"/>
        </w:rPr>
        <w:t xml:space="preserve">@restrict</w:t>
      </w:r>
      <w:r>
        <w:t xml:space="preserve"> </w:t>
      </w:r>
      <w:r>
        <w:t xml:space="preserve">rules then combine the caller's role with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that pins each query to</w:t>
      </w:r>
      <w:r>
        <w:t xml:space="preserve"> </w:t>
      </w:r>
      <w:r>
        <w:rPr>
          <w:rStyle w:val="VerbatimChar"/>
        </w:rPr>
        <w:t xml:space="preserve">Organizations.tenant_id = $user.tenant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role is intentionally issued without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 </w:t>
      </w:r>
      <w:r>
        <w:t xml:space="preserve">attribute, so its queries skip the tenant filter and observe the full data set (excluding document binary content).</w:t>
      </w:r>
    </w:p>
    <w:p>
      <w:pPr>
        <w:pStyle w:val="BodyText"/>
      </w:pPr>
      <w:r>
        <w:drawing>
          <wp:inline>
            <wp:extent cx="5334000" cy="4527130"/>
            <wp:effectExtent b="0" l="0" r="0" t="0"/>
            <wp:docPr descr="Service architecture" title="" id="1" name="Picture"/>
            <a:graphic>
              <a:graphicData uri="http://schemas.openxmlformats.org/drawingml/2006/picture">
                <pic:pic>
                  <pic:nvPicPr>
                    <pic:cNvPr descr="diagrams/03_service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Role / capability matrix.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 DPP within own tenant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/ update / delete DPP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Publish / archive DPP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Users /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 DPP across all tenants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 published, public-visible DPP via QR token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42"/>
    <w:bookmarkStart w:id="44" w:name="Xc33e6984021c39fa0f28c5df032d8cd0748b7a1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2.4 QR Workflow (Publish → Consumer Scan)</w:t>
      </w:r>
    </w:p>
    <w:p>
      <w:pPr>
        <w:pStyle w:val="FirstParagraph"/>
      </w:pPr>
      <w:r>
        <w:t xml:space="preserve">When an editor publishes a DPP, the service generates an HMAC-signed token, stamps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and stores the consumer payload URL. Calling</w:t>
      </w:r>
      <w:r>
        <w:t xml:space="preserve"> </w:t>
      </w:r>
      <w:r>
        <w:rPr>
          <w:rStyle w:val="VerbatimChar"/>
        </w:rPr>
        <w:t xml:space="preserve">generateQRCode()</w:t>
      </w:r>
      <w:r>
        <w:t xml:space="preserve"> </w:t>
      </w:r>
      <w:r>
        <w:t xml:space="preserve">returns a base64 PNG of that URL. When a consumer scans the printed QR code, the public handler verifies the HMAC in constant time without touching the database, then loads the DPP and its children and emits a Consumer DTO that filters out non-public rows.</w:t>
      </w:r>
    </w:p>
    <w:p>
      <w:pPr>
        <w:pStyle w:val="BodyText"/>
      </w:pPr>
      <w:r>
        <w:drawing>
          <wp:inline>
            <wp:extent cx="5334000" cy="4936643"/>
            <wp:effectExtent b="0" l="0" r="0" t="0"/>
            <wp:docPr descr="QR workflow" title="" id="1" name="Picture"/>
            <a:graphic>
              <a:graphicData uri="http://schemas.openxmlformats.org/drawingml/2006/picture">
                <pic:pic>
                  <pic:nvPicPr>
                    <pic:cNvPr descr="diagrams/04_qr_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6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Token format.</w:t>
      </w:r>
    </w:p>
    <w:p>
      <w:pPr>
        <w:pStyle w:val="SourceCode"/>
      </w:pPr>
      <w:r>
        <w:rPr>
          <w:rStyle w:val="VerbatimChar"/>
        </w:rPr>
        <w:t xml:space="preserve">&lt;uuid-v4&gt;.&lt;base64url(HMAC-SHA256(QR_TOKEN_HMAC_SECRET, uuid))&gt;</w:t>
      </w:r>
    </w:p>
    <w:p>
      <w:pPr>
        <w:pStyle w:val="FirstParagraph"/>
      </w:pPr>
      <w:r>
        <w:t xml:space="preserve">The HMAC prefix lets the public route reject forged tokens in constant time (</w:t>
      </w:r>
      <w:r>
        <w:rPr>
          <w:rStyle w:val="VerbatimChar"/>
        </w:rPr>
        <w:t xml:space="preserve">timingSafeEqual</w:t>
      </w:r>
      <w:r>
        <w:t xml:space="preserve">) before any database lookup. Sensitive fields (tenant, hash audit, internal counters) are intentionally excluded from the Consumer DTO.</w:t>
      </w:r>
    </w:p>
    <w:bookmarkEnd w:id="44"/>
    <w:bookmarkEnd w:id="45"/>
    <w:bookmarkStart w:id="46" w:name="appendix-a-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Appendix A — Endpoints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/odata/v4/dpp/$metadata</w:t>
            </w:r>
          </w:p>
        </w:tc>
        <w:tc>
          <w:p>
            <w:pPr>
              <w:pStyle w:val="Compact"/>
              <w:jc w:val="left"/>
            </w:pPr>
            <w:r>
              <w:t xml:space="preserve">XSUAA</w:t>
            </w:r>
          </w:p>
        </w:tc>
        <w:tc>
          <w:p>
            <w:pPr>
              <w:pStyle w:val="Compact"/>
              <w:jc w:val="left"/>
            </w:pPr>
            <w:r>
              <w:t xml:space="preserve">Tenant-scoped DPP CRUD service metadata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/odata/v4/authority/$metadata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  <w:r>
              <w:t xml:space="preserve"> </w:t>
            </w:r>
            <w:r>
              <w:rPr>
                <w:rStyle w:val="VerbatimChar"/>
              </w:rPr>
              <w:t xml:space="preserve">authority</w:t>
            </w:r>
          </w:p>
        </w:tc>
        <w:tc>
          <w:p>
            <w:pPr>
              <w:pStyle w:val="Compact"/>
              <w:jc w:val="left"/>
            </w:pPr>
            <w:r>
              <w:t xml:space="preserve">Read-only cross-tenant 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/public/dpp/:token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Consumer view (visibility-filtered)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/public/dpp/:token/qr.png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Printable QR code 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/$api-docs/odata/v4/dpp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Swagger UI for the DPP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/$api-docs/odata/v4/authority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Swagger UI for the authority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Liveness probe</w:t>
            </w:r>
          </w:p>
        </w:tc>
      </w:tr>
    </w:tbl>
    <w:bookmarkEnd w:id="46"/>
    <w:bookmarkStart w:id="47" w:name="appendix-b--mock-users-local-developme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Appendix B — Mock Users (Local Development)</w:t>
      </w:r>
    </w:p>
    <w:p>
      <w:pPr>
        <w:pStyle w:val="FirstParagraph"/>
      </w:pPr>
      <w:r>
        <w:t xml:space="preserve">Basic-Auth, password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alice.admin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bob.editor</w:t>
            </w:r>
          </w:p>
        </w:tc>
        <w:tc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carol.viewer</w:t>
            </w:r>
          </w:p>
        </w:tc>
        <w:tc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p>
            <w:pPr>
              <w:pStyle w:val="Compact"/>
              <w:jc w:val="left"/>
            </w:pPr>
            <w:r>
              <w:t xml:space="preserve">ORG-A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dan.editor.b</w:t>
            </w:r>
          </w:p>
        </w:tc>
        <w:tc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p>
            <w:pPr>
              <w:pStyle w:val="Compact"/>
              <w:jc w:val="left"/>
            </w:pPr>
            <w:r>
              <w:t xml:space="preserve">ORG-B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eve.authority</w:t>
            </w:r>
          </w:p>
        </w:tc>
        <w:tc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2026-05-23T07:33:29Z</dcterms:created>
  <dcterms:modified xsi:type="dcterms:W3CDTF">2026-05-23T07:33:29Z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