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2.png" ContentType="image/png"/>
  <Override PartName="/word/media/rId40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DPP</w:t>
      </w:r>
      <w:r>
        <w:t xml:space="preserve"> </w:t>
      </w:r>
      <w:r>
        <w:t xml:space="preserve">Capgemini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Author"/>
      </w:pP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t xml:space="preserve"> </w:t>
      </w:r>
      <w:r>
        <w:t xml:space="preserve">Backend</w:t>
      </w:r>
      <w:r>
        <w:t xml:space="preserve"> </w:t>
      </w:r>
      <w:r>
        <w:t xml:space="preserve">(Fashion)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dpp_capgemini</w:t>
      </w:r>
      <w:r>
        <w:t xml:space="preserve"> </w:t>
      </w:r>
      <w:r>
        <w:t xml:space="preserve">project is a backend for an EU-ESPR–oriented Digital Product Passport (DPP) targeted at the fashion industry. It is implemented as a TUM × Capgemini student project.</w:t>
      </w:r>
    </w:p>
    <w:p>
      <w:pPr>
        <w:pStyle w:val="BodyText"/>
      </w:pPr>
      <w:r>
        <w:t xml:space="preserve">The schema is strictly aligned with the</w:t>
      </w:r>
      <w:r>
        <w:t xml:space="preserve"> </w:t>
      </w:r>
      <w:r>
        <w:rPr>
          <w:bCs/>
          <w:b/>
        </w:rPr>
        <w:t xml:space="preserve">Fashion DPP Object Field Catalogue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Fashion_DPP_Object_Field_Catalogue.xlsm</w:t>
      </w:r>
      <w:r>
        <w:t xml:space="preserve">) — 11 MVP entities, no extras. Sprint 2+ catalogue objects (Compliance Record, Sustainability Metric, Visibility Rule, Document Link, Certificate as N:N) are intentionally deferred.</w:t>
      </w:r>
    </w:p>
    <w:p>
      <w:pPr>
        <w:pStyle w:val="BodyText"/>
      </w:pPr>
      <w:r>
        <w:rPr>
          <w:bCs/>
          <w:b/>
        </w:rP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t xml:space="preserve">SAP Cloud Application Programming Model (CAP), Node.js,</w:t>
      </w:r>
      <w:r>
        <w:t xml:space="preserve"> </w:t>
      </w:r>
      <w:r>
        <w:rPr>
          <w:rStyle w:val="VerbatimChar"/>
        </w:rPr>
        <w:t xml:space="preserve">@sap/cds</w:t>
      </w:r>
      <w:r>
        <w:t xml:space="preserve"> </w:t>
      </w:r>
      <w:r>
        <w:t xml:space="preserve">^9</w:t>
      </w:r>
    </w:p>
    <w:p>
      <w:pPr>
        <w:numPr>
          <w:ilvl w:val="0"/>
          <w:numId w:val="1001"/>
        </w:numPr>
        <w:pStyle w:val="Compact"/>
      </w:pPr>
      <w:r>
        <w:t xml:space="preserve">CDS data model, OData V4 services, auto-generated OpenAPI / Swagger</w:t>
      </w:r>
    </w:p>
    <w:p>
      <w:pPr>
        <w:numPr>
          <w:ilvl w:val="0"/>
          <w:numId w:val="1001"/>
        </w:numPr>
        <w:pStyle w:val="Compact"/>
      </w:pPr>
      <w:r>
        <w:t xml:space="preserve">SQLite (development) / SAP HANA Cloud (production on SAP BTP)</w:t>
      </w:r>
    </w:p>
    <w:p>
      <w:pPr>
        <w:numPr>
          <w:ilvl w:val="0"/>
          <w:numId w:val="1001"/>
        </w:numPr>
        <w:pStyle w:val="Compact"/>
      </w:pPr>
      <w:r>
        <w:t xml:space="preserve">XSUAA authentication with three roles:</w:t>
      </w:r>
      <w:r>
        <w:t xml:space="preserve"> </w:t>
      </w:r>
      <w:r>
        <w:rPr>
          <w:rStyle w:val="VerbatimChar"/>
        </w:rPr>
        <w:t xml:space="preserve">company_advanced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end_user</w:t>
      </w:r>
      <w:r>
        <w:t xml:space="preserve"> </w:t>
      </w:r>
      <w:r>
        <w:t xml:space="preserve">(XSUAA issues a single</w:t>
      </w:r>
      <w:r>
        <w:t xml:space="preserve"> </w:t>
      </w:r>
      <w:r>
        <w:rPr>
          <w:rStyle w:val="VerbatimChar"/>
        </w:rPr>
        <w:t xml:space="preserve">AuthenticatedUser</w:t>
      </w:r>
      <w:r>
        <w:t xml:space="preserve"> </w:t>
      </w:r>
      <w:r>
        <w:t xml:space="preserve">scope; the backend resolves the application role + tenant from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table)</w:t>
      </w:r>
    </w:p>
    <w:p>
      <w:pPr>
        <w:numPr>
          <w:ilvl w:val="0"/>
          <w:numId w:val="1001"/>
        </w:numPr>
        <w:pStyle w:val="Compact"/>
      </w:pPr>
      <w:r>
        <w:t xml:space="preserve">Public consumer endpoint (</w:t>
      </w:r>
      <w:r>
        <w:rPr>
          <w:rStyle w:val="VerbatimChar"/>
        </w:rPr>
        <w:t xml:space="preserve">/public/dpp/:token</w:t>
      </w:r>
      <w:r>
        <w:t xml:space="preserve">, no login) with HMAC-signed QR-code PNG</w:t>
      </w:r>
    </w:p>
    <w:p>
      <w:pPr>
        <w:numPr>
          <w:ilvl w:val="0"/>
          <w:numId w:val="1001"/>
        </w:numPr>
        <w:pStyle w:val="Compact"/>
      </w:pPr>
      <w:r>
        <w:t xml:space="preserve">Excel import/export (XLSX) and PDF export (DPP + QR label) via PDFKit</w:t>
      </w:r>
    </w:p>
    <w:p>
      <w:pPr>
        <w:numPr>
          <w:ilvl w:val="0"/>
          <w:numId w:val="1001"/>
        </w:numPr>
        <w:pStyle w:val="Compact"/>
      </w:pPr>
      <w:r>
        <w:t xml:space="preserve">Jest unit tests +</w:t>
      </w:r>
      <w:r>
        <w:t xml:space="preserve"> </w:t>
      </w:r>
      <w:r>
        <w:rPr>
          <w:rStyle w:val="VerbatimChar"/>
        </w:rPr>
        <w:t xml:space="preserve">cds.test</w:t>
      </w:r>
      <w:r>
        <w:t xml:space="preserve"> </w:t>
      </w:r>
      <w:r>
        <w:t xml:space="preserve">integration tests</w:t>
      </w:r>
    </w:p>
    <w:bookmarkEnd w:id="20"/>
    <w:bookmarkStart w:id="37" w:name="technical-data-model-data-schema"/>
    <w:p>
      <w:pPr>
        <w:pStyle w:val="Heading1"/>
      </w:pPr>
      <w:r>
        <w:t xml:space="preserve">1. Technical Data Model (Data Schema)</w:t>
      </w:r>
    </w:p>
    <w:p>
      <w:pPr>
        <w:pStyle w:val="FirstParagraph"/>
      </w:pPr>
      <w:r>
        <w:t xml:space="preserve">The data model is declared in CDS (SAP Cloud Application Programming Model) and lives under</w:t>
      </w:r>
      <w:r>
        <w:t xml:space="preserve"> </w:t>
      </w:r>
      <w:r>
        <w:rPr>
          <w:rStyle w:val="VerbatimChar"/>
        </w:rPr>
        <w:t xml:space="preserve">db/</w:t>
      </w:r>
      <w:r>
        <w:t xml:space="preserve">. It is split into four files: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db/common.cds</w:t>
      </w:r>
      <w:r>
        <w:t xml:space="preserve"> </w:t>
      </w:r>
      <w:r>
        <w:t xml:space="preserve">— base types and enumerations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db/org.cds</w:t>
      </w:r>
      <w:r>
        <w:t xml:space="preserve"> </w:t>
      </w:r>
      <w:r>
        <w:t xml:space="preserve">— Company, Users, Business Partners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db/product.cds</w:t>
      </w:r>
      <w:r>
        <w:t xml:space="preserve"> </w:t>
      </w:r>
      <w:r>
        <w:t xml:space="preserve">— Products, Variants, Batches, Items, BOM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db/dpp.cds</w:t>
      </w:r>
      <w:r>
        <w:t xml:space="preserve"> </w:t>
      </w:r>
      <w:r>
        <w:t xml:space="preserve">— Digital Product Passport and QR Codes</w:t>
      </w:r>
    </w:p>
    <w:bookmarkStart w:id="21" w:name="types-and-enumerations-common.cds"/>
    <w:p>
      <w:pPr>
        <w:pStyle w:val="Heading2"/>
      </w:pPr>
      <w:r>
        <w:t xml:space="preserve">1.1 Types and Enumerations (</w:t>
      </w:r>
      <w:r>
        <w:rPr>
          <w:rStyle w:val="VerbatimChar"/>
        </w:rPr>
        <w:t xml:space="preserve">common.cds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CountryISO2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String(2)</w:t>
            </w:r>
          </w:p>
        </w:tc>
        <w:tc>
          <w:p>
            <w:pPr>
              <w:pStyle w:val="Compact"/>
              <w:jc w:val="left"/>
            </w:pPr>
            <w:r>
              <w:t xml:space="preserve">ISO-3166-1 alpha-2 country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String(14)</w:t>
            </w:r>
          </w:p>
        </w:tc>
        <w:tc>
          <w:p>
            <w:pPr>
              <w:pStyle w:val="Compact"/>
              <w:jc w:val="left"/>
            </w:pPr>
            <w:r>
              <w:t xml:space="preserve">Global Trade Item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String(13)</w:t>
            </w:r>
          </w:p>
        </w:tc>
        <w:tc>
          <w:p>
            <w:pPr>
              <w:pStyle w:val="Compact"/>
              <w:jc w:val="left"/>
            </w:pPr>
            <w:r>
              <w:t xml:space="preserve">Global Location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EmailAddr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String(254)</w:t>
            </w:r>
          </w:p>
        </w:tc>
        <w:tc>
          <w:p>
            <w:pPr>
              <w:pStyle w:val="Compact"/>
              <w:jc w:val="left"/>
            </w:pPr>
            <w:r>
              <w:t xml:space="preserve">RFC 5321-compliant e-mail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String(500)</w:t>
            </w:r>
          </w:p>
        </w:tc>
        <w:tc>
          <w:p>
            <w:pPr>
              <w:pStyle w:val="Compact"/>
              <w:jc w:val="left"/>
            </w:pPr>
            <w:r>
              <w:t xml:space="preserve">External references, QR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finished, material, component,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approved, published,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active, inactive,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approved,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active,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active, sold, repaired, recycled, disposed,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DPPStatus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in_review, approved, published,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DPPType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product, material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internal, public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Granularity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model, batch, item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active, invalid, replaced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ESPRComplianceStatus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in_review, compliant, non_compliant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company_advanced, company_user, end_user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BusinessPartnerRole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supplier, manufacturer, recycler, certification_body, distributor, retailer, logistics_provider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identified</w:t>
      </w:r>
      <w:r>
        <w:t xml:space="preserve"> </w:t>
      </w:r>
      <w:r>
        <w:t xml:space="preserve">aspect provides a readable</w:t>
      </w:r>
      <w:r>
        <w:t xml:space="preserve"> </w:t>
      </w:r>
      <w:r>
        <w:rPr>
          <w:rStyle w:val="VerbatimChar"/>
        </w:rPr>
        <w:t xml:space="preserve">String(36)</w:t>
      </w:r>
      <w:r>
        <w:t xml:space="preserve"> </w:t>
      </w:r>
      <w:r>
        <w:t xml:space="preserve">key instead of a UUID. This is a deliberate choice so that sample IDs such as</w:t>
      </w:r>
      <w:r>
        <w:t xml:space="preserve"> </w:t>
      </w:r>
      <w:r>
        <w:rPr>
          <w:rStyle w:val="VerbatimChar"/>
        </w:rPr>
        <w:t xml:space="preserve">dpp-12345</w:t>
      </w:r>
      <w:r>
        <w:t xml:space="preserve"> </w:t>
      </w:r>
      <w:r>
        <w:t xml:space="preserve">and upstream system identifiers can be kept unchanged.</w:t>
      </w:r>
    </w:p>
    <w:bookmarkEnd w:id="21"/>
    <w:bookmarkStart w:id="26" w:name="Xc70433723f369991225749f9af92b72062f63f5"/>
    <w:p>
      <w:pPr>
        <w:pStyle w:val="Heading2"/>
      </w:pPr>
      <w:r>
        <w:t xml:space="preserve">1.2 Company, User and Business Partner Entities (</w:t>
      </w:r>
      <w:r>
        <w:rPr>
          <w:rStyle w:val="VerbatimChar"/>
        </w:rPr>
        <w:t xml:space="preserve">org.cds</w:t>
      </w:r>
      <w:r>
        <w:t xml:space="preserve">)</w:t>
      </w:r>
    </w:p>
    <w:bookmarkStart w:id="22" w:name="organizations-company"/>
    <w:p>
      <w:pPr>
        <w:pStyle w:val="Heading3"/>
      </w:pPr>
      <w:r>
        <w:t xml:space="preserve">Organizations (Company)</w:t>
      </w:r>
    </w:p>
    <w:p>
      <w:pPr>
        <w:pStyle w:val="FirstParagraph"/>
      </w:pPr>
      <w:r>
        <w:t xml:space="preserve">The tenant is represented by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(UNIQUE). Mapped to the catalogue’s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 </w:t>
      </w:r>
      <w:r>
        <w:t xml:space="preserve">object.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country_iso2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String(80)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website_url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p>
            <w:pPr>
              <w:pStyle w:val="Compact"/>
              <w:jc w:val="left"/>
            </w:pPr>
            <w:r>
              <w:t xml:space="preserve">EmailAddr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String(64)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is_platform_tenant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</w:tbl>
    <w:bookmarkEnd w:id="22"/>
    <w:bookmarkStart w:id="23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n:1 to Organizations; UNIQUE constraint on</w:t>
      </w:r>
      <w:r>
        <w:t xml:space="preserve"> </w:t>
      </w:r>
      <w:r>
        <w:rPr>
          <w:rStyle w:val="VerbatimChar"/>
        </w:rPr>
        <w:t xml:space="preserve">(email, organization)</w:t>
      </w:r>
      <w:r>
        <w:t xml:space="preserve">;</w:t>
      </w:r>
      <w:r>
        <w:t xml:space="preserve"> </w:t>
      </w:r>
      <w:r>
        <w:rPr>
          <w:rStyle w:val="VerbatimChar"/>
        </w:rPr>
        <w:t xml:space="preserve">external_user_id</w:t>
      </w:r>
      <w:r>
        <w:t xml:space="preserve"> </w:t>
      </w:r>
      <w:r>
        <w:t xml:space="preserve">links to the XSUAA subject.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EmailAddr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UserRole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external_user_id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XSUAA subject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 (US1.10 Deactivate User)</w:t>
            </w:r>
          </w:p>
        </w:tc>
      </w:tr>
    </w:tbl>
    <w:bookmarkEnd w:id="23"/>
    <w:bookmarkStart w:id="24" w:name="businesspartners"/>
    <w:p>
      <w:pPr>
        <w:pStyle w:val="Heading3"/>
      </w:pPr>
      <w:r>
        <w:t xml:space="preserve">BusinessPartners</w:t>
      </w:r>
    </w:p>
    <w:p>
      <w:pPr>
        <w:pStyle w:val="FirstParagraph"/>
      </w:pPr>
      <w:r>
        <w:t xml:space="preserve">External economic operators (factories, suppliers, certification bodies). Tenant-scoped via</w:t>
      </w:r>
      <w:r>
        <w:t xml:space="preserve"> </w:t>
      </w:r>
      <w:r>
        <w:rPr>
          <w:rStyle w:val="VerbatimChar"/>
        </w:rPr>
        <w:t xml:space="preserve">owning_organization</w:t>
      </w:r>
      <w:r>
        <w:t xml:space="preserve">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owning_organization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country_iso2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String(80)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String(200)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contact_person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p>
            <w:pPr>
              <w:pStyle w:val="Compact"/>
              <w:jc w:val="left"/>
            </w:pPr>
            <w:r>
              <w:t xml:space="preserve">EmailAddr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>
            <w:pPr>
              <w:pStyle w:val="Compact"/>
              <w:jc w:val="left"/>
            </w:pPr>
            <w:r>
              <w:t xml:space="preserve">GLN / VAT / DUNS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Composition of BusinessPartnerRoles</w:t>
            </w:r>
          </w:p>
        </w:tc>
        <w:tc>
          <w:p>
            <w:pPr>
              <w:pStyle w:val="Compact"/>
              <w:jc w:val="left"/>
            </w:pPr>
            <w:r>
              <w:t xml:space="preserve">a partner can hold multiple roles</w:t>
            </w:r>
          </w:p>
        </w:tc>
      </w:tr>
    </w:tbl>
    <w:bookmarkEnd w:id="24"/>
    <w:bookmarkStart w:id="25" w:name="businesspartnerroles"/>
    <w:p>
      <w:pPr>
        <w:pStyle w:val="Heading3"/>
      </w:pPr>
      <w:r>
        <w:t xml:space="preserve">BusinessPartnerRoles</w:t>
      </w:r>
    </w:p>
    <w:p>
      <w:pPr>
        <w:pStyle w:val="FirstParagraph"/>
      </w:pPr>
      <w:r>
        <w:t xml:space="preserve">Bridge table — one partner may simultaneously act as supplier, manufacturer, recycler, etc. (US2.3).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BusinessPartners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BusinessPartnerRole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(partner, role)</w:t>
      </w:r>
      <w:r>
        <w:t xml:space="preserve">.</w:t>
      </w:r>
    </w:p>
    <w:bookmarkEnd w:id="25"/>
    <w:bookmarkEnd w:id="26"/>
    <w:bookmarkStart w:id="32" w:name="product-hierarchy-product.cds"/>
    <w:p>
      <w:pPr>
        <w:pStyle w:val="Heading2"/>
      </w:pPr>
      <w:r>
        <w:t xml:space="preserve">1.3 Product Hierarchy (</w:t>
      </w:r>
      <w:r>
        <w:rPr>
          <w:rStyle w:val="VerbatimChar"/>
        </w:rPr>
        <w:t xml:space="preserve">product.cds</w:t>
      </w:r>
      <w:r>
        <w:t xml:space="preserve">)</w:t>
      </w:r>
    </w:p>
    <w:p>
      <w:pPr>
        <w:pStyle w:val="FirstParagraph"/>
      </w:pPr>
      <w:r>
        <w:t xml:space="preserve">The catalogue-aligned hierarchy is</w:t>
      </w:r>
      <w:r>
        <w:t xml:space="preserve"> </w:t>
      </w:r>
      <w:r>
        <w:rPr>
          <w:bCs/>
          <w:b/>
        </w:rPr>
        <w:t xml:space="preserve">Product → ProductVariant → Batch → ProductItem → DPP + QR</w:t>
      </w:r>
      <w:r>
        <w:t xml:space="preserve">. BOM lines link a parent product to a component product (back to the same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entity), so the chain repeats recursively for materials/components.</w:t>
      </w:r>
    </w:p>
    <w:bookmarkStart w:id="27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Generic product master data: a finished product, material, component or packaging. Tenant-scoped via</w:t>
      </w:r>
      <w:r>
        <w:t xml:space="preserve"> </w:t>
      </w:r>
      <w:r>
        <w:rPr>
          <w:rStyle w:val="VerbatimChar"/>
        </w:rPr>
        <w:t xml:space="preserve">owning_organization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owning_organization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product_type</w:t>
            </w:r>
          </w:p>
        </w:tc>
        <w:tc>
          <w:p>
            <w:pPr>
              <w:pStyle w:val="Compact"/>
              <w:jc w:val="left"/>
            </w:pPr>
            <w:r>
              <w:t xml:space="preserve">ProductType</w:t>
            </w:r>
          </w:p>
        </w:tc>
        <w:tc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finished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String(60)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UNIQUE per organization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fibre_composition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>
            <w:pPr>
              <w:pStyle w:val="Compact"/>
              <w:jc w:val="left"/>
            </w:pPr>
            <w:r>
              <w:t xml:space="preserve">catalogue Sheet 3 R32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care_instructions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repair_instructions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disposal_instructions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country_of_origin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>
            <w:pPr>
              <w:pStyle w:val="Compact"/>
              <w:jc w:val="left"/>
            </w:pPr>
            <w:r>
              <w:t xml:space="preserve">high-level origin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substances_of_concern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p>
            <w:pPr>
              <w:pStyle w:val="Compact"/>
              <w:jc w:val="left"/>
            </w:pPr>
            <w:r>
              <w:t xml:space="preserve">REACH / SCIP text (Sheet 3 R37)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espr_compliance</w:t>
            </w:r>
          </w:p>
        </w:tc>
        <w:tc>
          <w:p>
            <w:pPr>
              <w:pStyle w:val="Compact"/>
              <w:jc w:val="left"/>
            </w:pPr>
            <w:r>
              <w:t xml:space="preserve">ESPRComplianceStatus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ProductStatus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</w:tbl>
    <w:bookmarkEnd w:id="27"/>
    <w:bookmarkStart w:id="28" w:name="productvariants"/>
    <w:p>
      <w:pPr>
        <w:pStyle w:val="Heading3"/>
      </w:pPr>
      <w:r>
        <w:t xml:space="preserve">ProductVariants</w:t>
      </w:r>
    </w:p>
    <w:p>
      <w:pPr>
        <w:pStyle w:val="FirstParagraph"/>
      </w:pPr>
      <w:r>
        <w:t xml:space="preserve">n:1 to Products. A variant captures color/size/SKU and identification at variant level.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>
            <w:pPr>
              <w:pStyle w:val="Compact"/>
              <w:jc w:val="left"/>
            </w:pPr>
            <w:r>
              <w:t xml:space="preserve">UNIQUE per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VariantStatus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bookmarkEnd w:id="28"/>
    <w:bookmarkStart w:id="29" w:name="batches"/>
    <w:p>
      <w:pPr>
        <w:pStyle w:val="Heading3"/>
      </w:pPr>
      <w:r>
        <w:t xml:space="preserve">Batches</w:t>
      </w:r>
    </w:p>
    <w:p>
      <w:pPr>
        <w:pStyle w:val="FirstParagraph"/>
      </w:pPr>
      <w:r>
        <w:t xml:space="preserve">n:1 to ProductVariants. Captures production-time information (factory, country, CO₂).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ProductVariants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batch_number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>
            <w:pPr>
              <w:pStyle w:val="Compact"/>
              <w:jc w:val="left"/>
            </w:pPr>
            <w:r>
              <w:t xml:space="preserve">UNIQUE per variant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BusinessPartners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BusinessPartners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country_of_origin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production_stage</w:t>
            </w:r>
          </w:p>
        </w:tc>
        <w:tc>
          <w:p>
            <w:pPr>
              <w:pStyle w:val="Compact"/>
              <w:jc w:val="left"/>
            </w:pPr>
            <w:r>
              <w:t xml:space="preserve">String(60)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co2_footprint_kg</w:t>
            </w:r>
          </w:p>
        </w:tc>
        <w:tc>
          <w:p>
            <w:pPr>
              <w:pStyle w:val="Compact"/>
              <w:jc w:val="left"/>
            </w:pPr>
            <w:r>
              <w:t xml:space="preserve">Decimal(10,3)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recycled_content_pct</w:t>
            </w:r>
          </w:p>
        </w:tc>
        <w:tc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BatchStatus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</w:tbl>
    <w:bookmarkEnd w:id="29"/>
    <w:bookmarkStart w:id="30" w:name="productitems"/>
    <w:p>
      <w:pPr>
        <w:pStyle w:val="Heading3"/>
      </w:pPr>
      <w:r>
        <w:t xml:space="preserve">ProductItems</w:t>
      </w:r>
    </w:p>
    <w:p>
      <w:pPr>
        <w:pStyle w:val="FirstParagraph"/>
      </w:pPr>
      <w:r>
        <w:t xml:space="preserve">The serialised, uniquely identifiable physical item. Each item gets its own DPP.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Batches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>
            <w:pPr>
              <w:pStyle w:val="Compact"/>
              <w:jc w:val="left"/>
            </w:pPr>
            <w:r>
              <w:t xml:space="preserve">UNIQUE per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upi</w:t>
            </w:r>
          </w:p>
        </w:tc>
        <w:tc>
          <w:p>
            <w:pPr>
              <w:pStyle w:val="Compact"/>
              <w:jc w:val="left"/>
            </w:pPr>
            <w:r>
              <w:t xml:space="preserve">String(60)</w:t>
            </w:r>
          </w:p>
        </w:tc>
        <w:tc>
          <w:p>
            <w:pPr>
              <w:pStyle w:val="Compact"/>
              <w:jc w:val="left"/>
            </w:pPr>
            <w:r>
              <w:t xml:space="preserve">UNIQUE global — Unique Product Identity (catalogue R61)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item_status</w:t>
            </w:r>
          </w:p>
        </w:tc>
        <w:tc>
          <w:p>
            <w:pPr>
              <w:pStyle w:val="Compact"/>
              <w:jc w:val="left"/>
            </w:pPr>
            <w:r>
              <w:t xml:space="preserve">ItemStatus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dpp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DPPs</w:t>
            </w:r>
          </w:p>
        </w:tc>
        <w:tc>
          <w:p>
            <w:pPr>
              <w:pStyle w:val="Compact"/>
              <w:jc w:val="left"/>
            </w:pPr>
            <w:r>
              <w:t xml:space="preserve">linked after</w:t>
            </w:r>
            <w:r>
              <w:t xml:space="preserve"> </w:t>
            </w:r>
            <w:r>
              <w:rPr>
                <w:rStyle w:val="VerbatimChar"/>
              </w:rPr>
              <w:t xml:space="preserve">publishDPP</w:t>
            </w:r>
          </w:p>
        </w:tc>
      </w:tr>
    </w:tbl>
    <w:bookmarkEnd w:id="30"/>
    <w:bookmarkStart w:id="31" w:name="productboms"/>
    <w:p>
      <w:pPr>
        <w:pStyle w:val="Heading3"/>
      </w:pPr>
      <w:r>
        <w:t xml:space="preserve">ProductBOMs</w:t>
      </w:r>
    </w:p>
    <w:p>
      <w:pPr>
        <w:pStyle w:val="FirstParagraph"/>
      </w:pPr>
      <w:r>
        <w:t xml:space="preserve">Bill of Materials: an edge between a parent Product and a component Product. The component is</w:t>
      </w:r>
      <w:r>
        <w:t xml:space="preserve"> </w:t>
      </w:r>
      <w:r>
        <w:rPr>
          <w:bCs/>
          <w:b/>
        </w:rPr>
        <w:t xml:space="preserve">also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Products</w:t>
      </w:r>
      <w:r>
        <w:rPr>
          <w:bCs/>
          <w:b/>
        </w:rPr>
        <w:t xml:space="preserve"> </w:t>
      </w:r>
      <w:r>
        <w:rPr>
          <w:bCs/>
          <w:b/>
        </w:rPr>
        <w:t xml:space="preserve">row</w:t>
      </w:r>
      <w:r>
        <w:t xml:space="preserve">, so it can carry its own variants/batches/items/DPPs.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Products</w:t>
            </w:r>
          </w:p>
        </w:tc>
        <w:tc>
          <w:p>
            <w:pPr>
              <w:pStyle w:val="Compact"/>
              <w:jc w:val="left"/>
            </w:pPr>
            <w:r>
              <w:t xml:space="preserve">not null — finished/parent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Products</w:t>
            </w:r>
          </w:p>
        </w:tc>
        <w:tc>
          <w:p>
            <w:pPr>
              <w:pStyle w:val="Compact"/>
              <w:jc w:val="left"/>
            </w:pPr>
            <w:r>
              <w:t xml:space="preserve">not null — material/component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Decimal(10,3)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String(8)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component_role</w:t>
            </w:r>
          </w:p>
        </w:tc>
        <w:tc>
          <w:p>
            <w:pPr>
              <w:pStyle w:val="Compact"/>
              <w:jc w:val="left"/>
            </w:pPr>
            <w:r>
              <w:t xml:space="preserve">String(60)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Main fabric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is_mandatory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linked_dpp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DPPs</w:t>
            </w:r>
          </w:p>
        </w:tc>
        <w:tc>
          <w:p>
            <w:pPr>
              <w:pStyle w:val="Compact"/>
              <w:jc w:val="left"/>
            </w:pPr>
            <w:r>
              <w:t xml:space="preserve">optional link to a material DPP (US4.9)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BOMStatus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(parent, component)</w:t>
      </w:r>
      <w:r>
        <w:t xml:space="preserve">. Self-loops and transitive cycles are rejected by handler.</w:t>
      </w:r>
    </w:p>
    <w:bookmarkEnd w:id="31"/>
    <w:bookmarkEnd w:id="32"/>
    <w:bookmarkStart w:id="35" w:name="digital-product-passport-dpp.cds"/>
    <w:p>
      <w:pPr>
        <w:pStyle w:val="Heading2"/>
      </w:pPr>
      <w:r>
        <w:t xml:space="preserve">1.4 Digital Product Passport (</w:t>
      </w:r>
      <w:r>
        <w:rPr>
          <w:rStyle w:val="VerbatimChar"/>
        </w:rPr>
        <w:t xml:space="preserve">dpp.cds</w:t>
      </w:r>
      <w:r>
        <w:t xml:space="preserve">)</w:t>
      </w:r>
    </w:p>
    <w:bookmarkStart w:id="33" w:name="dpps"/>
    <w:p>
      <w:pPr>
        <w:pStyle w:val="Heading3"/>
      </w:pPr>
      <w:r>
        <w:t xml:space="preserve">DPPs</w:t>
      </w:r>
    </w:p>
    <w:p>
      <w:pPr>
        <w:pStyle w:val="FirstParagraph"/>
      </w:pPr>
      <w:r>
        <w:t xml:space="preserve">The central passport entity. Item-level by default but supports model- and batch-granularity for non-serialised products.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Products</w:t>
            </w:r>
          </w:p>
        </w:tc>
        <w:tc>
          <w:p>
            <w:pPr>
              <w:pStyle w:val="Compact"/>
              <w:jc w:val="left"/>
            </w:pPr>
            <w:r>
              <w:t xml:space="preserve">not null — always anchored on the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ProductItems</w:t>
            </w:r>
          </w:p>
        </w:tc>
        <w:tc>
          <w:p>
            <w:pPr>
              <w:pStyle w:val="Compact"/>
              <w:jc w:val="left"/>
            </w:pPr>
            <w:r>
              <w:t xml:space="preserve">optional — required for item-level DPPs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granularity</w:t>
            </w:r>
          </w:p>
        </w:tc>
        <w:tc>
          <w:p>
            <w:pPr>
              <w:pStyle w:val="Compact"/>
              <w:jc w:val="left"/>
            </w:pPr>
            <w:r>
              <w:t xml:space="preserve">Granularity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dpp_type</w:t>
            </w:r>
          </w:p>
        </w:tc>
        <w:tc>
          <w:p>
            <w:pPr>
              <w:pStyle w:val="Compact"/>
              <w:jc w:val="left"/>
            </w:pPr>
            <w:r>
              <w:t xml:space="preserve">DPPType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DPPStatus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current_version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default 1, incremented on re-publish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qr_token</w:t>
            </w:r>
          </w:p>
        </w:tc>
        <w:tc>
          <w:p>
            <w:pPr>
              <w:pStyle w:val="Compact"/>
              <w:jc w:val="left"/>
            </w:pPr>
            <w:r>
              <w:t xml:space="preserve">String(128)</w:t>
            </w:r>
          </w:p>
        </w:tc>
        <w:tc>
          <w:p>
            <w:pPr>
              <w:pStyle w:val="Compact"/>
              <w:jc w:val="left"/>
            </w:pPr>
            <w:r>
              <w:t xml:space="preserve">UNIQUE, HMAC-signed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qr_payload_url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encoded into the QR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public_url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stable direct link to the DPP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approved_at, published_at, archived_at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lifecycle markers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valid_from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last_updated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aggregated_snapshot</w:t>
            </w:r>
          </w:p>
        </w:tc>
        <w:tc>
          <w:p>
            <w:pPr>
              <w:pStyle w:val="Compact"/>
              <w:jc w:val="left"/>
            </w:pPr>
            <w:r>
              <w:t xml:space="preserve">LargeString</w:t>
            </w:r>
          </w:p>
        </w:tc>
        <w:tc>
          <w:p>
            <w:pPr>
              <w:pStyle w:val="Compact"/>
              <w:jc w:val="left"/>
            </w:pPr>
            <w:r>
              <w:t xml:space="preserve">JSON snapshot built on</w:t>
            </w:r>
            <w:r>
              <w:t xml:space="preserve"> </w:t>
            </w:r>
            <w:r>
              <w:rPr>
                <w:rStyle w:val="VerbatimChar"/>
              </w:rPr>
              <w:t xml:space="preserve">publishDPP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p>
            <w:pPr>
              <w:pStyle w:val="Compact"/>
              <w:jc w:val="left"/>
            </w:pPr>
            <w:r>
              <w:t xml:space="preserve">LargeString</w:t>
            </w:r>
          </w:p>
        </w:tc>
        <w:tc>
          <w:p>
            <w:pPr>
              <w:pStyle w:val="Compact"/>
              <w:jc w:val="left"/>
            </w:pPr>
            <w:r>
              <w:t xml:space="preserve">optional JSON array of</w:t>
            </w:r>
            <w:r>
              <w:t xml:space="preserve"> </w:t>
            </w:r>
            <w:r>
              <w:rPr>
                <w:rStyle w:val="VerbatimChar"/>
              </w:rPr>
              <w:t xml:space="preserve">{title, body, media_url, media_type}</w:t>
            </w:r>
          </w:p>
        </w:tc>
      </w:tr>
    </w:tbl>
    <w:bookmarkEnd w:id="33"/>
    <w:bookmarkStart w:id="34" w:name="qrcodes"/>
    <w:p>
      <w:pPr>
        <w:pStyle w:val="Heading3"/>
      </w:pPr>
      <w:r>
        <w:t xml:space="preserve">QRCodes</w:t>
      </w:r>
    </w:p>
    <w:p>
      <w:pPr>
        <w:pStyle w:val="FirstParagraph"/>
      </w:pPr>
      <w:r>
        <w:t xml:space="preserve">History of every QR token ever minted for a DPP. The most recent row has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; previous rows are kept with</w:t>
      </w:r>
      <w:r>
        <w:t xml:space="preserve"> </w:t>
      </w:r>
      <w:r>
        <w:rPr>
          <w:rStyle w:val="VerbatimChar"/>
        </w:rPr>
        <w:t xml:space="preserve">status='replaced'</w:t>
      </w:r>
      <w:r>
        <w:t xml:space="preserve"> </w:t>
      </w:r>
      <w:r>
        <w:t xml:space="preserve">for traceability (US6.8).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dpp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DPPs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qr_value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encoded URL on the physical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qr_image_url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optional pointer to a rendered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QRCodeStatus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replaced_at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/>
        </w:tc>
      </w:tr>
    </w:tbl>
    <w:bookmarkEnd w:id="34"/>
    <w:bookmarkEnd w:id="35"/>
    <w:bookmarkStart w:id="36" w:name="uniqueness-and-integrity-constraints"/>
    <w:p>
      <w:pPr>
        <w:pStyle w:val="Heading2"/>
      </w:pPr>
      <w:r>
        <w:t xml:space="preserve">1.5 Uniqueness and Integrity Constraints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Organizations.tenant_id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Users (email, organization)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BusinessPartnerRoles (partner, role)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Products (gtin, owning_organization)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ProductVariants (sku, product)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Batches (batch_number, variant)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ProductItems.upi</w:t>
      </w:r>
      <w:r>
        <w:t xml:space="preserve"> </w:t>
      </w:r>
      <w:r>
        <w:t xml:space="preserve">UNIQUE (global)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ProductItems (serial_number, batch)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ProductBOMs (parent, component)</w:t>
      </w:r>
      <w:r>
        <w:t xml:space="preserve"> </w:t>
      </w:r>
      <w:r>
        <w:t xml:space="preserve">UNIQUE — no duplicate BOM edges, no self-loops, no cycles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DPPs.qr_token</w:t>
      </w:r>
      <w:r>
        <w:t xml:space="preserve"> </w:t>
      </w:r>
      <w:r>
        <w:t xml:space="preserve">UNIQUE</w:t>
      </w:r>
    </w:p>
    <w:bookmarkEnd w:id="36"/>
    <w:bookmarkEnd w:id="37"/>
    <w:bookmarkStart w:id="53" w:name="architecture-diagrams"/>
    <w:p>
      <w:pPr>
        <w:pStyle w:val="Heading1"/>
      </w:pPr>
      <w:r>
        <w:t xml:space="preserve">2. Architecture Diagrams</w:t>
      </w:r>
    </w:p>
    <w:bookmarkStart w:id="39" w:name="software-architecture"/>
    <w:p>
      <w:pPr>
        <w:pStyle w:val="Heading2"/>
      </w:pPr>
      <w:r>
        <w:t xml:space="preserve">2.1 Software Architecture</w:t>
      </w:r>
    </w:p>
    <w:p>
      <w:pPr>
        <w:pStyle w:val="FirstParagraph"/>
      </w:pPr>
      <w:r>
        <w:t xml:space="preserve">Three client classes (internal company users, public auditor/HTTP-clients, and anonymous consumers) connect to a CAP runtime hosted on SAP BTP Cloud Foundry. Authenticated traffic flows through the Application Router and XSUAA; the public consumer route bypasses authentication and is mounted directly on the Express bootstrap. Persistence targets SQLite for local development and SAP HANA Cloud in production.</w:t>
      </w:r>
    </w:p>
    <w:p>
      <w:pPr>
        <w:pStyle w:val="CaptionedFigure"/>
      </w:pPr>
      <w:r>
        <w:drawing>
          <wp:inline>
            <wp:extent cx="5334000" cy="2335771"/>
            <wp:effectExtent b="0" l="0" r="0" t="0"/>
            <wp:docPr descr="Software architecture" title="" id="1" name="Picture"/>
            <a:graphic>
              <a:graphicData uri="http://schemas.openxmlformats.org/drawingml/2006/picture">
                <pic:pic>
                  <pic:nvPicPr>
                    <pic:cNvPr descr="diagrams/software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Software architecture</w:t>
      </w:r>
    </w:p>
    <w:p>
      <w:pPr>
        <w:pStyle w:val="BodyText"/>
      </w:pPr>
      <w:r>
        <w:rPr>
          <w:bCs/>
          <w:b/>
        </w:rPr>
        <w:t xml:space="preserve">Component responsibilities.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Application Router</w:t>
      </w:r>
      <w:r>
        <w:t xml:space="preserve"> </w:t>
      </w:r>
      <w:r>
        <w:t xml:space="preserve">— terminates user sessions and forwards JWTs to CAP services (production).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XSUAA</w:t>
      </w:r>
      <w:r>
        <w:t xml:space="preserve"> </w:t>
      </w:r>
      <w:r>
        <w:t xml:space="preserve">— issues OAuth2 JWTs and exposes role-template-driven scopes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DPPService</w:t>
      </w:r>
      <w:r>
        <w:t xml:space="preserve"> </w:t>
      </w:r>
      <w:r>
        <w:t xml:space="preserve">— tenant-scoped CRUD for the 11 catalogue entities, plus DPP-lifecycle actions and Excel/PDF actions.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 Handler</w:t>
      </w:r>
      <w:r>
        <w:t xml:space="preserve"> </w:t>
      </w:r>
      <w:r>
        <w:t xml:space="preserve">— anonymous consumer route serving a visibility-filtered Consumer DTO and the QR PNG.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Handler modules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product-handlers</w:t>
      </w:r>
      <w:r>
        <w:t xml:space="preserve"> </w:t>
      </w:r>
      <w:r>
        <w:t xml:space="preserve">(defaults, BOM cycle guard),</w:t>
      </w:r>
      <w:r>
        <w:t xml:space="preserve"> </w:t>
      </w:r>
      <w:r>
        <w:rPr>
          <w:rStyle w:val="VerbatimChar"/>
        </w:rPr>
        <w:t xml:space="preserve">dpp-handlers</w:t>
      </w:r>
      <w:r>
        <w:t xml:space="preserve"> </w:t>
      </w:r>
      <w:r>
        <w:t xml:space="preserve">(workflow + snapshot + QR rotation),</w:t>
      </w:r>
      <w:r>
        <w:t xml:space="preserve"> </w:t>
      </w:r>
      <w:r>
        <w:rPr>
          <w:rStyle w:val="VerbatimChar"/>
        </w:rPr>
        <w:t xml:space="preserve">import-handlers</w:t>
      </w:r>
      <w:r>
        <w:t xml:space="preserve"> </w:t>
      </w:r>
      <w:r>
        <w:t xml:space="preserve">(XLSX → UPSERT),</w:t>
      </w:r>
      <w:r>
        <w:t xml:space="preserve"> </w:t>
      </w:r>
      <w:r>
        <w:rPr>
          <w:rStyle w:val="VerbatimChar"/>
        </w:rPr>
        <w:t xml:space="preserve">export-handlers</w:t>
      </w:r>
      <w:r>
        <w:t xml:space="preserve"> </w:t>
      </w:r>
      <w:r>
        <w:t xml:space="preserve">(XLSX writer),</w:t>
      </w:r>
      <w:r>
        <w:t xml:space="preserve"> </w:t>
      </w:r>
      <w:r>
        <w:rPr>
          <w:rStyle w:val="VerbatimChar"/>
        </w:rPr>
        <w:t xml:space="preserve">pdf-handlers</w:t>
      </w:r>
      <w:r>
        <w:t xml:space="preserve"> </w:t>
      </w:r>
      <w:r>
        <w:t xml:space="preserve">(DPP-PDF + QR-Label),</w:t>
      </w:r>
      <w:r>
        <w:t xml:space="preserve"> </w:t>
      </w:r>
      <w:r>
        <w:rPr>
          <w:rStyle w:val="VerbatimChar"/>
        </w:rPr>
        <w:t xml:space="preserve">public-handler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Lib modules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token.js</w:t>
      </w:r>
      <w:r>
        <w:t xml:space="preserve"> </w:t>
      </w:r>
      <w:r>
        <w:t xml:space="preserve">(HMAC-SHA256),</w:t>
      </w:r>
      <w:r>
        <w:t xml:space="preserve"> </w:t>
      </w:r>
      <w:r>
        <w:rPr>
          <w:rStyle w:val="VerbatimChar"/>
        </w:rPr>
        <w:t xml:space="preserve">excel-templates.js</w:t>
      </w:r>
      <w:r>
        <w:t xml:space="preserve"> </w:t>
      </w:r>
      <w:r>
        <w:t xml:space="preserve">(column metadata + parser/validator),</w:t>
      </w:r>
      <w:r>
        <w:t xml:space="preserve"> </w:t>
      </w:r>
      <w:r>
        <w:rPr>
          <w:rStyle w:val="VerbatimChar"/>
        </w:rPr>
        <w:t xml:space="preserve">pdf-renderer.js</w:t>
      </w:r>
      <w:r>
        <w:t xml:space="preserve"> </w:t>
      </w:r>
      <w:r>
        <w:t xml:space="preserve">(PDFKit + qrcode).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— SQLite locally, SAP HANA Cloud in production; the CDS model is portable across both.</w:t>
      </w:r>
    </w:p>
    <w:bookmarkEnd w:id="39"/>
    <w:bookmarkStart w:id="41" w:name="er-diagram-data-model"/>
    <w:p>
      <w:pPr>
        <w:pStyle w:val="Heading2"/>
      </w:pPr>
      <w:r>
        <w:t xml:space="preserve">2.2 ER Diagram (Data Model)</w:t>
      </w:r>
    </w:p>
    <w:p>
      <w:pPr>
        <w:pStyle w:val="FirstParagraph"/>
      </w:pPr>
      <w:r>
        <w:t xml:space="preserve">Organizations sit at the top of the master-data tree; they own Users, BusinessPartners, and Products. A Product fans out through ProductVariants → Batches → ProductItems, and each ProductItem owns a 1:1 DPP. The DPP keeps a history of QRCodes (latest = active). ProductBOMs link a parent Product to a component Product (back to the same entity), so the entire chain repeats recursively for materials and components.</w:t>
      </w:r>
    </w:p>
    <w:p>
      <w:pPr>
        <w:pStyle w:val="CaptionedFigure"/>
      </w:pPr>
      <w:r>
        <w:drawing>
          <wp:inline>
            <wp:extent cx="5334000" cy="13840533"/>
            <wp:effectExtent b="0" l="0" r="0" t="0"/>
            <wp:docPr descr="ER diagram" title="" id="1" name="Picture"/>
            <a:graphic>
              <a:graphicData uri="http://schemas.openxmlformats.org/drawingml/2006/picture">
                <pic:pic>
                  <pic:nvPicPr>
                    <pic:cNvPr descr="diagrams/e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p>
      <w:pPr>
        <w:pStyle w:val="BodyText"/>
      </w:pPr>
      <w:r>
        <w:rPr>
          <w:bCs/>
          <w:b/>
        </w:rPr>
        <w:t xml:space="preserve">Key entity attributes (compact view).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Organizations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legal_name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country_iso2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contact_email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country_of_origin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substances_of_concern</w:t>
      </w:r>
      <w:r>
        <w:t xml:space="preserve">,</w:t>
      </w:r>
      <w:r>
        <w:t xml:space="preserve"> </w:t>
      </w:r>
      <w:r>
        <w:rPr>
          <w:rStyle w:val="VerbatimChar"/>
        </w:rPr>
        <w:t xml:space="preserve">espr_compliance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owning_organization</w:t>
      </w:r>
      <w:r>
        <w:t xml:space="preserve"> </w:t>
      </w:r>
      <w:r>
        <w:t xml:space="preserve">(FK).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ProductVariants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(UNIQUE per product),</w:t>
      </w:r>
      <w:r>
        <w:t xml:space="preserve"> </w:t>
      </w:r>
      <w:r>
        <w:rPr>
          <w:rStyle w:val="VerbatimChar"/>
        </w:rPr>
        <w:t xml:space="preserve">gtin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Batches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batch_number</w:t>
      </w:r>
      <w:r>
        <w:t xml:space="preserve"> </w:t>
      </w:r>
      <w:r>
        <w:t xml:space="preserve">(UNIQUE per variant),</w:t>
      </w:r>
      <w:r>
        <w:t xml:space="preserve"> </w:t>
      </w:r>
      <w:r>
        <w:rPr>
          <w:rStyle w:val="VerbatimChar"/>
        </w:rPr>
        <w:t xml:space="preserve">production_date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/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country_of_origin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co2_footprint_kg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recycled_content_pct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upi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item_status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dpp</w:t>
      </w:r>
      <w:r>
        <w:t xml:space="preserve"> </w:t>
      </w:r>
      <w:r>
        <w:t xml:space="preserve">(FK).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ProductBOMs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linked_dpp</w:t>
      </w:r>
      <w:r>
        <w:t xml:space="preserve"> </w:t>
      </w:r>
      <w:r>
        <w:t xml:space="preserve">(FK); UNIQUE on the edge, no cycles allowed.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DPPs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qr_token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aggregated_snapshot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QRCodes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dpp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qr_value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invalid</w:t>
      </w:r>
      <w:r>
        <w:t xml:space="preserve">/</w:t>
      </w:r>
      <w:r>
        <w:rPr>
          <w:rStyle w:val="VerbatimChar"/>
        </w:rPr>
        <w:t xml:space="preserve">replaced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replaced_at</w:t>
      </w:r>
      <w:r>
        <w:t xml:space="preserve">.</w:t>
      </w:r>
    </w:p>
    <w:bookmarkEnd w:id="41"/>
    <w:bookmarkStart w:id="43" w:name="dpp-lifecycle-state-machine"/>
    <w:p>
      <w:pPr>
        <w:pStyle w:val="Heading2"/>
      </w:pPr>
      <w:r>
        <w:t xml:space="preserve">2.3 DPP Lifecycle (State Machine)</w:t>
      </w:r>
    </w:p>
    <w:p>
      <w:pPr>
        <w:pStyle w:val="FirstParagraph"/>
      </w:pPr>
      <w:r>
        <w:t xml:space="preserve">DPP status moves from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(or optionally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)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 Re-publishing increments</w:t>
      </w:r>
      <w:r>
        <w:t xml:space="preserve"> </w:t>
      </w:r>
      <w:r>
        <w:rPr>
          <w:rStyle w:val="VerbatimChar"/>
        </w:rPr>
        <w:t xml:space="preserve">current_version</w:t>
      </w:r>
      <w:r>
        <w:t xml:space="preserve">. Any state can be moved to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 The catalogue mandates these five status values (Sheet 3 R79).</w:t>
      </w:r>
    </w:p>
    <w:p>
      <w:pPr>
        <w:pStyle w:val="CaptionedFigure"/>
      </w:pPr>
      <w:r>
        <w:drawing>
          <wp:inline>
            <wp:extent cx="5334000" cy="7121899"/>
            <wp:effectExtent b="0" l="0" r="0" t="0"/>
            <wp:docPr descr="DPP lifecycle" title="" id="1" name="Picture"/>
            <a:graphic>
              <a:graphicData uri="http://schemas.openxmlformats.org/drawingml/2006/picture">
                <pic:pic>
                  <pic:nvPicPr>
                    <pic:cNvPr descr="diagrams/dpp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DPP lifecycle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approveDPP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publishDPP</w:t>
      </w:r>
      <w:r>
        <w:t xml:space="preserve"> </w:t>
      </w:r>
      <w:r>
        <w:t xml:space="preserve">actions both invoke the inline validator</w:t>
      </w:r>
      <w:r>
        <w:t xml:space="preserve"> </w:t>
      </w:r>
      <w:r>
        <w:rPr>
          <w:rStyle w:val="VerbatimChar"/>
        </w:rPr>
        <w:t xml:space="preserve">checkDPPReady</w:t>
      </w:r>
      <w:r>
        <w:t xml:space="preserve">, which rejects with HTTP 400 if mandatory product or item fields are missing. On</w:t>
      </w:r>
      <w:r>
        <w:t xml:space="preserve"> </w:t>
      </w:r>
      <w:r>
        <w:rPr>
          <w:rStyle w:val="VerbatimChar"/>
        </w:rPr>
        <w:t xml:space="preserve">publishDPP</w:t>
      </w:r>
      <w:r>
        <w:t xml:space="preserve">, the handler additionally builds an aggregated JSON snapshot, stores it in</w:t>
      </w:r>
      <w:r>
        <w:t xml:space="preserve"> </w:t>
      </w:r>
      <w:r>
        <w:rPr>
          <w:rStyle w:val="VerbatimChar"/>
        </w:rPr>
        <w:t xml:space="preserve">DPPs.aggregated_snapshot</w:t>
      </w:r>
      <w:r>
        <w:t xml:space="preserve">, rotates the active QR (</w:t>
      </w:r>
      <w:r>
        <w:rPr>
          <w:rStyle w:val="VerbatimChar"/>
        </w:rPr>
        <w:t xml:space="preserve">status='active'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'replaced'</w:t>
      </w:r>
      <w:r>
        <w:t xml:space="preserve"> </w:t>
      </w:r>
      <w:r>
        <w:t xml:space="preserve">for the previous one, new active row inserted), and updates</w:t>
      </w:r>
      <w:r>
        <w:t xml:space="preserve"> </w:t>
      </w:r>
      <w:r>
        <w:rPr>
          <w:rStyle w:val="VerbatimChar"/>
        </w:rPr>
        <w:t xml:space="preserve">DPPs.qr_token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qr_payload_url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.</w:t>
      </w:r>
    </w:p>
    <w:bookmarkEnd w:id="43"/>
    <w:bookmarkStart w:id="45" w:name="sprint-1-demo-workflow"/>
    <w:p>
      <w:pPr>
        <w:pStyle w:val="Heading2"/>
      </w:pPr>
      <w:r>
        <w:t xml:space="preserve">2.4 Sprint-1 Demo Workflow</w:t>
      </w:r>
    </w:p>
    <w:p>
      <w:pPr>
        <w:pStyle w:val="FirstParagraph"/>
      </w:pPr>
      <w:r>
        <w:t xml:space="preserve">The end-to-end happy-path sequence used as the MVP acceptance test (Epics document, Sprint-1 demo scenario). A company advanced user creates the supply-chain stack from Business Partner down to Item, then approves and publishes the DPP. The published QR code resolves anonymously to the Consumer DTO.</w:t>
      </w:r>
    </w:p>
    <w:p>
      <w:pPr>
        <w:pStyle w:val="CaptionedFigure"/>
      </w:pPr>
      <w:r>
        <w:drawing>
          <wp:inline>
            <wp:extent cx="5334000" cy="7461755"/>
            <wp:effectExtent b="0" l="0" r="0" t="0"/>
            <wp:docPr descr="Sprint-1 demo sequence" title="" id="1" name="Picture"/>
            <a:graphic>
              <a:graphicData uri="http://schemas.openxmlformats.org/drawingml/2006/picture">
                <pic:pic>
                  <pic:nvPicPr>
                    <pic:cNvPr descr="diagrams/sprint1-demo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Sprint-1 demo sequence</w:t>
      </w:r>
    </w:p>
    <w:p>
      <w:pPr>
        <w:pStyle w:val="BodyText"/>
      </w:pPr>
      <w:r>
        <w:rPr>
          <w:bCs/>
          <w:b/>
        </w:rPr>
        <w:t xml:space="preserve">Token format.</w:t>
      </w:r>
    </w:p>
    <w:p>
      <w:pPr>
        <w:pStyle w:val="SourceCode"/>
      </w:pPr>
      <w:r>
        <w:rPr>
          <w:rStyle w:val="VerbatimChar"/>
        </w:rPr>
        <w:t xml:space="preserve">&lt;uuid-v4&gt;.&lt;base64url(HMAC-SHA256(QR_TOKEN_HMAC_SECRET, uuid))&gt;</w:t>
      </w:r>
    </w:p>
    <w:p>
      <w:pPr>
        <w:pStyle w:val="FirstParagraph"/>
      </w:pPr>
      <w:r>
        <w:t xml:space="preserve">The HMAC prefix lets the public route reject forged tokens in constant time (</w:t>
      </w:r>
      <w:r>
        <w:rPr>
          <w:rStyle w:val="VerbatimChar"/>
        </w:rPr>
        <w:t xml:space="preserve">timingSafeEqual</w:t>
      </w:r>
      <w:r>
        <w:t xml:space="preserve">) before any database lookup. Sensitive fields (tenant, audit columns, internal counters) are intentionally excluded from the Consumer DTO.</w:t>
      </w:r>
    </w:p>
    <w:bookmarkEnd w:id="45"/>
    <w:bookmarkStart w:id="51" w:name="btp-deployment-architecture"/>
    <w:p>
      <w:pPr>
        <w:pStyle w:val="Heading2"/>
      </w:pPr>
      <w:r>
        <w:t xml:space="preserve">2.5 BTP Deployment Architecture</w:t>
      </w:r>
    </w:p>
    <w:p>
      <w:pPr>
        <w:pStyle w:val="FirstParagraph"/>
      </w:pPr>
      <w:r>
        <w:t xml:space="preserve">Deployment topology onto SAP BTP Cloud Foundry. The diagram embeds the official SAP BTP Solution Diagrams icons (Apache-2.0,</w:t>
      </w:r>
      <w:r>
        <w:t xml:space="preserve"> </w:t>
      </w:r>
      <w:hyperlink r:id="rId46">
        <w:r>
          <w:rPr>
            <w:rStyle w:val="Hyperlink"/>
          </w:rPr>
          <w:t xml:space="preserve">https://github.com/SAP/btp-solution-diagrams</w:t>
        </w:r>
      </w:hyperlink>
      <w:r>
        <w:t xml:space="preserve">) for Cloud Foundry Runtime, HANA Cloud, XSUAA, and the out-of-scope services (Destination, Document Management, Alert Notification, Application Logging).</w:t>
      </w:r>
    </w:p>
    <w:p>
      <w:pPr>
        <w:pStyle w:val="CaptionedFigure"/>
      </w:pPr>
      <w:r>
        <w:drawing>
          <wp:inline>
            <wp:extent cx="5334000" cy="3429317"/>
            <wp:effectExtent b="0" l="0" r="0" t="0"/>
            <wp:docPr descr="BTP architecture" title="" id="1" name="Picture"/>
            <a:graphic>
              <a:graphicData uri="http://schemas.openxmlformats.org/drawingml/2006/picture">
                <pic:pic>
                  <pic:nvPicPr>
                    <pic:cNvPr descr="diagrams/btp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BTP architecture</w:t>
      </w:r>
    </w:p>
    <w:p>
      <w:pPr>
        <w:pStyle w:val="BodyText"/>
      </w:pPr>
      <w:r>
        <w:t xml:space="preserve">The editable source is</w:t>
      </w:r>
      <w:r>
        <w:t xml:space="preserve"> </w:t>
      </w:r>
      <w:hyperlink r:id="rId48">
        <w:r>
          <w:rPr>
            <w:rStyle w:val="Hyperlink"/>
          </w:rPr>
          <w:t xml:space="preserve">diagrams/btp-architecture.drawio</w:t>
        </w:r>
      </w:hyperlink>
      <w:r>
        <w:t xml:space="preserve">; the SVG export is in</w:t>
      </w:r>
      <w:r>
        <w:t xml:space="preserve"> </w:t>
      </w:r>
      <w:hyperlink r:id="rId49">
        <w:r>
          <w:rPr>
            <w:rStyle w:val="Hyperlink"/>
          </w:rPr>
          <w:t xml:space="preserve">diagrams/btp-architecture.svg</w:t>
        </w:r>
      </w:hyperlink>
      <w:r>
        <w:t xml:space="preserve">. See</w:t>
      </w:r>
      <w:r>
        <w:t xml:space="preserve"> </w:t>
      </w:r>
      <w:hyperlink r:id="rId50">
        <w:r>
          <w:rPr>
            <w:rStyle w:val="Hyperlink"/>
          </w:rPr>
          <w:t xml:space="preserve">diagrams/README.md</w:t>
        </w:r>
      </w:hyperlink>
      <w:r>
        <w:t xml:space="preserve"> </w:t>
      </w:r>
      <w:r>
        <w:t xml:space="preserve">for the rendering workflow and the URLs of the embedded icons.</w:t>
      </w:r>
    </w:p>
    <w:bookmarkEnd w:id="51"/>
    <w:bookmarkStart w:id="52" w:name="role-capability-matrix"/>
    <w:p>
      <w:pPr>
        <w:pStyle w:val="Heading2"/>
      </w:pPr>
      <w:r>
        <w:t xml:space="preserve">2.6 Role / Capability Matrix</w:t>
      </w:r>
    </w:p>
    <w:p>
      <w:pPr>
        <w:pStyle w:val="FirstParagraph"/>
      </w:pPr>
      <w:r>
        <w:t xml:space="preserve">XSUAA issues a single scope</w:t>
      </w:r>
      <w:r>
        <w:t xml:space="preserve"> </w:t>
      </w:r>
      <w:r>
        <w:rPr>
          <w:rStyle w:val="VerbatimChar"/>
        </w:rPr>
        <w:t xml:space="preserve">$XSAPPNAME.AuthenticatedUser</w:t>
      </w:r>
      <w:r>
        <w:t xml:space="preserve">. The application-internal role (</w:t>
      </w:r>
      <w:r>
        <w:rPr>
          <w:rStyle w:val="VerbatimChar"/>
        </w:rPr>
        <w:t xml:space="preserve">company_advanced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end_user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attribute are resolved by the backend from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at request time, then applied by CAP’s</w:t>
      </w:r>
      <w:r>
        <w:t xml:space="preserve"> </w:t>
      </w:r>
      <w:r>
        <w:rPr>
          <w:rStyle w:val="VerbatimChar"/>
        </w:rPr>
        <w:t xml:space="preserve">@restrict</w:t>
      </w:r>
      <w:r>
        <w:t xml:space="preserve"> </w:t>
      </w:r>
      <w:r>
        <w:t xml:space="preserve">rules combined with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that pins each query to</w:t>
      </w:r>
      <w:r>
        <w:t xml:space="preserve"> </w:t>
      </w:r>
      <w:r>
        <w:rPr>
          <w:rStyle w:val="VerbatimChar"/>
        </w:rPr>
        <w:t xml:space="preserve">Organizations.tenant_id = $user.tenant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company_user</w:t>
            </w:r>
          </w:p>
        </w:tc>
        <w:tc>
          <w:p>
            <w:pPr>
              <w:pStyle w:val="Compact"/>
              <w:jc w:val="left"/>
            </w:pPr>
            <w:r>
              <w:t xml:space="preserve">end_user</w:t>
            </w:r>
          </w:p>
        </w:tc>
        <w:tc>
          <w:p>
            <w:pPr>
              <w:pStyle w:val="Compact"/>
              <w:jc w:val="left"/>
            </w:pPr>
            <w:r>
              <w:t xml:space="preserve">public (no auth)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tenant DPPs / Products / Batches / Items via DPPService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/ update / delete master data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 / publish / archive DPP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 import (Products / Batches / BOM)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 / PDF export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Cross-tenant read-only via AuthorityService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published, public-visible DPP via QR 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2"/>
    <w:bookmarkEnd w:id="53"/>
    <w:bookmarkStart w:id="54" w:name="endpoints"/>
    <w:p>
      <w:pPr>
        <w:pStyle w:val="Heading1"/>
      </w:pPr>
      <w:r>
        <w:t xml:space="preserve">3.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667"/>
        <w:gridCol w:w="1250"/>
        <w:gridCol w:w="3126"/>
        <w:gridCol w:w="1875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Required Role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/odata/v4/dpp/$metadata</w:t>
            </w:r>
          </w:p>
        </w:tc>
        <w:tc>
          <w:p>
            <w:pPr>
              <w:pStyle w:val="Compact"/>
              <w:jc w:val="left"/>
            </w:pPr>
            <w:r>
              <w:t xml:space="preserve">any authenticated</w:t>
            </w:r>
          </w:p>
        </w:tc>
        <w:tc>
          <w:p>
            <w:pPr>
              <w:pStyle w:val="Compact"/>
              <w:jc w:val="left"/>
            </w:pPr>
            <w:r>
              <w:t xml:space="preserve">Service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 POST / PATCH / 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/odata/v4/dpp/&lt;entity&gt;</w:t>
            </w:r>
          </w:p>
        </w:tc>
        <w:tc>
          <w:p>
            <w:pPr>
              <w:pStyle w:val="Compact"/>
              <w:jc w:val="left"/>
            </w:pPr>
            <w:r>
              <w:t xml:space="preserve">role-restricted</w:t>
            </w:r>
          </w:p>
        </w:tc>
        <w:tc>
          <w:p>
            <w:pPr>
              <w:pStyle w:val="Compact"/>
              <w:jc w:val="left"/>
            </w:pPr>
            <w:r>
              <w:t xml:space="preserve">CRUD on the 11 catalogue entities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/odata/v4/dpp/DPPs(id)/DPPService.approveDPP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draft → approved (with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/odata/v4/dpp/DPPs(id)/DPPService.publishDPP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approved → published + snapshot + QR rotation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/odata/v4/dpp/DPPs(id)/DPPService.archiveDPP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→ 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/odata/v4/dpp/DPPs(id)/DPPService.regenerateQRToken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new HMAC token, previous → 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/odata/v4/dpp/DPPs(id)/DPPService.generateQRCode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Base64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/odata/v4/dpp/DPPs(id)/DPPService.exportDPPasPDF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DPP rendered as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/odata/v4/dpp/DPPs(id)/DPPService.generateQRLabel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printable label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/odata/v4/dpp/importProducts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Excel XLSX UPSERT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/odata/v4/dpp/importBatches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Excel XLSX UPSERT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/odata/v4/dpp/importBOM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Excel XLSX UPSERT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/odata/v4/dpp/downloadTemplate(template=...)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XLSX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/odata/v4/dpp/exportProducts()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XLSX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/odata/v4/dpp/exportBOM()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XLSX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/odata/v4/dpp/exportDPP(dppId=...)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single-DPP 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/odata/v4/dpp/exportDPPs(dppIds=...)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bulk-DPP 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/odata/v4/dpp/exportTraceability()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 / company_user</w:t>
            </w:r>
          </w:p>
        </w:tc>
        <w:tc>
          <w:p>
            <w:pPr>
              <w:pStyle w:val="Compact"/>
              <w:jc w:val="left"/>
            </w:pPr>
            <w:r>
              <w:t xml:space="preserve">multi-sheet XLSX (Products→BOM)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/odata/v4/authority/&lt;entity&gt;</w:t>
            </w:r>
          </w:p>
        </w:tc>
        <w:tc>
          <w:p>
            <w:pPr>
              <w:pStyle w:val="Compact"/>
              <w:jc w:val="left"/>
            </w:pPr>
            <w:r>
              <w:t xml:space="preserve">end_user</w:t>
            </w:r>
          </w:p>
        </w:tc>
        <w:tc>
          <w:p>
            <w:pPr>
              <w:pStyle w:val="Compact"/>
              <w:jc w:val="left"/>
            </w:pPr>
            <w:r>
              <w:t xml:space="preserve">Cross-tenant read-only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/public/dpp/:token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Consumer DTO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/public/dpp/:token/qr.png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printable QR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/$api-docs/odata/v4/dpp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Swagger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liveness probe</w:t>
            </w:r>
          </w:p>
        </w:tc>
      </w:tr>
    </w:tbl>
    <w:bookmarkEnd w:id="54"/>
    <w:bookmarkStart w:id="55" w:name="mock-users-local-development"/>
    <w:p>
      <w:pPr>
        <w:pStyle w:val="Heading1"/>
      </w:pPr>
      <w:r>
        <w:t xml:space="preserve">4. Mock Users (Local Development)</w:t>
      </w:r>
    </w:p>
    <w:p>
      <w:pPr>
        <w:pStyle w:val="FirstParagraph"/>
      </w:pPr>
      <w:r>
        <w:t xml:space="preserve">Basic-Auth, password</w:t>
      </w:r>
      <w:r>
        <w:t xml:space="preserve"> </w:t>
      </w:r>
      <w:r>
        <w:rPr>
          <w:rStyle w:val="VerbatimChar"/>
        </w:rPr>
        <w:t xml:space="preserve">x</w:t>
      </w:r>
      <w:r>
        <w:t xml:space="preserve">. Configured via</w:t>
      </w:r>
      <w:r>
        <w:t xml:space="preserve"> </w:t>
      </w:r>
      <w:r>
        <w:rPr>
          <w:rStyle w:val="VerbatimChar"/>
        </w:rPr>
        <w:t xml:space="preserve">.cdsrc.json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requires.auth.[development].users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alice.advanced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ORG-A (Greenline)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carol.user</w:t>
            </w:r>
          </w:p>
        </w:tc>
        <w:tc>
          <w:p>
            <w:pPr>
              <w:pStyle w:val="Compact"/>
              <w:jc w:val="left"/>
            </w:pPr>
            <w:r>
              <w:t xml:space="preserve">company_user</w:t>
            </w:r>
          </w:p>
        </w:tc>
        <w:tc>
          <w:p>
            <w:pPr>
              <w:pStyle w:val="Compact"/>
              <w:jc w:val="left"/>
            </w:pPr>
            <w:r>
              <w:t xml:space="preserve">ORG-A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dan.advanced.b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ORG-B (Fashionista)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eve.enduser</w:t>
            </w:r>
          </w:p>
        </w:tc>
        <w:tc>
          <w:p>
            <w:pPr>
              <w:pStyle w:val="Compact"/>
              <w:jc w:val="left"/>
            </w:pPr>
            <w:r>
              <w:t xml:space="preserve">end_user</w:t>
            </w:r>
          </w:p>
        </w:tc>
        <w:tc>
          <w:p>
            <w:pPr>
              <w:pStyle w:val="Compact"/>
              <w:jc w:val="left"/>
            </w:pPr>
            <w:r>
              <w:t xml:space="preserve">— (cross-tenant via AuthorityService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kka_learn_235</w:t>
            </w:r>
          </w:p>
        </w:tc>
        <w:tc>
          <w:p>
            <w:pPr>
              <w:pStyle w:val="Compact"/>
              <w:jc w:val="left"/>
            </w:pPr>
            <w:r>
              <w:t xml:space="preserve">company_advanced</w:t>
            </w:r>
          </w:p>
        </w:tc>
        <w:tc>
          <w:p>
            <w:pPr>
              <w:pStyle w:val="Compact"/>
              <w:jc w:val="left"/>
            </w:pPr>
            <w:r>
              <w:t xml:space="preserve">ORG-A (BTP shared learn-tenant)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alice.advanced</w:t>
      </w:r>
      <w:r>
        <w:t xml:space="preserve"> </w:t>
      </w:r>
      <w:r>
        <w:t xml:space="preserve">covers most company-internal scenarios.</w:t>
      </w:r>
      <w:r>
        <w:t xml:space="preserve"> </w:t>
      </w:r>
      <w:r>
        <w:rPr>
          <w:rStyle w:val="VerbatimChar"/>
        </w:rPr>
        <w:t xml:space="preserve">dan.advanced.b</w:t>
      </w:r>
      <w:r>
        <w:t xml:space="preserve"> </w:t>
      </w:r>
      <w:r>
        <w:t xml:space="preserve">verifies tenant isolation between ORG-A and ORG-B.</w:t>
      </w:r>
      <w:r>
        <w:t xml:space="preserve"> </w:t>
      </w:r>
      <w:r>
        <w:rPr>
          <w:rStyle w:val="VerbatimChar"/>
        </w:rPr>
        <w:t xml:space="preserve">eve.enduser</w:t>
      </w:r>
      <w:r>
        <w:t xml:space="preserve"> </w:t>
      </w:r>
      <w:r>
        <w:t xml:space="preserve">is required for</w:t>
      </w:r>
      <w:r>
        <w:t xml:space="preserve"> </w:t>
      </w:r>
      <w:r>
        <w:rPr>
          <w:rStyle w:val="VerbatimChar"/>
        </w:rPr>
        <w:t xml:space="preserve">/odata/v4/authority</w:t>
      </w:r>
      <w:r>
        <w:t xml:space="preserve">.</w:t>
      </w:r>
      <w:r>
        <w:t xml:space="preserve"> </w:t>
      </w:r>
      <w:r>
        <w:rPr>
          <w:rStyle w:val="VerbatimChar"/>
        </w:rPr>
        <w:t xml:space="preserve">kka_learn_235</w:t>
      </w:r>
      <w:r>
        <w:t xml:space="preserve"> </w:t>
      </w:r>
      <w:r>
        <w:t xml:space="preserve">is provided for SAP BTP learn-tenant demos.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42" Target="media/rId42.png" /><Relationship Type="http://schemas.openxmlformats.org/officeDocument/2006/relationships/image" Id="rId40" Target="media/rId40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hyperlink" Id="rId50" Target="diagrams/README.md" TargetMode="External" /><Relationship Type="http://schemas.openxmlformats.org/officeDocument/2006/relationships/hyperlink" Id="rId48" Target="diagrams/btp-architecture.drawio" TargetMode="External" /><Relationship Type="http://schemas.openxmlformats.org/officeDocument/2006/relationships/hyperlink" Id="rId49" Target="diagrams/btp-architecture.svg" TargetMode="External" /><Relationship Type="http://schemas.openxmlformats.org/officeDocument/2006/relationships/hyperlink" Id="rId46" Target="https://github.com/SAP/btp-solution-diagra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iagrams/README.md" TargetMode="External" /><Relationship Type="http://schemas.openxmlformats.org/officeDocument/2006/relationships/hyperlink" Id="rId48" Target="diagrams/btp-architecture.drawio" TargetMode="External" /><Relationship Type="http://schemas.openxmlformats.org/officeDocument/2006/relationships/hyperlink" Id="rId49" Target="diagrams/btp-architecture.svg" TargetMode="External" /><Relationship Type="http://schemas.openxmlformats.org/officeDocument/2006/relationships/hyperlink" Id="rId46" Target="https://github.com/SAP/btp-solution-diagra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 Capgemini — Technical Documentation</dc:title>
  <dc:creator>Digital Product Passport Backend (Fashion)</dc:creator>
  <cp:keywords/>
  <dcterms:created xsi:type="dcterms:W3CDTF">2026-05-25T21:47:50Z</dcterms:created>
  <dcterms:modified xsi:type="dcterms:W3CDTF">2026-05-25T21:47:50Z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