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5EF8" w:rsidRDefault="00885EF8" w:rsidP="00885EF8">
      <w:pPr>
        <w:tabs>
          <w:tab w:val="left" w:pos="0"/>
          <w:tab w:val="right" w:pos="8636"/>
        </w:tabs>
        <w:jc w:val="center"/>
        <w:rPr>
          <w:rFonts w:ascii="Arial" w:hAnsi="Arial" w:cs="Arial"/>
        </w:rPr>
      </w:pPr>
      <w:r>
        <w:rPr>
          <w:noProof/>
          <w:sz w:val="24"/>
          <w:szCs w:val="24"/>
        </w:rPr>
        <w:drawing>
          <wp:inline distT="0" distB="0" distL="0" distR="0">
            <wp:extent cx="752475" cy="7524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752475" cy="752475"/>
                    </a:xfrm>
                    <a:prstGeom prst="rect">
                      <a:avLst/>
                    </a:prstGeom>
                    <a:noFill/>
                    <a:ln w="9525">
                      <a:noFill/>
                      <a:miter lim="800000"/>
                      <a:headEnd/>
                      <a:tailEnd/>
                    </a:ln>
                  </pic:spPr>
                </pic:pic>
              </a:graphicData>
            </a:graphic>
          </wp:inline>
        </w:drawing>
      </w:r>
      <w:r w:rsidR="00F07334">
        <w:rPr>
          <w:sz w:val="24"/>
          <w:szCs w:val="24"/>
          <w:lang w:val="en-CA"/>
        </w:rPr>
        <w:fldChar w:fldCharType="begin"/>
      </w:r>
      <w:r>
        <w:rPr>
          <w:sz w:val="24"/>
          <w:szCs w:val="24"/>
          <w:lang w:val="en-CA"/>
        </w:rPr>
        <w:instrText xml:space="preserve"> SEQ CHAPTER \h \r 1</w:instrText>
      </w:r>
      <w:r w:rsidR="00F07334">
        <w:rPr>
          <w:sz w:val="24"/>
          <w:szCs w:val="24"/>
          <w:lang w:val="en-CA"/>
        </w:rPr>
        <w:fldChar w:fldCharType="end"/>
      </w:r>
      <w:r>
        <w:rPr>
          <w:noProof/>
          <w:sz w:val="24"/>
          <w:szCs w:val="24"/>
        </w:rPr>
        <w:drawing>
          <wp:inline distT="0" distB="0" distL="0" distR="0">
            <wp:extent cx="4476750" cy="7905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4476750" cy="790575"/>
                    </a:xfrm>
                    <a:prstGeom prst="rect">
                      <a:avLst/>
                    </a:prstGeom>
                    <a:noFill/>
                    <a:ln w="9525">
                      <a:noFill/>
                      <a:miter lim="800000"/>
                      <a:headEnd/>
                      <a:tailEnd/>
                    </a:ln>
                  </pic:spPr>
                </pic:pic>
              </a:graphicData>
            </a:graphic>
          </wp:inline>
        </w:drawing>
      </w:r>
    </w:p>
    <w:p w:rsidR="00885EF8" w:rsidRPr="0060308D" w:rsidRDefault="00885EF8" w:rsidP="00885EF8">
      <w:pPr>
        <w:tabs>
          <w:tab w:val="left" w:pos="0"/>
          <w:tab w:val="right" w:pos="8636"/>
        </w:tabs>
        <w:jc w:val="center"/>
        <w:rPr>
          <w:rFonts w:ascii="Arial" w:hAnsi="Arial" w:cs="Arial"/>
          <w:sz w:val="24"/>
          <w:szCs w:val="24"/>
        </w:rPr>
      </w:pPr>
      <w:r>
        <w:rPr>
          <w:sz w:val="24"/>
          <w:szCs w:val="24"/>
          <w:lang w:val="en-CA"/>
        </w:rPr>
        <w:t>___________________________________________________________________________</w:t>
      </w:r>
      <w:r w:rsidR="00F07334" w:rsidRPr="0060308D">
        <w:rPr>
          <w:sz w:val="24"/>
          <w:szCs w:val="24"/>
          <w:lang w:val="en-CA"/>
        </w:rPr>
        <w:fldChar w:fldCharType="begin"/>
      </w:r>
      <w:r w:rsidRPr="0060308D">
        <w:rPr>
          <w:sz w:val="24"/>
          <w:szCs w:val="24"/>
          <w:lang w:val="en-CA"/>
        </w:rPr>
        <w:instrText xml:space="preserve"> SEQ CHAPTER \h \r 1</w:instrText>
      </w:r>
      <w:r w:rsidR="00F07334" w:rsidRPr="0060308D">
        <w:rPr>
          <w:sz w:val="24"/>
          <w:szCs w:val="24"/>
          <w:lang w:val="en-CA"/>
        </w:rPr>
        <w:fldChar w:fldCharType="end"/>
      </w:r>
      <w:bookmarkStart w:id="0" w:name="OLE_LINK7_13__10_"/>
      <w:bookmarkStart w:id="1" w:name="OLE_LINK8"/>
      <w:bookmarkStart w:id="2" w:name="OLE_LINK1"/>
      <w:bookmarkStart w:id="3" w:name="OLE_LINK29"/>
      <w:bookmarkStart w:id="4" w:name="OLE_LINK30"/>
      <w:bookmarkStart w:id="5" w:name="OLE_LINK5"/>
      <w:bookmarkEnd w:id="0"/>
      <w:bookmarkEnd w:id="1"/>
      <w:bookmarkEnd w:id="2"/>
      <w:bookmarkEnd w:id="3"/>
      <w:bookmarkEnd w:id="4"/>
      <w:bookmarkEnd w:id="5"/>
    </w:p>
    <w:p w:rsidR="00885EF8" w:rsidRPr="0060308D" w:rsidRDefault="00885EF8" w:rsidP="00885EF8">
      <w:pPr>
        <w:tabs>
          <w:tab w:val="left" w:pos="0"/>
          <w:tab w:val="left" w:pos="180"/>
          <w:tab w:val="left" w:pos="720"/>
          <w:tab w:val="left" w:pos="1440"/>
          <w:tab w:val="left" w:pos="2160"/>
          <w:tab w:val="right" w:pos="9180"/>
          <w:tab w:val="right" w:pos="9360"/>
        </w:tabs>
        <w:rPr>
          <w:sz w:val="24"/>
          <w:szCs w:val="24"/>
        </w:rPr>
      </w:pPr>
      <w:r>
        <w:rPr>
          <w:sz w:val="24"/>
          <w:szCs w:val="24"/>
        </w:rPr>
        <w:tab/>
        <w:t>FOR IMMEDIATE RELEASE</w:t>
      </w:r>
      <w:r w:rsidRPr="0060308D">
        <w:rPr>
          <w:sz w:val="24"/>
          <w:szCs w:val="24"/>
        </w:rPr>
        <w:tab/>
        <w:t xml:space="preserve">      </w:t>
      </w:r>
      <w:r w:rsidRPr="00AA1819">
        <w:rPr>
          <w:sz w:val="24"/>
          <w:szCs w:val="24"/>
        </w:rPr>
        <w:t>A</w:t>
      </w:r>
      <w:r w:rsidR="003B475F">
        <w:rPr>
          <w:sz w:val="24"/>
          <w:szCs w:val="24"/>
        </w:rPr>
        <w:t>T</w:t>
      </w:r>
    </w:p>
    <w:p w:rsidR="00885EF8" w:rsidRPr="0060308D" w:rsidRDefault="00885EF8" w:rsidP="00885EF8">
      <w:pPr>
        <w:tabs>
          <w:tab w:val="left" w:pos="0"/>
          <w:tab w:val="left" w:pos="180"/>
          <w:tab w:val="left" w:pos="720"/>
          <w:tab w:val="left" w:pos="1440"/>
          <w:tab w:val="left" w:pos="2160"/>
          <w:tab w:val="right" w:pos="9180"/>
          <w:tab w:val="right" w:pos="9360"/>
        </w:tabs>
        <w:rPr>
          <w:sz w:val="24"/>
          <w:szCs w:val="24"/>
        </w:rPr>
      </w:pPr>
      <w:r>
        <w:rPr>
          <w:sz w:val="24"/>
          <w:szCs w:val="24"/>
        </w:rPr>
        <w:t xml:space="preserve">   </w:t>
      </w:r>
      <w:r w:rsidR="000736A2">
        <w:rPr>
          <w:sz w:val="24"/>
          <w:szCs w:val="24"/>
        </w:rPr>
        <w:t>TUESDAY, DECEMBER 18, 2012</w:t>
      </w:r>
      <w:r w:rsidR="000736A2">
        <w:rPr>
          <w:sz w:val="24"/>
          <w:szCs w:val="24"/>
        </w:rPr>
        <w:tab/>
      </w:r>
      <w:r>
        <w:rPr>
          <w:sz w:val="24"/>
          <w:szCs w:val="24"/>
        </w:rPr>
        <w:t xml:space="preserve"> </w:t>
      </w:r>
      <w:r w:rsidRPr="0060308D">
        <w:rPr>
          <w:sz w:val="24"/>
          <w:szCs w:val="24"/>
        </w:rPr>
        <w:t>(202) 514-2007</w:t>
      </w:r>
    </w:p>
    <w:p w:rsidR="00885EF8" w:rsidRPr="0060308D" w:rsidRDefault="00885EF8" w:rsidP="00885EF8">
      <w:pPr>
        <w:tabs>
          <w:tab w:val="left"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820"/>
          <w:tab w:val="right" w:pos="9180"/>
          <w:tab w:val="right" w:pos="9360"/>
        </w:tabs>
        <w:rPr>
          <w:sz w:val="24"/>
          <w:szCs w:val="24"/>
        </w:rPr>
      </w:pPr>
      <w:r>
        <w:rPr>
          <w:color w:val="0000FF"/>
          <w:sz w:val="24"/>
          <w:szCs w:val="24"/>
        </w:rPr>
        <w:tab/>
      </w:r>
      <w:hyperlink r:id="rId10" w:history="1">
        <w:r w:rsidRPr="00882517">
          <w:rPr>
            <w:rStyle w:val="Hyperlink"/>
            <w:rFonts w:eastAsiaTheme="majorEastAsia"/>
            <w:sz w:val="24"/>
            <w:szCs w:val="24"/>
          </w:rPr>
          <w:t>WWW.JUSTICE.GOV</w:t>
        </w:r>
      </w:hyperlink>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TTY (866) 544-5309</w:t>
      </w:r>
    </w:p>
    <w:p w:rsidR="00471052" w:rsidRPr="00471052" w:rsidRDefault="00471052" w:rsidP="00DA30F3">
      <w:pPr>
        <w:jc w:val="center"/>
        <w:rPr>
          <w:b/>
          <w:sz w:val="24"/>
          <w:szCs w:val="24"/>
          <w:lang w:val="en-CA"/>
        </w:rPr>
      </w:pPr>
    </w:p>
    <w:p w:rsidR="008E05D7" w:rsidRDefault="00DA30F3" w:rsidP="00DA30F3">
      <w:pPr>
        <w:jc w:val="center"/>
        <w:rPr>
          <w:b/>
          <w:sz w:val="24"/>
          <w:szCs w:val="24"/>
          <w:u w:val="single"/>
          <w:lang w:val="en-CA"/>
        </w:rPr>
      </w:pPr>
      <w:r>
        <w:rPr>
          <w:b/>
          <w:sz w:val="24"/>
          <w:szCs w:val="24"/>
          <w:u w:val="single"/>
          <w:lang w:val="en-CA"/>
        </w:rPr>
        <w:t>JUSTICE DEPARTMENT REACHES SETTLEMENT</w:t>
      </w:r>
      <w:r w:rsidR="00745557">
        <w:rPr>
          <w:b/>
          <w:sz w:val="24"/>
          <w:szCs w:val="24"/>
          <w:u w:val="single"/>
          <w:lang w:val="en-CA"/>
        </w:rPr>
        <w:t xml:space="preserve"> WITH </w:t>
      </w:r>
      <w:r>
        <w:rPr>
          <w:b/>
          <w:sz w:val="24"/>
          <w:szCs w:val="24"/>
          <w:u w:val="single"/>
          <w:lang w:val="en-CA"/>
        </w:rPr>
        <w:t xml:space="preserve"> </w:t>
      </w:r>
    </w:p>
    <w:p w:rsidR="00DA30F3" w:rsidRDefault="00745557" w:rsidP="00DA30F3">
      <w:pPr>
        <w:jc w:val="center"/>
        <w:rPr>
          <w:b/>
          <w:sz w:val="24"/>
          <w:szCs w:val="24"/>
          <w:u w:val="single"/>
          <w:lang w:val="en-CA"/>
        </w:rPr>
      </w:pPr>
      <w:r>
        <w:rPr>
          <w:b/>
          <w:sz w:val="24"/>
          <w:szCs w:val="24"/>
          <w:u w:val="single"/>
          <w:lang w:val="en-CA"/>
        </w:rPr>
        <w:t xml:space="preserve">PENGUIN GROUP (USA) </w:t>
      </w:r>
      <w:r w:rsidR="0006509C">
        <w:rPr>
          <w:b/>
          <w:sz w:val="24"/>
          <w:szCs w:val="24"/>
          <w:u w:val="single"/>
          <w:lang w:val="en-CA"/>
        </w:rPr>
        <w:t>INC.</w:t>
      </w:r>
      <w:r w:rsidR="009005A6">
        <w:rPr>
          <w:b/>
          <w:sz w:val="24"/>
          <w:szCs w:val="24"/>
          <w:u w:val="single"/>
          <w:lang w:val="en-CA"/>
        </w:rPr>
        <w:t xml:space="preserve"> IN E-BOOKS CASE</w:t>
      </w:r>
    </w:p>
    <w:p w:rsidR="00DA30F3" w:rsidRDefault="00DA30F3" w:rsidP="00DA30F3">
      <w:pPr>
        <w:jc w:val="center"/>
        <w:rPr>
          <w:b/>
          <w:sz w:val="24"/>
          <w:szCs w:val="24"/>
          <w:u w:val="single"/>
          <w:lang w:val="en-CA"/>
        </w:rPr>
      </w:pPr>
    </w:p>
    <w:p w:rsidR="00DA30F3" w:rsidRDefault="00DA30F3" w:rsidP="00DA30F3">
      <w:pPr>
        <w:jc w:val="center"/>
        <w:rPr>
          <w:b/>
          <w:i/>
          <w:sz w:val="24"/>
          <w:szCs w:val="24"/>
          <w:lang w:val="en-CA"/>
        </w:rPr>
      </w:pPr>
      <w:r>
        <w:rPr>
          <w:b/>
          <w:i/>
          <w:sz w:val="24"/>
          <w:szCs w:val="24"/>
          <w:lang w:val="en-CA"/>
        </w:rPr>
        <w:t xml:space="preserve">Department </w:t>
      </w:r>
      <w:r w:rsidR="0006509C">
        <w:rPr>
          <w:b/>
          <w:i/>
          <w:sz w:val="24"/>
          <w:szCs w:val="24"/>
          <w:lang w:val="en-CA"/>
        </w:rPr>
        <w:t>Continues to</w:t>
      </w:r>
      <w:r w:rsidR="00B35CCE">
        <w:rPr>
          <w:b/>
          <w:i/>
          <w:sz w:val="24"/>
          <w:szCs w:val="24"/>
          <w:lang w:val="en-CA"/>
        </w:rPr>
        <w:t xml:space="preserve"> Litigate</w:t>
      </w:r>
      <w:r>
        <w:rPr>
          <w:b/>
          <w:i/>
          <w:sz w:val="24"/>
          <w:szCs w:val="24"/>
          <w:lang w:val="en-CA"/>
        </w:rPr>
        <w:t xml:space="preserve"> Against Apple</w:t>
      </w:r>
      <w:r w:rsidR="0006509C">
        <w:rPr>
          <w:b/>
          <w:i/>
          <w:sz w:val="24"/>
          <w:szCs w:val="24"/>
          <w:lang w:val="en-CA"/>
        </w:rPr>
        <w:t xml:space="preserve"> </w:t>
      </w:r>
      <w:r w:rsidR="00745557">
        <w:rPr>
          <w:b/>
          <w:i/>
          <w:sz w:val="24"/>
          <w:szCs w:val="24"/>
          <w:lang w:val="en-CA"/>
        </w:rPr>
        <w:t xml:space="preserve">Inc. </w:t>
      </w:r>
      <w:r w:rsidR="0006509C">
        <w:rPr>
          <w:b/>
          <w:i/>
          <w:sz w:val="24"/>
          <w:szCs w:val="24"/>
          <w:lang w:val="en-CA"/>
        </w:rPr>
        <w:t>and</w:t>
      </w:r>
      <w:r>
        <w:rPr>
          <w:b/>
          <w:i/>
          <w:sz w:val="24"/>
          <w:szCs w:val="24"/>
          <w:lang w:val="en-CA"/>
        </w:rPr>
        <w:t xml:space="preserve"> Macmillan to Prevent Continued </w:t>
      </w:r>
    </w:p>
    <w:p w:rsidR="00DA30F3" w:rsidRPr="00E20728" w:rsidRDefault="00DA30F3" w:rsidP="00DA30F3">
      <w:pPr>
        <w:jc w:val="center"/>
        <w:rPr>
          <w:b/>
          <w:i/>
          <w:sz w:val="24"/>
          <w:szCs w:val="24"/>
          <w:lang w:val="en-CA"/>
        </w:rPr>
      </w:pPr>
      <w:r>
        <w:rPr>
          <w:b/>
          <w:i/>
          <w:sz w:val="24"/>
          <w:szCs w:val="24"/>
          <w:lang w:val="en-CA"/>
        </w:rPr>
        <w:t>Restrictions on Price Competition</w:t>
      </w:r>
    </w:p>
    <w:p w:rsidR="00DA30F3" w:rsidRDefault="00DA30F3" w:rsidP="00DA30F3">
      <w:pPr>
        <w:rPr>
          <w:sz w:val="24"/>
          <w:szCs w:val="24"/>
          <w:lang w:val="en-CA"/>
        </w:rPr>
      </w:pPr>
    </w:p>
    <w:p w:rsidR="0006509C" w:rsidRDefault="00DA30F3" w:rsidP="00DA30F3">
      <w:pPr>
        <w:rPr>
          <w:sz w:val="24"/>
          <w:szCs w:val="24"/>
        </w:rPr>
      </w:pPr>
      <w:r>
        <w:rPr>
          <w:sz w:val="24"/>
          <w:szCs w:val="24"/>
          <w:lang w:val="en-CA"/>
        </w:rPr>
        <w:tab/>
      </w:r>
      <w:r w:rsidR="00F07334">
        <w:rPr>
          <w:sz w:val="24"/>
          <w:szCs w:val="24"/>
          <w:lang w:val="en-CA"/>
        </w:rPr>
        <w:fldChar w:fldCharType="begin"/>
      </w:r>
      <w:r>
        <w:rPr>
          <w:sz w:val="24"/>
          <w:szCs w:val="24"/>
          <w:lang w:val="en-CA"/>
        </w:rPr>
        <w:instrText xml:space="preserve"> SEQ CHAPTER \h \r 1</w:instrText>
      </w:r>
      <w:r w:rsidR="00F07334">
        <w:rPr>
          <w:sz w:val="24"/>
          <w:szCs w:val="24"/>
          <w:lang w:val="en-CA"/>
        </w:rPr>
        <w:fldChar w:fldCharType="end"/>
      </w:r>
      <w:r>
        <w:rPr>
          <w:sz w:val="24"/>
          <w:szCs w:val="24"/>
        </w:rPr>
        <w:t xml:space="preserve">WASHINGTON – The Department of Justice announced today that it has reached a settlement with </w:t>
      </w:r>
      <w:r w:rsidR="00EB76E9">
        <w:rPr>
          <w:sz w:val="24"/>
          <w:szCs w:val="24"/>
        </w:rPr>
        <w:t>Penguin Group (USA) Inc.–</w:t>
      </w:r>
      <w:r w:rsidR="0006509C">
        <w:rPr>
          <w:sz w:val="24"/>
          <w:szCs w:val="24"/>
        </w:rPr>
        <w:t xml:space="preserve">one of the </w:t>
      </w:r>
      <w:r>
        <w:rPr>
          <w:sz w:val="24"/>
          <w:szCs w:val="24"/>
        </w:rPr>
        <w:t>largest book publishers in the United States</w:t>
      </w:r>
      <w:r w:rsidR="00EB76E9">
        <w:rPr>
          <w:sz w:val="24"/>
          <w:szCs w:val="24"/>
        </w:rPr>
        <w:t>–</w:t>
      </w:r>
      <w:r w:rsidR="00534AF7">
        <w:rPr>
          <w:sz w:val="24"/>
          <w:szCs w:val="24"/>
        </w:rPr>
        <w:t>and will continue to litigate against Apple Inc. and Holtzbrinck Publishers LLC, which do</w:t>
      </w:r>
      <w:r w:rsidR="00B32990">
        <w:rPr>
          <w:sz w:val="24"/>
          <w:szCs w:val="24"/>
        </w:rPr>
        <w:t>e</w:t>
      </w:r>
      <w:r w:rsidR="00534AF7">
        <w:rPr>
          <w:sz w:val="24"/>
          <w:szCs w:val="24"/>
        </w:rPr>
        <w:t>s business as Macmillan,</w:t>
      </w:r>
      <w:r w:rsidR="00B32990">
        <w:rPr>
          <w:sz w:val="24"/>
          <w:szCs w:val="24"/>
        </w:rPr>
        <w:t xml:space="preserve"> </w:t>
      </w:r>
      <w:r w:rsidR="00534AF7">
        <w:rPr>
          <w:sz w:val="24"/>
          <w:szCs w:val="24"/>
        </w:rPr>
        <w:t>for conspiring to raise e-book prices to consumers.</w:t>
      </w:r>
    </w:p>
    <w:p w:rsidR="0006509C" w:rsidRDefault="0006509C" w:rsidP="00DA30F3">
      <w:pPr>
        <w:rPr>
          <w:sz w:val="24"/>
          <w:szCs w:val="24"/>
        </w:rPr>
      </w:pPr>
    </w:p>
    <w:p w:rsidR="0085452F" w:rsidRDefault="00534AF7" w:rsidP="00B32990">
      <w:pPr>
        <w:ind w:firstLine="720"/>
        <w:rPr>
          <w:sz w:val="24"/>
          <w:szCs w:val="24"/>
        </w:rPr>
      </w:pPr>
      <w:r>
        <w:rPr>
          <w:sz w:val="24"/>
          <w:szCs w:val="24"/>
        </w:rPr>
        <w:t xml:space="preserve">Today’s proposed settlement was filed in the U.S. District Court for the Southern District of New York.  </w:t>
      </w:r>
      <w:r w:rsidR="000F4680">
        <w:rPr>
          <w:sz w:val="24"/>
          <w:szCs w:val="24"/>
        </w:rPr>
        <w:t xml:space="preserve">If approved by the court, the settlement </w:t>
      </w:r>
      <w:r w:rsidR="00E22C27">
        <w:rPr>
          <w:sz w:val="24"/>
          <w:szCs w:val="24"/>
        </w:rPr>
        <w:t xml:space="preserve">will </w:t>
      </w:r>
      <w:r w:rsidR="000F4680">
        <w:rPr>
          <w:sz w:val="24"/>
          <w:szCs w:val="24"/>
        </w:rPr>
        <w:t xml:space="preserve">resolve </w:t>
      </w:r>
      <w:r w:rsidR="00EB3BB1">
        <w:rPr>
          <w:sz w:val="24"/>
          <w:szCs w:val="24"/>
        </w:rPr>
        <w:t xml:space="preserve">the department’s competitive concerns as to Penguin, ending Penguin’s role as a defendant in </w:t>
      </w:r>
      <w:r w:rsidR="000F4680">
        <w:rPr>
          <w:sz w:val="24"/>
          <w:szCs w:val="24"/>
        </w:rPr>
        <w:t>the civil antitrust lawsuit filed by the department on April 11, 2012</w:t>
      </w:r>
      <w:r w:rsidR="00EB3BB1">
        <w:rPr>
          <w:sz w:val="24"/>
          <w:szCs w:val="24"/>
        </w:rPr>
        <w:t>.</w:t>
      </w:r>
      <w:r w:rsidR="000F4680">
        <w:rPr>
          <w:sz w:val="24"/>
          <w:szCs w:val="24"/>
        </w:rPr>
        <w:t xml:space="preserve"> </w:t>
      </w:r>
    </w:p>
    <w:p w:rsidR="0085452F" w:rsidRDefault="0085452F" w:rsidP="00B32990">
      <w:pPr>
        <w:ind w:firstLine="720"/>
        <w:rPr>
          <w:sz w:val="24"/>
          <w:szCs w:val="24"/>
        </w:rPr>
      </w:pPr>
    </w:p>
    <w:p w:rsidR="00DA30F3" w:rsidRDefault="000F4680" w:rsidP="00B32990">
      <w:pPr>
        <w:ind w:firstLine="720"/>
        <w:rPr>
          <w:sz w:val="24"/>
          <w:szCs w:val="24"/>
        </w:rPr>
      </w:pPr>
      <w:r>
        <w:rPr>
          <w:sz w:val="24"/>
          <w:szCs w:val="24"/>
        </w:rPr>
        <w:t>Th</w:t>
      </w:r>
      <w:r w:rsidR="00534AF7" w:rsidRPr="00534AF7">
        <w:rPr>
          <w:sz w:val="24"/>
          <w:szCs w:val="24"/>
        </w:rPr>
        <w:t>e department’s Antitrust Division previously settled its claims against three book publishers</w:t>
      </w:r>
      <w:r w:rsidR="0085452F">
        <w:rPr>
          <w:sz w:val="24"/>
          <w:szCs w:val="24"/>
        </w:rPr>
        <w:t>–</w:t>
      </w:r>
      <w:r w:rsidR="00534AF7" w:rsidRPr="00534AF7">
        <w:rPr>
          <w:sz w:val="24"/>
          <w:szCs w:val="24"/>
        </w:rPr>
        <w:t>Hachette Book Group Inc., HarperCollins Publishers L.L.C. and Simon &amp; Schuster Inc.  The department said that the publishers eliminated retail price competition, resulting in consumers paying millions of dollars more for their e-books.  The settlement with those three publishers was approve</w:t>
      </w:r>
      <w:r w:rsidR="00EB76E9">
        <w:rPr>
          <w:sz w:val="24"/>
          <w:szCs w:val="24"/>
        </w:rPr>
        <w:t xml:space="preserve">d by the court in September 2012.  </w:t>
      </w:r>
      <w:r w:rsidR="00534AF7" w:rsidRPr="00534AF7">
        <w:rPr>
          <w:sz w:val="24"/>
          <w:szCs w:val="24"/>
        </w:rPr>
        <w:t xml:space="preserve">A trial against Macmillan and </w:t>
      </w:r>
      <w:r w:rsidR="00B32990">
        <w:rPr>
          <w:sz w:val="24"/>
          <w:szCs w:val="24"/>
        </w:rPr>
        <w:t xml:space="preserve">Apple </w:t>
      </w:r>
      <w:r w:rsidR="00534AF7" w:rsidRPr="00534AF7">
        <w:rPr>
          <w:sz w:val="24"/>
          <w:szCs w:val="24"/>
        </w:rPr>
        <w:t>currently is scheduled to begin in June 2013.</w:t>
      </w:r>
      <w:r w:rsidR="00A7219E">
        <w:rPr>
          <w:sz w:val="24"/>
          <w:szCs w:val="24"/>
        </w:rPr>
        <w:t xml:space="preserve">  </w:t>
      </w:r>
    </w:p>
    <w:p w:rsidR="00DA30F3" w:rsidRDefault="00DA30F3" w:rsidP="00DA30F3">
      <w:pPr>
        <w:ind w:firstLine="720"/>
        <w:rPr>
          <w:sz w:val="24"/>
          <w:szCs w:val="24"/>
        </w:rPr>
      </w:pPr>
    </w:p>
    <w:p w:rsidR="00DA30F3" w:rsidRDefault="00EB76E9" w:rsidP="00DA30F3">
      <w:pPr>
        <w:ind w:firstLine="720"/>
        <w:rPr>
          <w:sz w:val="24"/>
          <w:szCs w:val="24"/>
        </w:rPr>
      </w:pPr>
      <w:r>
        <w:rPr>
          <w:sz w:val="24"/>
          <w:szCs w:val="24"/>
        </w:rPr>
        <w:t>“Since the department’s settlement with Hachette, HarperCollins and Simon &amp; Sch</w:t>
      </w:r>
      <w:r w:rsidR="00B8284A">
        <w:rPr>
          <w:sz w:val="24"/>
          <w:szCs w:val="24"/>
        </w:rPr>
        <w:t>uster, consumers are already payi</w:t>
      </w:r>
      <w:r>
        <w:rPr>
          <w:sz w:val="24"/>
          <w:szCs w:val="24"/>
        </w:rPr>
        <w:t>ng lower prices for the e-book versions of many of those publishers’ new releases and bestsellers,”</w:t>
      </w:r>
      <w:r w:rsidRPr="00EB76E9">
        <w:rPr>
          <w:sz w:val="24"/>
          <w:szCs w:val="24"/>
        </w:rPr>
        <w:t xml:space="preserve"> </w:t>
      </w:r>
      <w:r w:rsidRPr="002868DE">
        <w:rPr>
          <w:sz w:val="24"/>
          <w:szCs w:val="24"/>
        </w:rPr>
        <w:t xml:space="preserve">said </w:t>
      </w:r>
      <w:r w:rsidRPr="00A21B60">
        <w:rPr>
          <w:sz w:val="24"/>
          <w:szCs w:val="24"/>
        </w:rPr>
        <w:t>J</w:t>
      </w:r>
      <w:r>
        <w:rPr>
          <w:sz w:val="24"/>
          <w:szCs w:val="24"/>
        </w:rPr>
        <w:t>a</w:t>
      </w:r>
      <w:r w:rsidRPr="00A21B60">
        <w:rPr>
          <w:sz w:val="24"/>
          <w:szCs w:val="24"/>
        </w:rPr>
        <w:t>millia Ferris, Chief of Staff and Counsel at the Department of Justice’s Antitrust Division</w:t>
      </w:r>
      <w:r>
        <w:rPr>
          <w:sz w:val="24"/>
          <w:szCs w:val="24"/>
        </w:rPr>
        <w:t xml:space="preserve">.  </w:t>
      </w:r>
      <w:r w:rsidR="00A7219E">
        <w:rPr>
          <w:sz w:val="24"/>
          <w:szCs w:val="24"/>
        </w:rPr>
        <w:t>“</w:t>
      </w:r>
      <w:r>
        <w:rPr>
          <w:sz w:val="24"/>
          <w:szCs w:val="24"/>
        </w:rPr>
        <w:t>If approved by the court, t</w:t>
      </w:r>
      <w:r w:rsidR="00A7219E">
        <w:rPr>
          <w:sz w:val="24"/>
          <w:szCs w:val="24"/>
        </w:rPr>
        <w:t>he proposed settlement</w:t>
      </w:r>
      <w:r>
        <w:rPr>
          <w:sz w:val="24"/>
          <w:szCs w:val="24"/>
        </w:rPr>
        <w:t xml:space="preserve"> with Penguin </w:t>
      </w:r>
      <w:r w:rsidR="00E22C27">
        <w:rPr>
          <w:sz w:val="24"/>
          <w:szCs w:val="24"/>
        </w:rPr>
        <w:t xml:space="preserve">will be </w:t>
      </w:r>
      <w:r w:rsidR="00A7219E">
        <w:rPr>
          <w:sz w:val="24"/>
          <w:szCs w:val="24"/>
        </w:rPr>
        <w:t>an important step to</w:t>
      </w:r>
      <w:r w:rsidR="00381A3E">
        <w:rPr>
          <w:sz w:val="24"/>
          <w:szCs w:val="24"/>
        </w:rPr>
        <w:t>ward</w:t>
      </w:r>
      <w:r w:rsidR="00A7219E">
        <w:rPr>
          <w:sz w:val="24"/>
          <w:szCs w:val="24"/>
        </w:rPr>
        <w:t xml:space="preserve"> undoing the harm caused by the publishers’ anticompetitive conduct </w:t>
      </w:r>
      <w:r w:rsidR="00A7219E" w:rsidRPr="002868DE">
        <w:rPr>
          <w:sz w:val="24"/>
          <w:szCs w:val="24"/>
        </w:rPr>
        <w:t>and restoring retail price competition so consumers can pay</w:t>
      </w:r>
      <w:r w:rsidR="003D7A20">
        <w:rPr>
          <w:sz w:val="24"/>
          <w:szCs w:val="24"/>
        </w:rPr>
        <w:t xml:space="preserve"> lower prices for Penguin</w:t>
      </w:r>
      <w:r w:rsidR="000025BE">
        <w:rPr>
          <w:sz w:val="24"/>
          <w:szCs w:val="24"/>
        </w:rPr>
        <w:t>’</w:t>
      </w:r>
      <w:r w:rsidR="003D7A20">
        <w:rPr>
          <w:sz w:val="24"/>
          <w:szCs w:val="24"/>
        </w:rPr>
        <w:t xml:space="preserve">s </w:t>
      </w:r>
      <w:r>
        <w:rPr>
          <w:sz w:val="24"/>
          <w:szCs w:val="24"/>
        </w:rPr>
        <w:t>e-books.</w:t>
      </w:r>
      <w:r w:rsidR="00A7219E" w:rsidRPr="002868DE">
        <w:rPr>
          <w:sz w:val="24"/>
          <w:szCs w:val="24"/>
        </w:rPr>
        <w:t xml:space="preserve">” </w:t>
      </w:r>
    </w:p>
    <w:p w:rsidR="00EB76E9" w:rsidRDefault="00EB76E9" w:rsidP="00DA30F3">
      <w:pPr>
        <w:ind w:firstLine="720"/>
        <w:rPr>
          <w:sz w:val="24"/>
          <w:szCs w:val="24"/>
        </w:rPr>
      </w:pPr>
    </w:p>
    <w:p w:rsidR="00DA30F3" w:rsidRDefault="00DA30F3" w:rsidP="0042680C">
      <w:pPr>
        <w:ind w:firstLine="720"/>
        <w:rPr>
          <w:sz w:val="24"/>
          <w:szCs w:val="24"/>
        </w:rPr>
      </w:pPr>
      <w:r>
        <w:rPr>
          <w:sz w:val="24"/>
          <w:szCs w:val="24"/>
        </w:rPr>
        <w:t>According to the complaint, the five publishers and Apple were unhappy that competition among e-book sellers had reduced e-book prices and the retail profit margins of the book sellers to levels they thought were too low.</w:t>
      </w:r>
      <w:r w:rsidR="00E22C27">
        <w:rPr>
          <w:sz w:val="24"/>
          <w:szCs w:val="24"/>
        </w:rPr>
        <w:t xml:space="preserve"> </w:t>
      </w:r>
      <w:r>
        <w:rPr>
          <w:sz w:val="24"/>
          <w:szCs w:val="24"/>
        </w:rPr>
        <w:t xml:space="preserve"> To address these concerns, </w:t>
      </w:r>
      <w:r w:rsidR="006A47AF">
        <w:rPr>
          <w:sz w:val="24"/>
          <w:szCs w:val="24"/>
        </w:rPr>
        <w:t xml:space="preserve">the department said the companies </w:t>
      </w:r>
      <w:r>
        <w:rPr>
          <w:sz w:val="24"/>
          <w:szCs w:val="24"/>
        </w:rPr>
        <w:t xml:space="preserve">worked together to enter into contracts that eliminated price competition among bookstores selling e-books, substantially increasing prices paid by consumers.  Before the companies began their conspiracy, retailers regularly sold e-book versions of new releases and </w:t>
      </w:r>
      <w:r>
        <w:rPr>
          <w:sz w:val="24"/>
          <w:szCs w:val="24"/>
        </w:rPr>
        <w:lastRenderedPageBreak/>
        <w:t>bestsellers for, as described by</w:t>
      </w:r>
      <w:r w:rsidR="00EE7B93">
        <w:rPr>
          <w:sz w:val="24"/>
          <w:szCs w:val="24"/>
        </w:rPr>
        <w:t xml:space="preserve"> one of the publisher’s CEO</w:t>
      </w:r>
      <w:r>
        <w:rPr>
          <w:sz w:val="24"/>
          <w:szCs w:val="24"/>
        </w:rPr>
        <w:t xml:space="preserve">, the “wretched $9.99 price point.” </w:t>
      </w:r>
      <w:r w:rsidR="00E22C27">
        <w:rPr>
          <w:sz w:val="24"/>
          <w:szCs w:val="24"/>
        </w:rPr>
        <w:t xml:space="preserve"> </w:t>
      </w:r>
      <w:r>
        <w:rPr>
          <w:sz w:val="24"/>
          <w:szCs w:val="24"/>
        </w:rPr>
        <w:t xml:space="preserve">As a result of the conspiracy, consumers </w:t>
      </w:r>
      <w:r w:rsidR="00EC2966">
        <w:rPr>
          <w:sz w:val="24"/>
          <w:szCs w:val="24"/>
        </w:rPr>
        <w:t>we</w:t>
      </w:r>
      <w:r>
        <w:rPr>
          <w:sz w:val="24"/>
          <w:szCs w:val="24"/>
        </w:rPr>
        <w:t>re typically forced to pay $12.99, $14.99, or more for the most sought-after e-books</w:t>
      </w:r>
      <w:r w:rsidR="00ED4010">
        <w:rPr>
          <w:sz w:val="24"/>
          <w:szCs w:val="24"/>
        </w:rPr>
        <w:t>, the department said</w:t>
      </w:r>
      <w:r>
        <w:rPr>
          <w:sz w:val="24"/>
          <w:szCs w:val="24"/>
        </w:rPr>
        <w:t>.</w:t>
      </w:r>
    </w:p>
    <w:p w:rsidR="00DA30F3" w:rsidRDefault="00DA30F3" w:rsidP="00DA30F3">
      <w:pPr>
        <w:pStyle w:val="NoSpacing"/>
        <w:ind w:firstLine="720"/>
      </w:pPr>
    </w:p>
    <w:p w:rsidR="00D015D7" w:rsidRDefault="00DA30F3" w:rsidP="00A7219E">
      <w:pPr>
        <w:rPr>
          <w:sz w:val="24"/>
          <w:szCs w:val="24"/>
        </w:rPr>
      </w:pPr>
      <w:r>
        <w:rPr>
          <w:sz w:val="24"/>
          <w:szCs w:val="24"/>
        </w:rPr>
        <w:tab/>
        <w:t>Under the proposed settlement agreement</w:t>
      </w:r>
      <w:r w:rsidR="00A7219E">
        <w:rPr>
          <w:sz w:val="24"/>
          <w:szCs w:val="24"/>
        </w:rPr>
        <w:t>, Penguin</w:t>
      </w:r>
      <w:r w:rsidR="00B32990">
        <w:rPr>
          <w:sz w:val="24"/>
          <w:szCs w:val="24"/>
        </w:rPr>
        <w:t xml:space="preserve"> </w:t>
      </w:r>
      <w:r>
        <w:rPr>
          <w:sz w:val="24"/>
          <w:szCs w:val="24"/>
        </w:rPr>
        <w:t xml:space="preserve">will terminate </w:t>
      </w:r>
      <w:r w:rsidR="00A7219E">
        <w:rPr>
          <w:sz w:val="24"/>
          <w:szCs w:val="24"/>
        </w:rPr>
        <w:t>its</w:t>
      </w:r>
      <w:r>
        <w:rPr>
          <w:sz w:val="24"/>
          <w:szCs w:val="24"/>
        </w:rPr>
        <w:t xml:space="preserve"> agreements with Apple and other e-books retailers and will be prohibited for two years from entering into new agreements that constrain retailers’ ability to offer discounts or other promotions to consumers to encourage the sale of the </w:t>
      </w:r>
      <w:r w:rsidR="00E22C27">
        <w:rPr>
          <w:sz w:val="24"/>
          <w:szCs w:val="24"/>
        </w:rPr>
        <w:t xml:space="preserve">Penguin’s </w:t>
      </w:r>
      <w:r>
        <w:rPr>
          <w:sz w:val="24"/>
          <w:szCs w:val="24"/>
        </w:rPr>
        <w:t>e-books.</w:t>
      </w:r>
      <w:r w:rsidR="00E22C27">
        <w:rPr>
          <w:sz w:val="24"/>
          <w:szCs w:val="24"/>
        </w:rPr>
        <w:t xml:space="preserve"> </w:t>
      </w:r>
      <w:r>
        <w:rPr>
          <w:sz w:val="24"/>
          <w:szCs w:val="24"/>
        </w:rPr>
        <w:t xml:space="preserve"> The proposed settlement agreement also will impose a strong antitrust compliance program on </w:t>
      </w:r>
      <w:r w:rsidR="00A7219E">
        <w:rPr>
          <w:sz w:val="24"/>
          <w:szCs w:val="24"/>
        </w:rPr>
        <w:t>Penguin</w:t>
      </w:r>
      <w:r>
        <w:rPr>
          <w:sz w:val="24"/>
          <w:szCs w:val="24"/>
        </w:rPr>
        <w:t xml:space="preserve">, which will include a requirement that </w:t>
      </w:r>
      <w:r w:rsidR="009B360E">
        <w:rPr>
          <w:sz w:val="24"/>
          <w:szCs w:val="24"/>
        </w:rPr>
        <w:t>it</w:t>
      </w:r>
      <w:r>
        <w:rPr>
          <w:sz w:val="24"/>
          <w:szCs w:val="24"/>
        </w:rPr>
        <w:t xml:space="preserve"> provide advance notification to the department of any e-book ventures </w:t>
      </w:r>
      <w:r w:rsidR="00A7219E">
        <w:rPr>
          <w:sz w:val="24"/>
          <w:szCs w:val="24"/>
        </w:rPr>
        <w:t>it</w:t>
      </w:r>
      <w:r>
        <w:rPr>
          <w:sz w:val="24"/>
          <w:szCs w:val="24"/>
        </w:rPr>
        <w:t xml:space="preserve"> plan</w:t>
      </w:r>
      <w:r w:rsidR="00A7219E">
        <w:rPr>
          <w:sz w:val="24"/>
          <w:szCs w:val="24"/>
        </w:rPr>
        <w:t>s</w:t>
      </w:r>
      <w:r>
        <w:rPr>
          <w:sz w:val="24"/>
          <w:szCs w:val="24"/>
        </w:rPr>
        <w:t xml:space="preserve"> to undertake jointly with other publishers and that </w:t>
      </w:r>
      <w:r w:rsidR="00A7219E">
        <w:rPr>
          <w:sz w:val="24"/>
          <w:szCs w:val="24"/>
        </w:rPr>
        <w:t>it</w:t>
      </w:r>
      <w:r>
        <w:rPr>
          <w:sz w:val="24"/>
          <w:szCs w:val="24"/>
        </w:rPr>
        <w:t xml:space="preserve"> regularly report to the department on any communications </w:t>
      </w:r>
      <w:r w:rsidR="00A7219E">
        <w:rPr>
          <w:sz w:val="24"/>
          <w:szCs w:val="24"/>
        </w:rPr>
        <w:t>it has</w:t>
      </w:r>
      <w:r>
        <w:rPr>
          <w:sz w:val="24"/>
          <w:szCs w:val="24"/>
        </w:rPr>
        <w:t xml:space="preserve"> with other publishers.  Also for five years, </w:t>
      </w:r>
      <w:r w:rsidR="00A7219E">
        <w:rPr>
          <w:sz w:val="24"/>
          <w:szCs w:val="24"/>
        </w:rPr>
        <w:t xml:space="preserve">Penguin </w:t>
      </w:r>
      <w:r>
        <w:rPr>
          <w:sz w:val="24"/>
          <w:szCs w:val="24"/>
        </w:rPr>
        <w:t xml:space="preserve">will be forbidden from agreeing to any kind of </w:t>
      </w:r>
      <w:r w:rsidR="00D015D7">
        <w:rPr>
          <w:sz w:val="24"/>
          <w:szCs w:val="24"/>
        </w:rPr>
        <w:t xml:space="preserve">most favored nation (MFN) agreement </w:t>
      </w:r>
      <w:r>
        <w:rPr>
          <w:sz w:val="24"/>
          <w:szCs w:val="24"/>
        </w:rPr>
        <w:t>that could undermine the effective</w:t>
      </w:r>
      <w:r w:rsidR="00D015D7">
        <w:rPr>
          <w:sz w:val="24"/>
          <w:szCs w:val="24"/>
        </w:rPr>
        <w:t>ness of the settlement</w:t>
      </w:r>
      <w:r>
        <w:rPr>
          <w:sz w:val="24"/>
          <w:szCs w:val="24"/>
        </w:rPr>
        <w:t>.</w:t>
      </w:r>
      <w:r w:rsidR="009005A6">
        <w:rPr>
          <w:sz w:val="24"/>
          <w:szCs w:val="24"/>
        </w:rPr>
        <w:t xml:space="preserve">  </w:t>
      </w:r>
    </w:p>
    <w:p w:rsidR="00D015D7" w:rsidRDefault="00D015D7" w:rsidP="00A7219E">
      <w:pPr>
        <w:rPr>
          <w:sz w:val="24"/>
          <w:szCs w:val="24"/>
        </w:rPr>
      </w:pPr>
    </w:p>
    <w:p w:rsidR="00DA30F3" w:rsidRDefault="004F4741" w:rsidP="00D015D7">
      <w:pPr>
        <w:ind w:firstLine="720"/>
        <w:rPr>
          <w:strike/>
          <w:sz w:val="24"/>
          <w:szCs w:val="24"/>
          <w:u w:val="single"/>
        </w:rPr>
      </w:pPr>
      <w:r>
        <w:rPr>
          <w:sz w:val="24"/>
          <w:szCs w:val="24"/>
        </w:rPr>
        <w:t>The department is currently reviewing the proposed joint venture announced by Penguin and Random House Inc</w:t>
      </w:r>
      <w:r w:rsidR="00C00B45">
        <w:rPr>
          <w:sz w:val="24"/>
          <w:szCs w:val="24"/>
        </w:rPr>
        <w:t>.</w:t>
      </w:r>
      <w:r>
        <w:rPr>
          <w:sz w:val="24"/>
          <w:szCs w:val="24"/>
        </w:rPr>
        <w:t xml:space="preserve">, the largest U.S. book publisher.  </w:t>
      </w:r>
      <w:r w:rsidR="009005A6">
        <w:rPr>
          <w:sz w:val="24"/>
          <w:szCs w:val="24"/>
        </w:rPr>
        <w:t xml:space="preserve">Should </w:t>
      </w:r>
      <w:r w:rsidR="00F04F0B">
        <w:rPr>
          <w:sz w:val="24"/>
          <w:szCs w:val="24"/>
        </w:rPr>
        <w:t xml:space="preserve">the proposed joint venture </w:t>
      </w:r>
      <w:r w:rsidR="009005A6">
        <w:rPr>
          <w:sz w:val="24"/>
          <w:szCs w:val="24"/>
        </w:rPr>
        <w:t xml:space="preserve">proceed to consummation, the terms of Penguin’s settlement will apply to </w:t>
      </w:r>
      <w:r w:rsidR="00F04F0B">
        <w:rPr>
          <w:sz w:val="24"/>
          <w:szCs w:val="24"/>
        </w:rPr>
        <w:t>it</w:t>
      </w:r>
      <w:r w:rsidR="009005A6">
        <w:rPr>
          <w:sz w:val="24"/>
          <w:szCs w:val="24"/>
        </w:rPr>
        <w:t>.</w:t>
      </w:r>
      <w:r>
        <w:rPr>
          <w:sz w:val="24"/>
          <w:szCs w:val="24"/>
        </w:rPr>
        <w:t xml:space="preserve">  </w:t>
      </w:r>
    </w:p>
    <w:p w:rsidR="00F13C22" w:rsidRDefault="00F13C22" w:rsidP="00F13C22">
      <w:pPr>
        <w:rPr>
          <w:sz w:val="24"/>
          <w:szCs w:val="24"/>
        </w:rPr>
      </w:pPr>
    </w:p>
    <w:p w:rsidR="00F13C22" w:rsidRDefault="00F13C22" w:rsidP="00F13C22">
      <w:pPr>
        <w:ind w:firstLine="720"/>
        <w:rPr>
          <w:sz w:val="24"/>
          <w:szCs w:val="24"/>
        </w:rPr>
      </w:pPr>
      <w:r>
        <w:rPr>
          <w:sz w:val="24"/>
          <w:szCs w:val="24"/>
        </w:rPr>
        <w:t>Penguin Group (USA) Inc. has its principal place of business in New York City.  It publishes e-books and print books through publishers such as The Viking press and Gotham Books.  Penguin Group (USA) Inc. is the U.S. subsidiary of The Penguin Group, a division of Pearson plc, which has its principal place of business in London.</w:t>
      </w:r>
    </w:p>
    <w:p w:rsidR="00F13C22" w:rsidRDefault="00F13C22" w:rsidP="00F13C22">
      <w:pPr>
        <w:rPr>
          <w:sz w:val="24"/>
          <w:szCs w:val="24"/>
        </w:rPr>
      </w:pPr>
      <w:r>
        <w:rPr>
          <w:sz w:val="24"/>
          <w:szCs w:val="24"/>
        </w:rPr>
        <w:tab/>
      </w:r>
    </w:p>
    <w:p w:rsidR="00D71DE7" w:rsidRDefault="00DA30F3" w:rsidP="00F13C22">
      <w:pPr>
        <w:ind w:firstLine="720"/>
        <w:rPr>
          <w:sz w:val="24"/>
          <w:szCs w:val="24"/>
        </w:rPr>
      </w:pPr>
      <w:r>
        <w:rPr>
          <w:sz w:val="24"/>
          <w:szCs w:val="24"/>
        </w:rPr>
        <w:t xml:space="preserve">Hachette Book Group USA has its principal place of business in New York City.  It publishes e-books and print books through its publishers such as Little, Brown and Company and Grand Central Publishing.  </w:t>
      </w:r>
    </w:p>
    <w:p w:rsidR="00D71DE7" w:rsidRDefault="00D71DE7" w:rsidP="00DA30F3">
      <w:pPr>
        <w:rPr>
          <w:sz w:val="24"/>
          <w:szCs w:val="24"/>
        </w:rPr>
      </w:pPr>
    </w:p>
    <w:p w:rsidR="00DA30F3" w:rsidRDefault="00DA30F3" w:rsidP="00DA30F3">
      <w:pPr>
        <w:rPr>
          <w:sz w:val="24"/>
          <w:szCs w:val="24"/>
        </w:rPr>
      </w:pPr>
      <w:r>
        <w:rPr>
          <w:sz w:val="24"/>
          <w:szCs w:val="24"/>
        </w:rPr>
        <w:tab/>
        <w:t>HarperCollins Publishers, L</w:t>
      </w:r>
      <w:r w:rsidR="00E905AF">
        <w:rPr>
          <w:sz w:val="24"/>
          <w:szCs w:val="24"/>
        </w:rPr>
        <w:t>.</w:t>
      </w:r>
      <w:r>
        <w:rPr>
          <w:sz w:val="24"/>
          <w:szCs w:val="24"/>
        </w:rPr>
        <w:t>L</w:t>
      </w:r>
      <w:r w:rsidR="00E905AF">
        <w:rPr>
          <w:sz w:val="24"/>
          <w:szCs w:val="24"/>
        </w:rPr>
        <w:t>.</w:t>
      </w:r>
      <w:r>
        <w:rPr>
          <w:sz w:val="24"/>
          <w:szCs w:val="24"/>
        </w:rPr>
        <w:t>C</w:t>
      </w:r>
      <w:r w:rsidR="00E905AF">
        <w:rPr>
          <w:sz w:val="24"/>
          <w:szCs w:val="24"/>
        </w:rPr>
        <w:t>.</w:t>
      </w:r>
      <w:r>
        <w:rPr>
          <w:sz w:val="24"/>
          <w:szCs w:val="24"/>
        </w:rPr>
        <w:t xml:space="preserve"> has its principal place of business in New York City.  It publishes e-books and print books through publishers such as Harper and William Morrow.</w:t>
      </w:r>
    </w:p>
    <w:p w:rsidR="00DA30F3" w:rsidRDefault="00DA30F3" w:rsidP="00DA30F3">
      <w:pPr>
        <w:rPr>
          <w:sz w:val="24"/>
          <w:szCs w:val="24"/>
        </w:rPr>
      </w:pPr>
    </w:p>
    <w:p w:rsidR="005A70FC" w:rsidRDefault="00DA30F3" w:rsidP="005A70FC">
      <w:pPr>
        <w:rPr>
          <w:sz w:val="24"/>
          <w:szCs w:val="24"/>
        </w:rPr>
      </w:pPr>
      <w:r>
        <w:rPr>
          <w:sz w:val="24"/>
          <w:szCs w:val="24"/>
        </w:rPr>
        <w:tab/>
      </w:r>
      <w:r w:rsidR="005A70FC">
        <w:rPr>
          <w:sz w:val="24"/>
          <w:szCs w:val="24"/>
        </w:rPr>
        <w:t>Macmillan has its principal place of business in New York City.  It publishes e-books and print books through publishers such as Farrar, Straus and Giroux, and St. Martin’s Press.</w:t>
      </w:r>
    </w:p>
    <w:p w:rsidR="005A70FC" w:rsidRDefault="00E905AF" w:rsidP="00DA30F3">
      <w:pPr>
        <w:rPr>
          <w:sz w:val="24"/>
          <w:szCs w:val="24"/>
        </w:rPr>
      </w:pPr>
      <w:proofErr w:type="spellStart"/>
      <w:r>
        <w:rPr>
          <w:sz w:val="24"/>
          <w:szCs w:val="24"/>
        </w:rPr>
        <w:t>Verlagsgruppe</w:t>
      </w:r>
      <w:proofErr w:type="spellEnd"/>
      <w:r>
        <w:rPr>
          <w:sz w:val="24"/>
          <w:szCs w:val="24"/>
        </w:rPr>
        <w:t xml:space="preserve"> Georg von </w:t>
      </w:r>
      <w:r w:rsidR="00DA30F3">
        <w:rPr>
          <w:sz w:val="24"/>
          <w:szCs w:val="24"/>
        </w:rPr>
        <w:t xml:space="preserve">Holtzbrinck </w:t>
      </w:r>
      <w:r>
        <w:rPr>
          <w:sz w:val="24"/>
          <w:szCs w:val="24"/>
        </w:rPr>
        <w:t xml:space="preserve">GmbH </w:t>
      </w:r>
      <w:r w:rsidR="005A70FC">
        <w:rPr>
          <w:sz w:val="24"/>
          <w:szCs w:val="24"/>
        </w:rPr>
        <w:t xml:space="preserve">owns </w:t>
      </w:r>
      <w:r w:rsidR="00194BA5">
        <w:rPr>
          <w:sz w:val="24"/>
          <w:szCs w:val="24"/>
        </w:rPr>
        <w:t xml:space="preserve">Holtzbrinck Publishers LLC, which does business as </w:t>
      </w:r>
      <w:r w:rsidR="005A70FC">
        <w:rPr>
          <w:sz w:val="24"/>
          <w:szCs w:val="24"/>
        </w:rPr>
        <w:t>Macmillan</w:t>
      </w:r>
      <w:r w:rsidR="00194BA5">
        <w:rPr>
          <w:sz w:val="24"/>
          <w:szCs w:val="24"/>
        </w:rPr>
        <w:t>,</w:t>
      </w:r>
      <w:r w:rsidR="005A70FC">
        <w:rPr>
          <w:sz w:val="24"/>
          <w:szCs w:val="24"/>
        </w:rPr>
        <w:t xml:space="preserve"> and has its principal place of business in Stuttgart, Germany. </w:t>
      </w:r>
    </w:p>
    <w:p w:rsidR="00DA30F3" w:rsidRDefault="00DA30F3" w:rsidP="00F13C22">
      <w:pPr>
        <w:rPr>
          <w:sz w:val="24"/>
          <w:szCs w:val="24"/>
        </w:rPr>
      </w:pPr>
    </w:p>
    <w:p w:rsidR="00DA30F3" w:rsidRDefault="00DA30F3" w:rsidP="00DA30F3">
      <w:pPr>
        <w:rPr>
          <w:sz w:val="24"/>
          <w:szCs w:val="24"/>
        </w:rPr>
      </w:pPr>
      <w:r>
        <w:rPr>
          <w:sz w:val="24"/>
          <w:szCs w:val="24"/>
        </w:rPr>
        <w:tab/>
        <w:t>Simon &amp; Schuster Inc. has its principal place of business in New York City.  It publishes e-books and print books through publishers such as Free Press and Touchstone.</w:t>
      </w:r>
    </w:p>
    <w:p w:rsidR="00DA30F3" w:rsidRDefault="00DA30F3" w:rsidP="00DA30F3">
      <w:pPr>
        <w:rPr>
          <w:sz w:val="24"/>
          <w:szCs w:val="24"/>
        </w:rPr>
      </w:pPr>
    </w:p>
    <w:p w:rsidR="008008E8" w:rsidRDefault="00DA30F3" w:rsidP="00DA30F3">
      <w:pPr>
        <w:rPr>
          <w:sz w:val="24"/>
          <w:szCs w:val="24"/>
        </w:rPr>
      </w:pPr>
      <w:r>
        <w:rPr>
          <w:sz w:val="24"/>
          <w:szCs w:val="24"/>
        </w:rPr>
        <w:tab/>
        <w:t xml:space="preserve">Apple Inc. has its principal place of business in Cupertino, Calif.  Among many other businesses, Apple distributes e-books through its </w:t>
      </w:r>
      <w:proofErr w:type="spellStart"/>
      <w:r>
        <w:rPr>
          <w:sz w:val="24"/>
          <w:szCs w:val="24"/>
        </w:rPr>
        <w:t>iBookstore</w:t>
      </w:r>
      <w:proofErr w:type="spellEnd"/>
      <w:r>
        <w:rPr>
          <w:sz w:val="24"/>
          <w:szCs w:val="24"/>
        </w:rPr>
        <w:t>.</w:t>
      </w:r>
    </w:p>
    <w:p w:rsidR="008008E8" w:rsidRDefault="008008E8" w:rsidP="00DA30F3">
      <w:pPr>
        <w:rPr>
          <w:sz w:val="24"/>
          <w:szCs w:val="24"/>
        </w:rPr>
      </w:pPr>
    </w:p>
    <w:p w:rsidR="00DA30F3" w:rsidRDefault="00DA30F3" w:rsidP="00DA30F3">
      <w:pPr>
        <w:rPr>
          <w:sz w:val="24"/>
          <w:szCs w:val="24"/>
        </w:rPr>
      </w:pPr>
      <w:r>
        <w:rPr>
          <w:sz w:val="24"/>
          <w:szCs w:val="24"/>
        </w:rPr>
        <w:tab/>
        <w:t>The proposed settlement, along with the department’s competitive impact statement, will be published in the Federal Register</w:t>
      </w:r>
      <w:r w:rsidR="00ED3A0B">
        <w:rPr>
          <w:sz w:val="24"/>
          <w:szCs w:val="24"/>
        </w:rPr>
        <w:t>, consistent with the requirements of</w:t>
      </w:r>
      <w:r>
        <w:rPr>
          <w:sz w:val="24"/>
          <w:szCs w:val="24"/>
        </w:rPr>
        <w:t xml:space="preserve"> the Antitrust Procedures and Penalties Act.</w:t>
      </w:r>
      <w:r w:rsidR="00E22C27">
        <w:rPr>
          <w:sz w:val="24"/>
          <w:szCs w:val="24"/>
        </w:rPr>
        <w:t xml:space="preserve"> </w:t>
      </w:r>
      <w:r>
        <w:rPr>
          <w:sz w:val="24"/>
          <w:szCs w:val="24"/>
        </w:rPr>
        <w:t xml:space="preserve"> Any person may submit written comments concerning the proposed </w:t>
      </w:r>
      <w:r>
        <w:rPr>
          <w:sz w:val="24"/>
          <w:szCs w:val="24"/>
        </w:rPr>
        <w:lastRenderedPageBreak/>
        <w:t>settlement within 60-days of its publication to John R. Read, Chief, Litigation III Section, Antitrust Division, U.S. Department of Justice, 450 Fifth Street, NW, 4</w:t>
      </w:r>
      <w:r>
        <w:rPr>
          <w:sz w:val="24"/>
          <w:szCs w:val="24"/>
          <w:vertAlign w:val="superscript"/>
        </w:rPr>
        <w:t>th</w:t>
      </w:r>
      <w:r>
        <w:rPr>
          <w:sz w:val="24"/>
          <w:szCs w:val="24"/>
        </w:rPr>
        <w:t xml:space="preserve"> Floor, Washington, DC 20530.</w:t>
      </w:r>
      <w:r w:rsidR="00E22C27">
        <w:rPr>
          <w:sz w:val="24"/>
          <w:szCs w:val="24"/>
        </w:rPr>
        <w:t xml:space="preserve"> </w:t>
      </w:r>
      <w:r>
        <w:rPr>
          <w:sz w:val="24"/>
          <w:szCs w:val="24"/>
        </w:rPr>
        <w:t xml:space="preserve"> </w:t>
      </w:r>
      <w:r w:rsidR="00ED3A0B">
        <w:rPr>
          <w:sz w:val="24"/>
          <w:szCs w:val="24"/>
        </w:rPr>
        <w:t xml:space="preserve">These comments </w:t>
      </w:r>
      <w:r w:rsidR="001E72CE">
        <w:rPr>
          <w:sz w:val="24"/>
          <w:szCs w:val="24"/>
        </w:rPr>
        <w:t xml:space="preserve">will be published either in the Federal Register or, with the permission of the Court, will be posted electronically on the department’s website.  </w:t>
      </w:r>
      <w:r>
        <w:rPr>
          <w:sz w:val="24"/>
          <w:szCs w:val="24"/>
        </w:rPr>
        <w:t>At the conclusion of the 60-day comment period, the court may enter the final judgment upon a finding that it serves the public interest.</w:t>
      </w:r>
    </w:p>
    <w:p w:rsidR="00DA30F3" w:rsidRDefault="00DA30F3" w:rsidP="00DA30F3">
      <w:pPr>
        <w:rPr>
          <w:sz w:val="24"/>
          <w:szCs w:val="24"/>
        </w:rPr>
      </w:pPr>
      <w:r>
        <w:rPr>
          <w:sz w:val="24"/>
          <w:szCs w:val="24"/>
        </w:rPr>
        <w:tab/>
      </w:r>
    </w:p>
    <w:p w:rsidR="00DA30F3" w:rsidRDefault="00DA30F3" w:rsidP="00DA30F3">
      <w:pPr>
        <w:jc w:val="center"/>
        <w:rPr>
          <w:sz w:val="24"/>
          <w:szCs w:val="24"/>
        </w:rPr>
      </w:pPr>
      <w:r>
        <w:rPr>
          <w:sz w:val="24"/>
          <w:szCs w:val="24"/>
        </w:rPr>
        <w:t>###</w:t>
      </w:r>
    </w:p>
    <w:p w:rsidR="00DA30F3" w:rsidRDefault="00DA30F3" w:rsidP="00DA30F3"/>
    <w:p w:rsidR="00D46BD1" w:rsidRDefault="00CF18C2">
      <w:r>
        <w:rPr>
          <w:sz w:val="24"/>
          <w:szCs w:val="24"/>
        </w:rPr>
        <w:t>12-</w:t>
      </w:r>
      <w:r w:rsidR="008E05D7">
        <w:rPr>
          <w:sz w:val="24"/>
          <w:szCs w:val="24"/>
        </w:rPr>
        <w:t>151</w:t>
      </w:r>
      <w:r w:rsidR="00961841">
        <w:rPr>
          <w:sz w:val="24"/>
          <w:szCs w:val="24"/>
        </w:rPr>
        <w:t>4</w:t>
      </w:r>
    </w:p>
    <w:sectPr w:rsidR="00D46BD1" w:rsidSect="00E905AF">
      <w:footerReference w:type="default" r:id="rId11"/>
      <w:pgSz w:w="12240" w:h="15840"/>
      <w:pgMar w:top="1440" w:right="1440" w:bottom="1440" w:left="1440" w:header="1440" w:footer="1440"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05D7" w:rsidRDefault="008E05D7" w:rsidP="00A075E6">
      <w:r>
        <w:separator/>
      </w:r>
    </w:p>
  </w:endnote>
  <w:endnote w:type="continuationSeparator" w:id="0">
    <w:p w:rsidR="008E05D7" w:rsidRDefault="008E05D7" w:rsidP="00A07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827126"/>
      <w:docPartObj>
        <w:docPartGallery w:val="Page Numbers (Bottom of Page)"/>
        <w:docPartUnique/>
      </w:docPartObj>
    </w:sdtPr>
    <w:sdtContent>
      <w:p w:rsidR="008E05D7" w:rsidRDefault="008E05D7">
        <w:pPr>
          <w:pStyle w:val="Footer"/>
          <w:jc w:val="center"/>
        </w:pPr>
        <w:fldSimple w:instr=" PAGE   \* MERGEFORMAT ">
          <w:r w:rsidR="00961841">
            <w:rPr>
              <w:noProof/>
            </w:rPr>
            <w:t>2</w:t>
          </w:r>
        </w:fldSimple>
      </w:p>
    </w:sdtContent>
  </w:sdt>
  <w:p w:rsidR="008E05D7" w:rsidRDefault="008E05D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05D7" w:rsidRDefault="008E05D7" w:rsidP="00A075E6">
      <w:r>
        <w:separator/>
      </w:r>
    </w:p>
  </w:footnote>
  <w:footnote w:type="continuationSeparator" w:id="0">
    <w:p w:rsidR="008E05D7" w:rsidRDefault="008E05D7" w:rsidP="00A07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DA1E2A"/>
    <w:multiLevelType w:val="hybridMultilevel"/>
    <w:tmpl w:val="12A6E01C"/>
    <w:lvl w:ilvl="0" w:tplc="EF08903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A30F3"/>
    <w:rsid w:val="000025BE"/>
    <w:rsid w:val="0004206B"/>
    <w:rsid w:val="00045622"/>
    <w:rsid w:val="0005731D"/>
    <w:rsid w:val="0006509C"/>
    <w:rsid w:val="0007153D"/>
    <w:rsid w:val="0007268C"/>
    <w:rsid w:val="000736A2"/>
    <w:rsid w:val="00075CA5"/>
    <w:rsid w:val="000A6677"/>
    <w:rsid w:val="000B5CB4"/>
    <w:rsid w:val="000F04E2"/>
    <w:rsid w:val="000F4680"/>
    <w:rsid w:val="001556BD"/>
    <w:rsid w:val="001617F3"/>
    <w:rsid w:val="00194BA5"/>
    <w:rsid w:val="001D171F"/>
    <w:rsid w:val="001D4EFC"/>
    <w:rsid w:val="001E72CE"/>
    <w:rsid w:val="00216483"/>
    <w:rsid w:val="002868DE"/>
    <w:rsid w:val="00305D7C"/>
    <w:rsid w:val="003151F8"/>
    <w:rsid w:val="00317B64"/>
    <w:rsid w:val="00332CFE"/>
    <w:rsid w:val="0033766B"/>
    <w:rsid w:val="00357004"/>
    <w:rsid w:val="00375EF5"/>
    <w:rsid w:val="00381A3E"/>
    <w:rsid w:val="00384BA4"/>
    <w:rsid w:val="00384EE1"/>
    <w:rsid w:val="00390332"/>
    <w:rsid w:val="003A7AB5"/>
    <w:rsid w:val="003B475F"/>
    <w:rsid w:val="003D62F1"/>
    <w:rsid w:val="003D7A20"/>
    <w:rsid w:val="00417ABB"/>
    <w:rsid w:val="0042680C"/>
    <w:rsid w:val="00471052"/>
    <w:rsid w:val="004730EF"/>
    <w:rsid w:val="00476205"/>
    <w:rsid w:val="004933C6"/>
    <w:rsid w:val="004E22E4"/>
    <w:rsid w:val="004F4741"/>
    <w:rsid w:val="00534AF7"/>
    <w:rsid w:val="00541E47"/>
    <w:rsid w:val="00544B99"/>
    <w:rsid w:val="00570261"/>
    <w:rsid w:val="0057396B"/>
    <w:rsid w:val="0059727E"/>
    <w:rsid w:val="005A70FC"/>
    <w:rsid w:val="005B7B46"/>
    <w:rsid w:val="005D3AD3"/>
    <w:rsid w:val="005D6A4C"/>
    <w:rsid w:val="0062055C"/>
    <w:rsid w:val="00622D5A"/>
    <w:rsid w:val="00646C8B"/>
    <w:rsid w:val="006703B8"/>
    <w:rsid w:val="006832E7"/>
    <w:rsid w:val="006A47AF"/>
    <w:rsid w:val="00711364"/>
    <w:rsid w:val="00721B77"/>
    <w:rsid w:val="00745557"/>
    <w:rsid w:val="007627CD"/>
    <w:rsid w:val="007956D5"/>
    <w:rsid w:val="0079706F"/>
    <w:rsid w:val="00797F88"/>
    <w:rsid w:val="007C494A"/>
    <w:rsid w:val="007E0669"/>
    <w:rsid w:val="007E397F"/>
    <w:rsid w:val="008008E8"/>
    <w:rsid w:val="00806FA7"/>
    <w:rsid w:val="00832652"/>
    <w:rsid w:val="0085452F"/>
    <w:rsid w:val="00861469"/>
    <w:rsid w:val="008621C6"/>
    <w:rsid w:val="0087201E"/>
    <w:rsid w:val="00876500"/>
    <w:rsid w:val="00885EF8"/>
    <w:rsid w:val="00896C78"/>
    <w:rsid w:val="008A3C8B"/>
    <w:rsid w:val="008B754C"/>
    <w:rsid w:val="008E05D7"/>
    <w:rsid w:val="008E2AF7"/>
    <w:rsid w:val="008E320D"/>
    <w:rsid w:val="008F640D"/>
    <w:rsid w:val="009005A6"/>
    <w:rsid w:val="0096005D"/>
    <w:rsid w:val="00961841"/>
    <w:rsid w:val="00973C05"/>
    <w:rsid w:val="0099394F"/>
    <w:rsid w:val="00997FD3"/>
    <w:rsid w:val="009B360E"/>
    <w:rsid w:val="009B7294"/>
    <w:rsid w:val="009D53BC"/>
    <w:rsid w:val="009E4285"/>
    <w:rsid w:val="00A075E6"/>
    <w:rsid w:val="00A11951"/>
    <w:rsid w:val="00A15589"/>
    <w:rsid w:val="00A17952"/>
    <w:rsid w:val="00A21B60"/>
    <w:rsid w:val="00A42BF3"/>
    <w:rsid w:val="00A6037C"/>
    <w:rsid w:val="00A7219E"/>
    <w:rsid w:val="00AA5AB6"/>
    <w:rsid w:val="00AB2D1A"/>
    <w:rsid w:val="00AB6180"/>
    <w:rsid w:val="00AD4771"/>
    <w:rsid w:val="00AE7873"/>
    <w:rsid w:val="00B32990"/>
    <w:rsid w:val="00B33744"/>
    <w:rsid w:val="00B35CCE"/>
    <w:rsid w:val="00B4791C"/>
    <w:rsid w:val="00B8284A"/>
    <w:rsid w:val="00BB1ED3"/>
    <w:rsid w:val="00BC1AE2"/>
    <w:rsid w:val="00BD6106"/>
    <w:rsid w:val="00BF4BFB"/>
    <w:rsid w:val="00C00B45"/>
    <w:rsid w:val="00C258FC"/>
    <w:rsid w:val="00C42444"/>
    <w:rsid w:val="00C617FB"/>
    <w:rsid w:val="00CA7A99"/>
    <w:rsid w:val="00CE3FBC"/>
    <w:rsid w:val="00CF18C2"/>
    <w:rsid w:val="00CF73F3"/>
    <w:rsid w:val="00D015D7"/>
    <w:rsid w:val="00D12891"/>
    <w:rsid w:val="00D46BD1"/>
    <w:rsid w:val="00D62C2E"/>
    <w:rsid w:val="00D71BDA"/>
    <w:rsid w:val="00D71DE7"/>
    <w:rsid w:val="00DA30F3"/>
    <w:rsid w:val="00DC2E7C"/>
    <w:rsid w:val="00DD216C"/>
    <w:rsid w:val="00DE67A7"/>
    <w:rsid w:val="00DF34E3"/>
    <w:rsid w:val="00E22C27"/>
    <w:rsid w:val="00E5484B"/>
    <w:rsid w:val="00E67EAC"/>
    <w:rsid w:val="00E7647F"/>
    <w:rsid w:val="00E905AF"/>
    <w:rsid w:val="00EA0279"/>
    <w:rsid w:val="00EB3BB1"/>
    <w:rsid w:val="00EB76E9"/>
    <w:rsid w:val="00EC2966"/>
    <w:rsid w:val="00EC5F9F"/>
    <w:rsid w:val="00ED266C"/>
    <w:rsid w:val="00ED3A0B"/>
    <w:rsid w:val="00ED4010"/>
    <w:rsid w:val="00ED619C"/>
    <w:rsid w:val="00EE7B93"/>
    <w:rsid w:val="00EF7199"/>
    <w:rsid w:val="00F04F0B"/>
    <w:rsid w:val="00F07334"/>
    <w:rsid w:val="00F13C22"/>
    <w:rsid w:val="00F159C8"/>
    <w:rsid w:val="00F251F9"/>
    <w:rsid w:val="00F476C2"/>
    <w:rsid w:val="00FA5036"/>
    <w:rsid w:val="00FB6C52"/>
    <w:rsid w:val="00FC2C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0F3"/>
    <w:pPr>
      <w:autoSpaceDE w:val="0"/>
      <w:autoSpaceDN w:val="0"/>
      <w:adjustRightInd w:val="0"/>
      <w:spacing w:after="0" w:line="240" w:lineRule="auto"/>
    </w:pPr>
    <w:rPr>
      <w:rFonts w:ascii="Times New Roman" w:eastAsia="Times New Roman" w:hAnsi="Times New Roman" w:cs="Times New Roman"/>
      <w:sz w:val="20"/>
      <w:szCs w:val="20"/>
      <w:lang w:bidi="ar-SA"/>
    </w:rPr>
  </w:style>
  <w:style w:type="paragraph" w:styleId="Heading1">
    <w:name w:val="heading 1"/>
    <w:basedOn w:val="Normal"/>
    <w:next w:val="Normal"/>
    <w:link w:val="Heading1Char"/>
    <w:uiPriority w:val="9"/>
    <w:qFormat/>
    <w:rsid w:val="00CA7A99"/>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CA7A99"/>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CA7A99"/>
    <w:pPr>
      <w:spacing w:before="200" w:line="271"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CA7A99"/>
    <w:pPr>
      <w:spacing w:before="20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CA7A99"/>
    <w:pPr>
      <w:spacing w:before="200"/>
      <w:outlineLvl w:val="4"/>
    </w:pPr>
    <w:rPr>
      <w:rFonts w:asciiTheme="majorHAnsi" w:eastAsiaTheme="majorEastAsia" w:hAnsiTheme="majorHAnsi" w:cstheme="majorBidi"/>
      <w:b/>
      <w:bCs/>
      <w:color w:val="7F7F7F" w:themeColor="text1" w:themeTint="80"/>
      <w:sz w:val="22"/>
    </w:rPr>
  </w:style>
  <w:style w:type="paragraph" w:styleId="Heading6">
    <w:name w:val="heading 6"/>
    <w:basedOn w:val="Normal"/>
    <w:next w:val="Normal"/>
    <w:link w:val="Heading6Char"/>
    <w:uiPriority w:val="9"/>
    <w:semiHidden/>
    <w:unhideWhenUsed/>
    <w:qFormat/>
    <w:rsid w:val="00CA7A99"/>
    <w:pPr>
      <w:spacing w:line="271" w:lineRule="auto"/>
      <w:outlineLvl w:val="5"/>
    </w:pPr>
    <w:rPr>
      <w:rFonts w:asciiTheme="majorHAnsi" w:eastAsiaTheme="majorEastAsia" w:hAnsiTheme="majorHAnsi" w:cstheme="majorBidi"/>
      <w:b/>
      <w:bCs/>
      <w:i/>
      <w:iCs/>
      <w:color w:val="7F7F7F" w:themeColor="text1" w:themeTint="80"/>
      <w:sz w:val="22"/>
    </w:rPr>
  </w:style>
  <w:style w:type="paragraph" w:styleId="Heading7">
    <w:name w:val="heading 7"/>
    <w:basedOn w:val="Normal"/>
    <w:next w:val="Normal"/>
    <w:link w:val="Heading7Char"/>
    <w:uiPriority w:val="9"/>
    <w:semiHidden/>
    <w:unhideWhenUsed/>
    <w:qFormat/>
    <w:rsid w:val="00CA7A99"/>
    <w:pPr>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semiHidden/>
    <w:unhideWhenUsed/>
    <w:qFormat/>
    <w:rsid w:val="00CA7A99"/>
    <w:pPr>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CA7A99"/>
    <w:pPr>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A9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CA7A9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A7A99"/>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CA7A9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A7A9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A7A9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A7A9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A7A9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A7A99"/>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CA7A99"/>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A7A99"/>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A7A99"/>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CA7A99"/>
    <w:rPr>
      <w:rFonts w:asciiTheme="majorHAnsi" w:eastAsiaTheme="majorEastAsia" w:hAnsiTheme="majorHAnsi" w:cstheme="majorBidi"/>
      <w:i/>
      <w:iCs/>
      <w:spacing w:val="13"/>
      <w:sz w:val="24"/>
      <w:szCs w:val="24"/>
    </w:rPr>
  </w:style>
  <w:style w:type="character" w:styleId="Strong">
    <w:name w:val="Strong"/>
    <w:uiPriority w:val="22"/>
    <w:qFormat/>
    <w:rsid w:val="00CA7A99"/>
    <w:rPr>
      <w:b/>
      <w:bCs/>
    </w:rPr>
  </w:style>
  <w:style w:type="character" w:styleId="Emphasis">
    <w:name w:val="Emphasis"/>
    <w:uiPriority w:val="20"/>
    <w:qFormat/>
    <w:rsid w:val="00CA7A99"/>
    <w:rPr>
      <w:b/>
      <w:bCs/>
      <w:i/>
      <w:iCs/>
      <w:spacing w:val="10"/>
      <w:bdr w:val="none" w:sz="0" w:space="0" w:color="auto"/>
      <w:shd w:val="clear" w:color="auto" w:fill="auto"/>
    </w:rPr>
  </w:style>
  <w:style w:type="paragraph" w:styleId="NoSpacing">
    <w:name w:val="No Spacing"/>
    <w:basedOn w:val="Normal"/>
    <w:uiPriority w:val="1"/>
    <w:qFormat/>
    <w:rsid w:val="00CA7A99"/>
  </w:style>
  <w:style w:type="paragraph" w:styleId="ListParagraph">
    <w:name w:val="List Paragraph"/>
    <w:basedOn w:val="Normal"/>
    <w:uiPriority w:val="34"/>
    <w:qFormat/>
    <w:rsid w:val="00CA7A99"/>
    <w:pPr>
      <w:ind w:left="720"/>
      <w:contextualSpacing/>
    </w:pPr>
  </w:style>
  <w:style w:type="paragraph" w:styleId="Quote">
    <w:name w:val="Quote"/>
    <w:basedOn w:val="Normal"/>
    <w:next w:val="Normal"/>
    <w:link w:val="QuoteChar"/>
    <w:uiPriority w:val="29"/>
    <w:qFormat/>
    <w:rsid w:val="00CA7A99"/>
    <w:pPr>
      <w:spacing w:before="200"/>
      <w:ind w:left="360" w:right="360"/>
    </w:pPr>
    <w:rPr>
      <w:i/>
      <w:iCs/>
      <w:sz w:val="22"/>
    </w:rPr>
  </w:style>
  <w:style w:type="character" w:customStyle="1" w:styleId="QuoteChar">
    <w:name w:val="Quote Char"/>
    <w:basedOn w:val="DefaultParagraphFont"/>
    <w:link w:val="Quote"/>
    <w:uiPriority w:val="29"/>
    <w:rsid w:val="00CA7A99"/>
    <w:rPr>
      <w:i/>
      <w:iCs/>
    </w:rPr>
  </w:style>
  <w:style w:type="paragraph" w:styleId="IntenseQuote">
    <w:name w:val="Intense Quote"/>
    <w:basedOn w:val="Normal"/>
    <w:next w:val="Normal"/>
    <w:link w:val="IntenseQuoteChar"/>
    <w:uiPriority w:val="30"/>
    <w:qFormat/>
    <w:rsid w:val="00CA7A99"/>
    <w:pPr>
      <w:pBdr>
        <w:bottom w:val="single" w:sz="4" w:space="1" w:color="auto"/>
      </w:pBdr>
      <w:spacing w:before="200" w:after="280"/>
      <w:ind w:left="1008" w:right="1152"/>
      <w:jc w:val="both"/>
    </w:pPr>
    <w:rPr>
      <w:b/>
      <w:bCs/>
      <w:i/>
      <w:iCs/>
      <w:sz w:val="22"/>
    </w:rPr>
  </w:style>
  <w:style w:type="character" w:customStyle="1" w:styleId="IntenseQuoteChar">
    <w:name w:val="Intense Quote Char"/>
    <w:basedOn w:val="DefaultParagraphFont"/>
    <w:link w:val="IntenseQuote"/>
    <w:uiPriority w:val="30"/>
    <w:rsid w:val="00CA7A99"/>
    <w:rPr>
      <w:b/>
      <w:bCs/>
      <w:i/>
      <w:iCs/>
    </w:rPr>
  </w:style>
  <w:style w:type="character" w:styleId="SubtleEmphasis">
    <w:name w:val="Subtle Emphasis"/>
    <w:uiPriority w:val="19"/>
    <w:qFormat/>
    <w:rsid w:val="00CA7A99"/>
    <w:rPr>
      <w:i/>
      <w:iCs/>
    </w:rPr>
  </w:style>
  <w:style w:type="character" w:styleId="IntenseEmphasis">
    <w:name w:val="Intense Emphasis"/>
    <w:uiPriority w:val="21"/>
    <w:qFormat/>
    <w:rsid w:val="00CA7A99"/>
    <w:rPr>
      <w:b/>
      <w:bCs/>
    </w:rPr>
  </w:style>
  <w:style w:type="character" w:styleId="SubtleReference">
    <w:name w:val="Subtle Reference"/>
    <w:uiPriority w:val="31"/>
    <w:qFormat/>
    <w:rsid w:val="00CA7A99"/>
    <w:rPr>
      <w:smallCaps/>
    </w:rPr>
  </w:style>
  <w:style w:type="character" w:styleId="IntenseReference">
    <w:name w:val="Intense Reference"/>
    <w:uiPriority w:val="32"/>
    <w:qFormat/>
    <w:rsid w:val="00CA7A99"/>
    <w:rPr>
      <w:smallCaps/>
      <w:spacing w:val="5"/>
      <w:u w:val="single"/>
    </w:rPr>
  </w:style>
  <w:style w:type="character" w:styleId="BookTitle">
    <w:name w:val="Book Title"/>
    <w:uiPriority w:val="33"/>
    <w:qFormat/>
    <w:rsid w:val="00CA7A99"/>
    <w:rPr>
      <w:i/>
      <w:iCs/>
      <w:smallCaps/>
      <w:spacing w:val="5"/>
    </w:rPr>
  </w:style>
  <w:style w:type="paragraph" w:styleId="TOCHeading">
    <w:name w:val="TOC Heading"/>
    <w:basedOn w:val="Heading1"/>
    <w:next w:val="Normal"/>
    <w:uiPriority w:val="39"/>
    <w:semiHidden/>
    <w:unhideWhenUsed/>
    <w:qFormat/>
    <w:rsid w:val="00CA7A99"/>
    <w:pPr>
      <w:outlineLvl w:val="9"/>
    </w:pPr>
  </w:style>
  <w:style w:type="paragraph" w:styleId="Header">
    <w:name w:val="header"/>
    <w:basedOn w:val="Normal"/>
    <w:link w:val="HeaderChar"/>
    <w:uiPriority w:val="99"/>
    <w:semiHidden/>
    <w:unhideWhenUsed/>
    <w:rsid w:val="00DA30F3"/>
    <w:pPr>
      <w:tabs>
        <w:tab w:val="center" w:pos="4680"/>
        <w:tab w:val="right" w:pos="9360"/>
      </w:tabs>
    </w:pPr>
  </w:style>
  <w:style w:type="character" w:customStyle="1" w:styleId="HeaderChar">
    <w:name w:val="Header Char"/>
    <w:basedOn w:val="DefaultParagraphFont"/>
    <w:link w:val="Header"/>
    <w:uiPriority w:val="99"/>
    <w:semiHidden/>
    <w:rsid w:val="00DA30F3"/>
    <w:rPr>
      <w:rFonts w:ascii="Times New Roman" w:eastAsia="Times New Roman" w:hAnsi="Times New Roman" w:cs="Times New Roman"/>
      <w:sz w:val="20"/>
      <w:szCs w:val="20"/>
      <w:lang w:bidi="ar-SA"/>
    </w:rPr>
  </w:style>
  <w:style w:type="paragraph" w:styleId="Footer">
    <w:name w:val="footer"/>
    <w:basedOn w:val="Normal"/>
    <w:link w:val="FooterChar"/>
    <w:uiPriority w:val="99"/>
    <w:unhideWhenUsed/>
    <w:rsid w:val="00DA30F3"/>
    <w:pPr>
      <w:tabs>
        <w:tab w:val="center" w:pos="4680"/>
        <w:tab w:val="right" w:pos="9360"/>
      </w:tabs>
    </w:pPr>
  </w:style>
  <w:style w:type="character" w:customStyle="1" w:styleId="FooterChar">
    <w:name w:val="Footer Char"/>
    <w:basedOn w:val="DefaultParagraphFont"/>
    <w:link w:val="Footer"/>
    <w:uiPriority w:val="99"/>
    <w:rsid w:val="00DA30F3"/>
    <w:rPr>
      <w:rFonts w:ascii="Times New Roman" w:eastAsia="Times New Roman" w:hAnsi="Times New Roman" w:cs="Times New Roman"/>
      <w:sz w:val="20"/>
      <w:szCs w:val="20"/>
      <w:lang w:bidi="ar-SA"/>
    </w:rPr>
  </w:style>
  <w:style w:type="character" w:styleId="Hyperlink">
    <w:name w:val="Hyperlink"/>
    <w:basedOn w:val="DefaultParagraphFont"/>
    <w:rsid w:val="00885EF8"/>
    <w:rPr>
      <w:color w:val="0000FF"/>
      <w:u w:val="single"/>
    </w:rPr>
  </w:style>
  <w:style w:type="paragraph" w:styleId="BalloonText">
    <w:name w:val="Balloon Text"/>
    <w:basedOn w:val="Normal"/>
    <w:link w:val="BalloonTextChar"/>
    <w:uiPriority w:val="99"/>
    <w:semiHidden/>
    <w:unhideWhenUsed/>
    <w:rsid w:val="00885EF8"/>
    <w:rPr>
      <w:rFonts w:ascii="Tahoma" w:hAnsi="Tahoma" w:cs="Tahoma"/>
      <w:sz w:val="16"/>
      <w:szCs w:val="16"/>
    </w:rPr>
  </w:style>
  <w:style w:type="character" w:customStyle="1" w:styleId="BalloonTextChar">
    <w:name w:val="Balloon Text Char"/>
    <w:basedOn w:val="DefaultParagraphFont"/>
    <w:link w:val="BalloonText"/>
    <w:uiPriority w:val="99"/>
    <w:semiHidden/>
    <w:rsid w:val="00885EF8"/>
    <w:rPr>
      <w:rFonts w:ascii="Tahoma" w:eastAsia="Times New Roman" w:hAnsi="Tahoma" w:cs="Tahoma"/>
      <w:sz w:val="16"/>
      <w:szCs w:val="16"/>
      <w:lang w:bidi="ar-SA"/>
    </w:rPr>
  </w:style>
  <w:style w:type="character" w:styleId="CommentReference">
    <w:name w:val="annotation reference"/>
    <w:basedOn w:val="DefaultParagraphFont"/>
    <w:uiPriority w:val="99"/>
    <w:semiHidden/>
    <w:unhideWhenUsed/>
    <w:rsid w:val="009B7294"/>
    <w:rPr>
      <w:sz w:val="16"/>
      <w:szCs w:val="16"/>
    </w:rPr>
  </w:style>
  <w:style w:type="paragraph" w:styleId="CommentText">
    <w:name w:val="annotation text"/>
    <w:basedOn w:val="Normal"/>
    <w:link w:val="CommentTextChar"/>
    <w:uiPriority w:val="99"/>
    <w:semiHidden/>
    <w:unhideWhenUsed/>
    <w:rsid w:val="009B7294"/>
  </w:style>
  <w:style w:type="character" w:customStyle="1" w:styleId="CommentTextChar">
    <w:name w:val="Comment Text Char"/>
    <w:basedOn w:val="DefaultParagraphFont"/>
    <w:link w:val="CommentText"/>
    <w:uiPriority w:val="99"/>
    <w:semiHidden/>
    <w:rsid w:val="009B7294"/>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9B7294"/>
    <w:rPr>
      <w:b/>
      <w:bCs/>
    </w:rPr>
  </w:style>
  <w:style w:type="character" w:customStyle="1" w:styleId="CommentSubjectChar">
    <w:name w:val="Comment Subject Char"/>
    <w:basedOn w:val="CommentTextChar"/>
    <w:link w:val="CommentSubject"/>
    <w:uiPriority w:val="99"/>
    <w:semiHidden/>
    <w:rsid w:val="009B7294"/>
    <w:rPr>
      <w:b/>
      <w:bCs/>
    </w:rPr>
  </w:style>
</w:styles>
</file>

<file path=word/webSettings.xml><?xml version="1.0" encoding="utf-8"?>
<w:webSettings xmlns:r="http://schemas.openxmlformats.org/officeDocument/2006/relationships" xmlns:w="http://schemas.openxmlformats.org/wordprocessingml/2006/main">
  <w:divs>
    <w:div w:id="21948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JUSTICE.GOV" TargetMode="Externa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D58930-CDE1-4428-B078-7F9D20CE3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JMD</Company>
  <LinksUpToDate>false</LinksUpToDate>
  <CharactersWithSpaces>6354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gina talamona</dc:creator>
  <cp:lastModifiedBy>dstratton</cp:lastModifiedBy>
  <cp:revision>10</cp:revision>
  <cp:lastPrinted>2012-04-11T15:32:00Z</cp:lastPrinted>
  <dcterms:created xsi:type="dcterms:W3CDTF">2012-12-18T13:48:00Z</dcterms:created>
  <dcterms:modified xsi:type="dcterms:W3CDTF">2012-12-18T21:47:00Z</dcterms:modified>
</cp:coreProperties>
</file>