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Grant Pathway — Application Workflow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75569"/>
          <w:sz w:val="26"/>
          <w:szCs w:val="26"/>
        </w:rPr>
        <w:t xml:space="preserve">User Journey — From Login to Export</w:t>
      </w:r>
    </w:p>
    <w:p>
      <w:pPr>
        <w:spacing w:after="280" w:before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RapidGlobe Ltd (Reg. 05615649)  ·  v1.0  ·  29 June 2026  ·  </w:t>
      </w: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CONFIDENTIAL</w:t>
      </w:r>
    </w:p>
    <w:p>
      <w:pPr>
        <w:spacing w:after="280" w:before="0"/>
        <w:jc w:val="center"/>
      </w:pPr>
      <w:r>
        <w:drawing>
          <wp:inline distT="0" distB="0" distL="0" distR="0">
            <wp:extent cx="5734050" cy="8601075"/>
            <wp:effectExtent t="0" r="0" b="0" l="0"/>
            <wp:docPr id="1" name="ApplicationWorkflow" descr="Grant Pathway 5-step application workflow from login to Word document export" title="Application 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60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Workflow Summary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Login / Register: </w:t>
      </w:r>
      <w:r>
        <w:rPr>
          <w:rFonts w:ascii="Arial" w:cs="Arial" w:eastAsia="Arial" w:hAnsi="Arial"/>
          <w:sz w:val="22"/>
          <w:szCs w:val="22"/>
        </w:rPr>
        <w:t xml:space="preserve">Users create an account with a verified email address. Password must be at least 12 characters and is checked against known-leaked passwords via the HaveIBeenPwned 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Charity Profile: </w:t>
      </w:r>
      <w:r>
        <w:rPr>
          <w:rFonts w:ascii="Arial" w:cs="Arial" w:eastAsia="Arial" w:hAnsi="Arial"/>
          <w:sz w:val="22"/>
          <w:szCs w:val="22"/>
        </w:rPr>
        <w:t xml:space="preserve">Before starting an application, users complete their charity profile including name, registration number, mission statement, and financial data. The Charity Commission API pre-fills data where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— Select Funder &amp; Name Grant: </w:t>
      </w:r>
      <w:r>
        <w:rPr>
          <w:rFonts w:ascii="Arial" w:cs="Arial" w:eastAsia="Arial" w:hAnsi="Arial"/>
          <w:sz w:val="22"/>
          <w:szCs w:val="22"/>
        </w:rPr>
        <w:t xml:space="preserve">User selects the target funder from the active directory and enters the name of the specific grant. The application record is created with status not_started.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— Upload Guidelines: </w:t>
      </w:r>
      <w:r>
        <w:rPr>
          <w:rFonts w:ascii="Arial" w:cs="Arial" w:eastAsia="Arial" w:hAnsi="Arial"/>
          <w:sz w:val="22"/>
          <w:szCs w:val="22"/>
        </w:rPr>
        <w:t xml:space="preserve">User uploads a PDF or Word file, or pastes the funder guidelines as text. The file is stored temporarily and deleted within 30 minutes. Guidelines are never stored permanently.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— AI Summary: </w:t>
      </w:r>
      <w:r>
        <w:rPr>
          <w:rFonts w:ascii="Arial" w:cs="Arial" w:eastAsia="Arial" w:hAnsi="Arial"/>
          <w:sz w:val="22"/>
          <w:szCs w:val="22"/>
        </w:rPr>
        <w:t xml:space="preserve">AWS Bedrock (Claude claude-sonnet-4-6) reads the guidelines and produces a plain-English summary plus an extracted question structure. A monthly cap of 50 AI requests per user applies. The summary is cached so users can return without regenerating.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 — Write &amp; Approve Answers: </w:t>
      </w:r>
      <w:r>
        <w:rPr>
          <w:rFonts w:ascii="Arial" w:cs="Arial" w:eastAsia="Arial" w:hAnsi="Arial"/>
          <w:sz w:val="22"/>
          <w:szCs w:val="22"/>
        </w:rPr>
        <w:t xml:space="preserve">Users write answers to each extracted question, optionally using AI-generated drafts as a starting point. Every answer must be individually approved before the application can be exported. Budget questions are flagged and AI assistance is disabled for them. Users may re-open an approved application, which resets all approvals.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 — Export Word Document: </w:t>
      </w:r>
      <w:r>
        <w:rPr>
          <w:rFonts w:ascii="Arial" w:cs="Arial" w:eastAsia="Arial" w:hAnsi="Arial"/>
          <w:sz w:val="22"/>
          <w:szCs w:val="22"/>
        </w:rPr>
        <w:t xml:space="preserve">The completed application is exported as a formatted .docx file ready for submission. The export timestamp is recorded on the application record.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Grant Pathway  ·  RapidGlobe Ltd  ·  Confidential  ·  v1.0  ·  2026-06-29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1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Grant Pathway  ·  Application Workflow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dc2626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5b8116bdf8b44d293eea9cc6c031a32027e0a3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2026-06-29T14:48:16.158Z</dcterms:created>
  <dcterms:modified xsi:type="dcterms:W3CDTF">2026-06-29T14:48:16.158Z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