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Grant Pathway — System Architecture Overview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Infrastructure and Data Flow Diagram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RapidGlobe Ltd (Reg. 05615649)  ·  v1.0  ·  29 June 2026  ·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CONFIDENTIAL</w:t>
      </w:r>
    </w:p>
    <w:p>
      <w:pPr>
        <w:spacing w:after="280" w:before="0"/>
        <w:jc w:val="center"/>
      </w:pPr>
      <w:r>
        <w:drawing>
          <wp:inline distT="0" distB="0" distL="0" distR="0">
            <wp:extent cx="8867775" cy="5543550"/>
            <wp:effectExtent t="0" r="0" b="0" l="0"/>
            <wp:docPr id="1" name="SystemArchitecture" descr="Grant Pathway system architecture diagram showing all layers and external services" title="System Architectur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777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Architecture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Layer: </w:t>
      </w:r>
      <w:r>
        <w:rPr>
          <w:rFonts w:ascii="Arial" w:cs="Arial" w:eastAsia="Arial" w:hAnsi="Arial"/>
          <w:sz w:val="22"/>
          <w:szCs w:val="22"/>
        </w:rPr>
        <w:t xml:space="preserve">Charity staff access Grant Pathway via web browser over HTTPS/TLS 1.3. Developers push code via git; all pushes are gated by four mandatory CI checks before reaching master.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Vercel Platform: </w:t>
      </w:r>
      <w:r>
        <w:rPr>
          <w:rFonts w:ascii="Arial" w:cs="Arial" w:eastAsia="Arial" w:hAnsi="Arial"/>
          <w:sz w:val="22"/>
          <w:szCs w:val="22"/>
        </w:rPr>
        <w:t xml:space="preserve">Next.js App Router handles all page rendering. Middleware runs on every request to validate the Supabase session and generate a fresh CSP nonce. API routes handle AI generation, file processing, and account deletion. Three Vercel Cron jobs manage storage cleanup and inactivity deletion.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(eu-west-2, London): </w:t>
      </w:r>
      <w:r>
        <w:rPr>
          <w:rFonts w:ascii="Arial" w:cs="Arial" w:eastAsia="Arial" w:hAnsi="Arial"/>
          <w:sz w:val="22"/>
          <w:szCs w:val="22"/>
        </w:rPr>
        <w:t xml:space="preserve">PostgreSQL database stores all application data under row-level security. Supabase Auth manages email/password sessions. The guidelines-temp Storage bucket holds uploaded files temporarily; contents are cleaned every 30 minutes.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Bedrock (eu-west-2, London): </w:t>
      </w:r>
      <w:r>
        <w:rPr>
          <w:rFonts w:ascii="Arial" w:cs="Arial" w:eastAsia="Arial" w:hAnsi="Arial"/>
          <w:sz w:val="22"/>
          <w:szCs w:val="22"/>
        </w:rPr>
        <w:t xml:space="preserve">Claude claude-sonnet-4-6 processes funder guidelines and generates draft answers. Zero-retention and no training-data use enforced. Access is scoped to a single IAM user with one InvokeModel permission.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Resend: </w:t>
      </w:r>
      <w:r>
        <w:rPr>
          <w:rFonts w:ascii="Arial" w:cs="Arial" w:eastAsia="Arial" w:hAnsi="Arial"/>
          <w:sz w:val="22"/>
          <w:szCs w:val="22"/>
        </w:rPr>
        <w:t xml:space="preserve">Transactional email delivery via Amazon SES. API key scoped to grantpathway.org.uk. SPF, DKIM, and DMARC all verified.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Upstash Redis: </w:t>
      </w:r>
      <w:r>
        <w:rPr>
          <w:rFonts w:ascii="Arial" w:cs="Arial" w:eastAsia="Arial" w:hAnsi="Arial"/>
          <w:sz w:val="22"/>
          <w:szCs w:val="22"/>
        </w:rPr>
        <w:t xml:space="preserve">Per-user burst rate-limiting applied before every Bedrock call.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Sentry (EU region): </w:t>
      </w:r>
      <w:r>
        <w:rPr>
          <w:rFonts w:ascii="Arial" w:cs="Arial" w:eastAsia="Arial" w:hAnsi="Arial"/>
          <w:sz w:val="22"/>
          <w:szCs w:val="22"/>
        </w:rPr>
        <w:t xml:space="preserve">Error and performance monitoring. PII is scrubbed in beforeSend hooks before any data leaves the 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Actions: </w:t>
      </w:r>
      <w:r>
        <w:rPr>
          <w:rFonts w:ascii="Arial" w:cs="Arial" w:eastAsia="Arial" w:hAnsi="Arial"/>
          <w:sz w:val="22"/>
          <w:szCs w:val="22"/>
        </w:rPr>
        <w:t xml:space="preserve">Four CI jobs (lint-and-typecheck, test, audit, validate-migrations) run on every push. All four must pass before a merge to master is permitted.</w:t>
      </w:r>
    </w:p>
    <w:sectPr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13958"/>
      </w:tabs>
    </w:pPr>
    <w:r>
      <w:rPr>
        <w:rFonts w:ascii="Arial" w:cs="Arial" w:eastAsia="Arial" w:hAnsi="Arial"/>
        <w:color w:val="64748b"/>
        <w:sz w:val="18"/>
        <w:szCs w:val="18"/>
      </w:rPr>
      <w:t xml:space="preserve">Grant Pathway  ·  RapidGlobe Ltd  ·  Confidential  ·  v1.0  ·  2026-06-29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13958"/>
      </w:tabs>
    </w:pPr>
    <w:r>
      <w:rPr>
        <w:rFonts w:ascii="Arial" w:cs="Arial" w:eastAsia="Arial" w:hAnsi="Arial"/>
        <w:color w:val="64748b"/>
        <w:sz w:val="18"/>
        <w:szCs w:val="18"/>
      </w:rPr>
      <w:t xml:space="preserve">Grant Pathway  ·  System Architecture Overview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c16074040f1971a83e3c5b054df89bff7ec3ee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2026-06-29T14:48:15.822Z</dcterms:created>
  <dcterms:modified xsi:type="dcterms:W3CDTF">2026-06-29T14:48:15.828Z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