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Noise Exposure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Noise Exposure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identifying, assessing, and controlling workplace noise hazards to prevent noise-induced hearing loss (NIHL) and to meet the project's obligations to workers and surrounding communities. Both occupational exposure and community noise impact are addressed.</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noise exposure control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noise exposure domains within scope, and the framework that applies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the requirements it establishes, and the standards it operationalises for noise exposure control.</w:t>
      </w:r>
    </w:p>
    <w:p>
      <w:pPr>
        <w:pStyle w:val="NormalNumberedtext"/>
      </w:pPr>
      <w:r>
        <w:t>This procedure meets the following purpose requirements:</w:t>
      </w:r>
    </w:p>
    <w:p>
      <w:pPr>
        <w:pStyle w:val="NormalNumberedtext"/>
      </w:pPr>
      <w:r>
        <w:t>This procedure governs noise exposure control for all personnel on the project, including Rio Tinto staff and all contractor organisations, by:</w:t>
      </w:r>
    </w:p>
    <w:p>
      <w:pPr>
        <w:pStyle w:val="NumberedBulletL1"/>
      </w:pPr>
      <w:r>
        <w:t>Defining occupational noise exposure limits and the conditions under which each limit applies.</w:t>
      </w:r>
    </w:p>
    <w:p>
      <w:pPr>
        <w:pStyle w:val="NumberedBulletL1"/>
      </w:pPr>
      <w:r>
        <w:t>Establishing requirements for noise assessment, hearing protection area designation, audiometric testing, and community noise management.</w:t>
      </w:r>
    </w:p>
    <w:p>
      <w:pPr>
        <w:pStyle w:val="NumberedBulletL1"/>
      </w:pPr>
      <w:r>
        <w:t>Operationalising the noise control hierarchy from elimination through to hearing protection as a last resort.</w:t>
      </w:r>
    </w:p>
    <w:p>
      <w:pPr>
        <w:pStyle w:val="NumberedBulletL1"/>
      </w:pPr>
      <w:r>
        <w:t>Connecting to the risk assessment process in [INSERT: Project Document Number], training requirements documented in [INSERT: Project Document Number], PPE selection and fit testing in [INSERT: Project Document Number], environmental noise monitoring in [INSERT: Project Document Number], and incident reporting in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noise exposure activities and lifecycle phases are governed by this document and how it connects to other project controls.</w:t>
      </w:r>
    </w:p>
    <w:p>
      <w:pPr>
        <w:pStyle w:val="NormalNumberedtext"/>
      </w:pPr>
      <w:r>
        <w:t>This procedure applies the following scope requirements:</w:t>
      </w:r>
    </w:p>
    <w:p>
      <w:pPr>
        <w:pStyle w:val="NormalNumberedtext"/>
      </w:pPr>
      <w:r>
        <w:t>The scope of this procedure includes:</w:t>
      </w:r>
    </w:p>
    <w:p>
      <w:pPr>
        <w:pStyle w:val="NumberedBulletL1"/>
      </w:pPr>
      <w:r>
        <w:t>All work areas and tasks where personnel may be exposed to noise at or above action levels during execution, commissioning, and handover phases.</w:t>
      </w:r>
    </w:p>
    <w:p>
      <w:pPr>
        <w:pStyle w:val="NumberedBulletL1"/>
      </w:pPr>
      <w:r>
        <w:t>All fixed and mobile plant, equipment, and processes that generate occupational or community noise.</w:t>
      </w:r>
    </w:p>
    <w:p>
      <w:pPr>
        <w:pStyle w:val="NumberedBulletL1"/>
      </w:pPr>
      <w:r>
        <w:t>Community noise impacts at the project boundary and at sensitive receptors in the surrounding area.</w:t>
      </w:r>
    </w:p>
    <w:p>
      <w:pPr>
        <w:pStyle w:val="NumberedBulletL1"/>
      </w:pPr>
      <w:r>
        <w:t>All personnel working on the project, regardless of employer organisation, shift duration, or work area.</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noise exposure control responsibilities for all project roles, covering the Rio Tinto project team and all contractor organisations.</w:t>
      </w:r>
    </w:p>
    <w:p>
      <w:pPr>
        <w:pStyle w:val="NormalNumberedtext"/>
      </w:pPr>
      <w:r>
        <w:t>Noise exposure control responsibilities are assigned across the project as follows:</w:t>
      </w:r>
    </w:p>
    <w:p>
      <w:pPr>
        <w:pStyle w:val="NormalNumberedtext"/>
      </w:pPr>
      <w:r>
        <w:t>Table 1: Noise Exposure Control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Owns this procedure; approves the baseline noise assessment; designates hearing protection areas; oversees the audiometric testing programme; reports community noise non-compliances to the Project Manager.</w:t>
            </w:r>
          </w:p>
        </w:tc>
      </w:tr>
      <w:tr>
        <w:tc>
          <w:tcPr>
            <w:tcW w:type="dxa" w:w="4888"/>
          </w:tcPr>
          <w:p>
            <w:pPr>
              <w:pStyle w:val="TableContents"/>
              <w:spacing w:before="0" w:after="0" w:line="240" w:lineRule="atLeast"/>
            </w:pPr>
            <w:r>
              <w:rPr>
                <w:rFonts w:ascii="Arial" w:hAnsi="Arial" w:cs="Arial" w:eastAsia="Arial"/>
                <w:sz w:val="16"/>
                <w:szCs w:val="16"/>
              </w:rPr>
              <w:t>Project Manager</w:t>
            </w:r>
          </w:p>
        </w:tc>
        <w:tc>
          <w:tcPr>
            <w:tcW w:type="dxa" w:w="4889"/>
          </w:tcPr>
          <w:p>
            <w:pPr>
              <w:pStyle w:val="TableContents"/>
              <w:spacing w:before="0" w:after="0" w:line="240" w:lineRule="atLeast"/>
            </w:pPr>
            <w:r>
              <w:rPr>
                <w:rFonts w:ascii="Arial" w:hAnsi="Arial" w:cs="Arial" w:eastAsia="Arial"/>
                <w:sz w:val="16"/>
                <w:szCs w:val="16"/>
              </w:rPr>
              <w:t>Ensures noise control requirements are included in contractor scopes of work and procurement specifications; approves resources for engineering noise controls.</w:t>
            </w:r>
          </w:p>
        </w:tc>
      </w:tr>
      <w:tr>
        <w:tc>
          <w:tcPr>
            <w:tcW w:type="dxa" w:w="4888"/>
          </w:tcPr>
          <w:p>
            <w:pPr>
              <w:pStyle w:val="TableContents"/>
              <w:spacing w:before="0" w:after="0" w:line="240" w:lineRule="atLeast"/>
            </w:pPr>
            <w:r>
              <w:rPr>
                <w:rFonts w:ascii="Arial" w:hAnsi="Arial" w:cs="Arial" w:eastAsia="Arial"/>
                <w:sz w:val="16"/>
                <w:szCs w:val="16"/>
              </w:rPr>
              <w:t>Competent Person (Noise)</w:t>
            </w:r>
          </w:p>
        </w:tc>
        <w:tc>
          <w:tcPr>
            <w:tcW w:type="dxa" w:w="4889"/>
          </w:tcPr>
          <w:p>
            <w:pPr>
              <w:pStyle w:val="TableContents"/>
              <w:spacing w:before="0" w:after="0" w:line="240" w:lineRule="atLeast"/>
            </w:pPr>
            <w:r>
              <w:rPr>
                <w:rFonts w:ascii="Arial" w:hAnsi="Arial" w:cs="Arial" w:eastAsia="Arial"/>
                <w:sz w:val="16"/>
                <w:szCs w:val="16"/>
              </w:rPr>
              <w:t>Conducts noise assessments and monitoring using recognised methods; documents results; identifies re-assessment triggers; advises on hearing protection selection and attenuation.</w:t>
            </w:r>
          </w:p>
        </w:tc>
      </w:tr>
      <w:tr>
        <w:tc>
          <w:tcPr>
            <w:tcW w:type="dxa" w:w="4888"/>
          </w:tcPr>
          <w:p>
            <w:pPr>
              <w:pStyle w:val="TableContents"/>
              <w:spacing w:before="0" w:after="0" w:line="240" w:lineRule="atLeast"/>
            </w:pPr>
            <w:r>
              <w:rPr>
                <w:rFonts w:ascii="Arial" w:hAnsi="Arial" w:cs="Arial" w:eastAsia="Arial"/>
                <w:sz w:val="16"/>
                <w:szCs w:val="16"/>
              </w:rPr>
              <w:t>Work Supervisor</w:t>
            </w:r>
          </w:p>
        </w:tc>
        <w:tc>
          <w:tcPr>
            <w:tcW w:type="dxa" w:w="4889"/>
          </w:tcPr>
          <w:p>
            <w:pPr>
              <w:pStyle w:val="TableContents"/>
              <w:spacing w:before="0" w:after="0" w:line="240" w:lineRule="atLeast"/>
            </w:pPr>
            <w:r>
              <w:rPr>
                <w:rFonts w:ascii="Arial" w:hAnsi="Arial" w:cs="Arial" w:eastAsia="Arial"/>
                <w:sz w:val="16"/>
                <w:szCs w:val="16"/>
              </w:rPr>
              <w:t>Enforces hearing protection area rules; confirms controls are in place before work commences in high-noise areas; initiates re-assessment requests when plant or scope changes occur.</w:t>
            </w:r>
          </w:p>
        </w:tc>
      </w:tr>
      <w:tr>
        <w:tc>
          <w:tcPr>
            <w:tcW w:type="dxa" w:w="4888"/>
          </w:tcPr>
          <w:p>
            <w:pPr>
              <w:pStyle w:val="TableContents"/>
              <w:spacing w:before="0" w:after="0" w:line="240" w:lineRule="atLeast"/>
            </w:pPr>
            <w:r>
              <w:rPr>
                <w:rFonts w:ascii="Arial" w:hAnsi="Arial" w:cs="Arial" w:eastAsia="Arial"/>
                <w:sz w:val="16"/>
                <w:szCs w:val="16"/>
              </w:rPr>
              <w:t>Occupational Health Provider</w:t>
            </w:r>
          </w:p>
        </w:tc>
        <w:tc>
          <w:tcPr>
            <w:tcW w:type="dxa" w:w="4889"/>
          </w:tcPr>
          <w:p>
            <w:pPr>
              <w:pStyle w:val="TableContents"/>
              <w:spacing w:before="0" w:after="0" w:line="240" w:lineRule="atLeast"/>
            </w:pPr>
            <w:r>
              <w:rPr>
                <w:rFonts w:ascii="Arial" w:hAnsi="Arial" w:cs="Arial" w:eastAsia="Arial"/>
                <w:sz w:val="16"/>
                <w:szCs w:val="16"/>
              </w:rPr>
              <w:t>Delivers the audiometric testing programme; documents results; advises on threshold shift criteria and referral pathways; reports outcomes to the HSESC Manager.</w:t>
            </w:r>
          </w:p>
        </w:tc>
      </w:tr>
      <w:tr>
        <w:tc>
          <w:tcPr>
            <w:tcW w:type="dxa" w:w="4888"/>
          </w:tcPr>
          <w:p>
            <w:pPr>
              <w:pStyle w:val="TableContents"/>
              <w:spacing w:before="0" w:after="0" w:line="240" w:lineRule="atLeast"/>
            </w:pPr>
            <w:r>
              <w:rPr>
                <w:rFonts w:ascii="Arial" w:hAnsi="Arial" w:cs="Arial" w:eastAsia="Arial"/>
                <w:sz w:val="16"/>
                <w:szCs w:val="16"/>
              </w:rPr>
              <w:t>All Personnel</w:t>
            </w:r>
          </w:p>
        </w:tc>
        <w:tc>
          <w:tcPr>
            <w:tcW w:type="dxa" w:w="4889"/>
          </w:tcPr>
          <w:p>
            <w:pPr>
              <w:pStyle w:val="TableContents"/>
              <w:spacing w:before="0" w:after="0" w:line="240" w:lineRule="atLeast"/>
            </w:pPr>
            <w:r>
              <w:rPr>
                <w:rFonts w:ascii="Arial" w:hAnsi="Arial" w:cs="Arial" w:eastAsia="Arial"/>
                <w:sz w:val="16"/>
                <w:szCs w:val="16"/>
              </w:rPr>
              <w:t xml:space="preserve">Wear hearing protection as required in designated areas; report noise hazards and hearing deterioration; attend hearing conservation training as required by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{'insert': True, 'field': 'additional_role'}</w:t>
            </w:r>
          </w:p>
        </w:tc>
        <w:tc>
          <w:tcPr>
            <w:tcW w:type="dxa" w:w="4889"/>
          </w:tcPr>
          <w:p>
            <w:pPr>
              <w:pStyle w:val="TableContents"/>
              <w:spacing w:before="0" w:after="0" w:line="240" w:lineRule="atLeast"/>
            </w:pPr>
            <w:r>
              <w:rPr>
                <w:rFonts w:ascii="Arial" w:hAnsi="Arial" w:cs="Arial" w:eastAsia="Arial"/>
                <w:sz w:val="16"/>
                <w:szCs w:val="16"/>
              </w:rPr>
              <w:t>{'insert': True, 'field': 'additional_responsibility'}</w:t>
            </w:r>
          </w:p>
        </w:tc>
      </w:tr>
    </w:tbl>
    <w:p>
      <w:pPr>
        <w:pStyle w:val="NormalNumberedtext"/>
      </w:pPr>
    </w:p>
    <w:p>
      <w:pPr>
        <w:pStyle w:val="Heading1Numbered"/>
        <w:numPr>
          <w:ilvl w:val="0"/>
          <w:numId w:val="1"/>
        </w:numPr>
      </w:pPr>
      <w:r>
        <w:rPr>
          <w:rFonts w:ascii="Arial" w:hAnsi="Arial" w:cs="Arial" w:eastAsia="Arial"/>
        </w:rPr>
        <w:t>Noise Assessment and Baseline</w:t>
      </w:r>
    </w:p>
    <w:p>
      <w:pPr>
        <w:pStyle w:val="NormalNumberedtext"/>
      </w:pPr>
      <w:r>
        <w:t>This section defines the requirements for conducting a baseline noise assessment, establishing noise exposure baselines, and determining when re-assessment is required.</w:t>
      </w:r>
    </w:p>
    <w:p>
      <w:pPr>
        <w:pStyle w:val="NormalNumberedtext"/>
      </w:pPr>
    </w:p>
    <w:p>
      <w:pPr>
        <w:pStyle w:val="Heading2Numbered"/>
        <w:numPr>
          <w:ilvl w:val="1"/>
          <w:numId w:val="1"/>
        </w:numPr>
      </w:pPr>
      <w:r>
        <w:rPr>
          <w:rFonts w:ascii="Arial" w:hAnsi="Arial" w:cs="Arial" w:eastAsia="Arial"/>
        </w:rPr>
        <w:t>Baseline Noise Assessment</w:t>
      </w:r>
    </w:p>
    <w:p>
      <w:pPr>
        <w:pStyle w:val="NormalNumberedtext"/>
      </w:pPr>
      <w:r>
        <w:t>A competent person conducts a baseline noise assessment before work commences to identify areas of high noise exposure across the project.</w:t>
      </w:r>
    </w:p>
    <w:p>
      <w:pPr>
        <w:pStyle w:val="NormalNumberedtext"/>
      </w:pPr>
      <w:r>
        <w:t>The baseline noise assessment meets the following requirements:</w:t>
      </w:r>
    </w:p>
    <w:p>
      <w:pPr>
        <w:pStyle w:val="NormalNumberedtext"/>
      </w:pPr>
      <w:r>
        <w:t>The competent person conducts the baseline noise assessment by:</w:t>
      </w:r>
    </w:p>
    <w:p>
      <w:pPr>
        <w:pStyle w:val="NumberedBulletL1"/>
      </w:pPr>
      <w:r>
        <w:t>Identifying all work areas, tasks, and plant with the potential to generate noise exposure at or above the applicable action level.</w:t>
      </w:r>
    </w:p>
    <w:p>
      <w:pPr>
        <w:pStyle w:val="NumberedBulletL1"/>
      </w:pPr>
      <w:r>
        <w:t>Measuring occupational noise exposure using a recognised measurement method, with ISO 9612 applied as the standard measurement methodology for this project.</w:t>
      </w:r>
    </w:p>
    <w:p>
      <w:pPr>
        <w:pStyle w:val="NumberedBulletL1"/>
      </w:pPr>
      <w:r>
        <w:t>Comparing measured exposures against the occupational exposure limits defined in Section 4 of this procedure.</w:t>
      </w:r>
    </w:p>
    <w:p>
      <w:pPr>
        <w:pStyle w:val="NumberedBulletL1"/>
      </w:pPr>
      <w:r>
        <w:t>Documenting the assessment findings, measurement methodology, equipment used, and personnel roles assessed.</w:t>
      </w:r>
    </w:p>
    <w:p>
      <w:pPr>
        <w:pStyle w:val="NumberedBulletL1"/>
      </w:pPr>
      <w:r>
        <w:t>Designating hearing protection areas based on assessment findings, as defined in Section 5.</w:t>
      </w:r>
    </w:p>
    <w:p>
      <w:pPr>
        <w:pStyle w:val="NormalNumberedtext"/>
      </w:pPr>
      <w:r>
        <w:t>The baseline assessment report is referenced here once completed:</w:t>
      </w:r>
    </w:p>
    <w:p>
      <w:pPr>
        <w:pStyle w:val="NormalNumberedtext"/>
      </w:pPr>
      <w:r>
        <w:rPr>
          <w:b/>
          <w:bCs/>
          <w:color w:val="0059D1"/>
        </w:rPr>
        <w:t>[INSERT: baseline_assessment_reference] — Insert the title and document number of the completed baseline noise assessment report, or state 'Baseline assessment to be completed before work commences — report reference to be inserted.'</w:t>
      </w:r>
    </w:p>
    <w:p>
      <w:pPr>
        <w:pStyle w:val="NormalNumberedtext"/>
      </w:pPr>
      <w:r>
        <w:t>Where the baseline assessment identifies noise exposures exceeding the limits in Section 4, the HSESC Manager confirms controls are in place before work commences in the affected area. The noise risk assessment process is governed by [INSERT: Project Document Number].</w:t>
      </w:r>
    </w:p>
    <w:p>
      <w:pPr>
        <w:pStyle w:val="NormalNumberedtext"/>
      </w:pPr>
    </w:p>
    <w:p>
      <w:pPr>
        <w:pStyle w:val="Heading2Numbered"/>
        <w:numPr>
          <w:ilvl w:val="1"/>
          <w:numId w:val="1"/>
        </w:numPr>
      </w:pPr>
      <w:r>
        <w:rPr>
          <w:rFonts w:ascii="Arial" w:hAnsi="Arial" w:cs="Arial" w:eastAsia="Arial"/>
        </w:rPr>
        <w:t>Re-Assessment Triggers</w:t>
      </w:r>
    </w:p>
    <w:p>
      <w:pPr>
        <w:pStyle w:val="NormalNumberedtext"/>
      </w:pPr>
      <w:r>
        <w:t>The competent person conducts a new or updated noise assessment when defined triggers occur that may alter exposure levels.</w:t>
      </w:r>
    </w:p>
    <w:p>
      <w:pPr>
        <w:pStyle w:val="NormalNumberedtext"/>
      </w:pPr>
      <w:r>
        <w:t>A noise re-assessment is required when any of the following occurs:</w:t>
      </w:r>
    </w:p>
    <w:p>
      <w:pPr>
        <w:pStyle w:val="NumberedBulletL1"/>
      </w:pPr>
      <w:r>
        <w:t>New plant or equipment is introduced to the project that generates noise at or above the applicable action level.</w:t>
      </w:r>
    </w:p>
    <w:p>
      <w:pPr>
        <w:pStyle w:val="NumberedBulletL1"/>
      </w:pPr>
      <w:r>
        <w:t>A significant change in work scope, method, or location affects the noise exposure of any work group.</w:t>
      </w:r>
    </w:p>
    <w:p>
      <w:pPr>
        <w:pStyle w:val="NumberedBulletL1"/>
      </w:pPr>
      <w:r>
        <w:t>A noise-related incident or occupational illness is reported; report all incidents and near misses per project requirements, refer [INSERT: Project Document Number].</w:t>
      </w:r>
    </w:p>
    <w:p>
      <w:pPr>
        <w:pStyle w:val="NumberedBulletL1"/>
      </w:pPr>
      <w:r>
        <w:t>Monitoring results indicate that existing controls are no longer maintaining exposures within the limits defined in Section 4.</w:t>
      </w:r>
    </w:p>
    <w:p>
      <w:pPr>
        <w:pStyle w:val="NumberedBulletL1"/>
      </w:pPr>
      <w:r>
        <w:rPr>
          <w:color w:val="C55A11"/>
        </w:rPr>
        <w:t>A regulatory or permit change alters the applicable noise exposure limits or monitoring requirements for the project.</w:t>
      </w:r>
    </w:p>
    <w:p>
      <w:pPr>
        <w:pStyle w:val="NormalNumberedtext"/>
      </w:pPr>
    </w:p>
    <w:p>
      <w:pPr>
        <w:pStyle w:val="Heading1Numbered"/>
        <w:numPr>
          <w:ilvl w:val="0"/>
          <w:numId w:val="1"/>
        </w:numPr>
      </w:pPr>
      <w:r>
        <w:rPr>
          <w:rFonts w:ascii="Arial" w:hAnsi="Arial" w:cs="Arial" w:eastAsia="Arial"/>
        </w:rPr>
        <w:t>Occupational Exposure Limits</w:t>
      </w:r>
    </w:p>
    <w:p>
      <w:pPr>
        <w:pStyle w:val="NormalNumberedtext"/>
      </w:pPr>
      <w:r>
        <w:t>This section defines the maximum permissible noise exposure limits for all personnel on this project and the conditions under which each limit applies.</w:t>
      </w:r>
    </w:p>
    <w:p>
      <w:pPr>
        <w:pStyle w:val="NormalNumberedtext"/>
      </w:pPr>
    </w:p>
    <w:p>
      <w:pPr>
        <w:pStyle w:val="Heading2Numbered"/>
        <w:numPr>
          <w:ilvl w:val="1"/>
          <w:numId w:val="1"/>
        </w:numPr>
      </w:pPr>
      <w:r>
        <w:rPr>
          <w:rFonts w:ascii="Arial" w:hAnsi="Arial" w:cs="Arial" w:eastAsia="Arial"/>
        </w:rPr>
        <w:t>Exposure Limits</w:t>
      </w:r>
    </w:p>
    <w:p>
      <w:pPr>
        <w:pStyle w:val="NormalNumberedtext"/>
      </w:pPr>
      <w:r>
        <w:t>Exposure limits apply to all personnel regardless of employer organisation, shift duration, or work area, using the most stringent applicable standard.</w:t>
      </w:r>
    </w:p>
    <w:p>
      <w:pPr>
        <w:pStyle w:val="NormalNumberedtext"/>
      </w:pPr>
      <w:r>
        <w:t>The following occupational noise exposure limits apply to this project:</w:t>
      </w:r>
    </w:p>
    <w:p>
      <w:pPr>
        <w:pStyle w:val="NormalNumberedtext"/>
      </w:pPr>
      <w:r>
        <w:t>Table 2: Occupational Noise Exposure Limits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Shift Duration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Average Limit (dB(A) TWA)</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Peak Limit</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Ceiling Limit</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Authority</w:t>
            </w:r>
          </w:p>
        </w:tc>
      </w:tr>
      <w:tr>
        <w:tc>
          <w:tcPr>
            <w:tcW w:type="dxa" w:w="1805"/>
          </w:tcPr>
          <w:p>
            <w:pPr>
              <w:pStyle w:val="TableContents"/>
              <w:spacing w:before="0" w:after="0" w:line="240" w:lineRule="atLeast"/>
            </w:pPr>
            <w:r>
              <w:rPr>
                <w:rFonts w:ascii="Arial" w:hAnsi="Arial" w:cs="Arial" w:eastAsia="Arial"/>
                <w:sz w:val="16"/>
                <w:szCs w:val="16"/>
              </w:rPr>
              <w:t>Eight-hour shift</w:t>
            </w:r>
          </w:p>
        </w:tc>
        <w:tc>
          <w:tcPr>
            <w:tcW w:type="dxa" w:w="1805"/>
          </w:tcPr>
          <w:p>
            <w:pPr>
              <w:pStyle w:val="TableContents"/>
              <w:spacing w:before="0" w:after="0" w:line="240" w:lineRule="atLeast"/>
            </w:pPr>
            <w:r>
              <w:rPr>
                <w:rFonts w:ascii="Arial" w:hAnsi="Arial" w:cs="Arial" w:eastAsia="Arial"/>
                <w:sz w:val="16"/>
                <w:szCs w:val="16"/>
              </w:rPr>
              <w:t>85 dB(A)</w:t>
            </w:r>
          </w:p>
        </w:tc>
        <w:tc>
          <w:tcPr>
            <w:tcW w:type="dxa" w:w="1805"/>
          </w:tcPr>
          <w:p>
            <w:pPr>
              <w:pStyle w:val="TableContents"/>
              <w:spacing w:before="0" w:after="0" w:line="240" w:lineRule="atLeast"/>
            </w:pPr>
            <w:r>
              <w:rPr>
                <w:rFonts w:ascii="Arial" w:hAnsi="Arial" w:cs="Arial" w:eastAsia="Arial"/>
                <w:sz w:val="16"/>
                <w:szCs w:val="16"/>
              </w:rPr>
              <w:t>140 dB(C)</w:t>
            </w:r>
          </w:p>
        </w:tc>
        <w:tc>
          <w:tcPr>
            <w:tcW w:type="dxa" w:w="1805"/>
          </w:tcPr>
          <w:p>
            <w:pPr>
              <w:pStyle w:val="TableContents"/>
              <w:spacing w:before="0" w:after="0" w:line="240" w:lineRule="atLeast"/>
            </w:pPr>
            <w:r>
              <w:rPr>
                <w:rFonts w:ascii="Arial" w:hAnsi="Arial" w:cs="Arial" w:eastAsia="Arial"/>
                <w:sz w:val="16"/>
                <w:szCs w:val="16"/>
              </w:rPr>
              <w:t>-</w:t>
            </w:r>
          </w:p>
        </w:tc>
        <w:tc>
          <w:tcPr>
            <w:tcW w:type="dxa" w:w="1806"/>
          </w:tcPr>
          <w:p>
            <w:pPr>
              <w:pStyle w:val="TableContents"/>
              <w:spacing w:before="0" w:after="0" w:line="240" w:lineRule="atLeast"/>
            </w:pPr>
            <w:r>
              <w:rPr>
                <w:rFonts w:ascii="Arial" w:hAnsi="Arial" w:cs="Arial" w:eastAsia="Arial"/>
                <w:sz w:val="16"/>
                <w:szCs w:val="16"/>
              </w:rPr>
              <w:t>APPC C-2 §67 / IFC EHS §2.3 Table 2.3.1</w:t>
            </w:r>
          </w:p>
        </w:tc>
      </w:tr>
      <w:tr>
        <w:tc>
          <w:tcPr>
            <w:tcW w:type="dxa" w:w="1805"/>
          </w:tcPr>
          <w:p>
            <w:pPr>
              <w:pStyle w:val="TableContents"/>
              <w:spacing w:before="0" w:after="0" w:line="240" w:lineRule="atLeast"/>
            </w:pPr>
            <w:r>
              <w:rPr>
                <w:rFonts w:ascii="Arial" w:hAnsi="Arial" w:cs="Arial" w:eastAsia="Arial"/>
                <w:sz w:val="16"/>
                <w:szCs w:val="16"/>
              </w:rPr>
              <w:t>Twelve-hour shift</w:t>
            </w:r>
          </w:p>
        </w:tc>
        <w:tc>
          <w:tcPr>
            <w:tcW w:type="dxa" w:w="1805"/>
          </w:tcPr>
          <w:p>
            <w:pPr>
              <w:pStyle w:val="TableContents"/>
              <w:spacing w:before="0" w:after="0" w:line="240" w:lineRule="atLeast"/>
            </w:pPr>
            <w:r>
              <w:rPr>
                <w:rFonts w:ascii="Arial" w:hAnsi="Arial" w:cs="Arial" w:eastAsia="Arial"/>
                <w:sz w:val="16"/>
                <w:szCs w:val="16"/>
              </w:rPr>
              <w:t>82 dB(A)</w:t>
            </w:r>
          </w:p>
        </w:tc>
        <w:tc>
          <w:tcPr>
            <w:tcW w:type="dxa" w:w="1805"/>
          </w:tcPr>
          <w:p>
            <w:pPr>
              <w:pStyle w:val="TableContents"/>
              <w:spacing w:before="0" w:after="0" w:line="240" w:lineRule="atLeast"/>
            </w:pPr>
            <w:r>
              <w:rPr>
                <w:rFonts w:ascii="Arial" w:hAnsi="Arial" w:cs="Arial" w:eastAsia="Arial"/>
                <w:sz w:val="16"/>
                <w:szCs w:val="16"/>
              </w:rPr>
              <w:t>140 dB(C)</w:t>
            </w:r>
          </w:p>
        </w:tc>
        <w:tc>
          <w:tcPr>
            <w:tcW w:type="dxa" w:w="1805"/>
          </w:tcPr>
          <w:p>
            <w:pPr>
              <w:pStyle w:val="TableContents"/>
              <w:spacing w:before="0" w:after="0" w:line="240" w:lineRule="atLeast"/>
            </w:pPr>
            <w:r>
              <w:rPr>
                <w:rFonts w:ascii="Arial" w:hAnsi="Arial" w:cs="Arial" w:eastAsia="Arial"/>
                <w:sz w:val="16"/>
                <w:szCs w:val="16"/>
              </w:rPr>
              <w:t>115 dB(C)</w:t>
            </w:r>
          </w:p>
        </w:tc>
        <w:tc>
          <w:tcPr>
            <w:tcW w:type="dxa" w:w="1806"/>
          </w:tcPr>
          <w:p>
            <w:pPr>
              <w:pStyle w:val="TableContents"/>
              <w:spacing w:before="0" w:after="0" w:line="240" w:lineRule="atLeast"/>
            </w:pPr>
            <w:r>
              <w:rPr>
                <w:rFonts w:ascii="Arial" w:hAnsi="Arial" w:cs="Arial" w:eastAsia="Arial"/>
                <w:sz w:val="16"/>
                <w:szCs w:val="16"/>
              </w:rPr>
              <w:t>APPC C-2 §67.1.1 / APPC C-2 §67</w:t>
            </w:r>
          </w:p>
        </w:tc>
      </w:tr>
      <w:tr>
        <w:tc>
          <w:tcPr>
            <w:tcW w:type="dxa" w:w="1805"/>
          </w:tcPr>
          <w:p>
            <w:pPr>
              <w:pStyle w:val="TableContents"/>
              <w:spacing w:before="0" w:after="0" w:line="240" w:lineRule="atLeast"/>
            </w:pPr>
            <w:r>
              <w:rPr>
                <w:rFonts w:ascii="Arial" w:hAnsi="Arial" w:cs="Arial" w:eastAsia="Arial"/>
                <w:sz w:val="16"/>
                <w:szCs w:val="16"/>
              </w:rPr>
              <w:t>{'insert': True, 'field': 'shift_type'}</w:t>
            </w:r>
          </w:p>
        </w:tc>
        <w:tc>
          <w:tcPr>
            <w:tcW w:type="dxa" w:w="1805"/>
          </w:tcPr>
          <w:p>
            <w:pPr>
              <w:pStyle w:val="TableContents"/>
              <w:spacing w:before="0" w:after="0" w:line="240" w:lineRule="atLeast"/>
            </w:pPr>
            <w:r>
              <w:rPr>
                <w:rFonts w:ascii="Arial" w:hAnsi="Arial" w:cs="Arial" w:eastAsia="Arial"/>
                <w:sz w:val="16"/>
                <w:szCs w:val="16"/>
              </w:rPr>
              <w:t>{'insert': True, 'field': 'twa_limit'}</w:t>
            </w:r>
          </w:p>
        </w:tc>
        <w:tc>
          <w:tcPr>
            <w:tcW w:type="dxa" w:w="1805"/>
          </w:tcPr>
          <w:p>
            <w:pPr>
              <w:pStyle w:val="TableContents"/>
              <w:spacing w:before="0" w:after="0" w:line="240" w:lineRule="atLeast"/>
            </w:pPr>
            <w:r>
              <w:rPr>
                <w:rFonts w:ascii="Arial" w:hAnsi="Arial" w:cs="Arial" w:eastAsia="Arial"/>
                <w:sz w:val="16"/>
                <w:szCs w:val="16"/>
              </w:rPr>
              <w:t>{'insert': True, 'field': 'peak_limit'}</w:t>
            </w:r>
          </w:p>
        </w:tc>
        <w:tc>
          <w:tcPr>
            <w:tcW w:type="dxa" w:w="1805"/>
          </w:tcPr>
          <w:p>
            <w:pPr>
              <w:pStyle w:val="TableContents"/>
              <w:spacing w:before="0" w:after="0" w:line="240" w:lineRule="atLeast"/>
            </w:pPr>
            <w:r>
              <w:rPr>
                <w:rFonts w:ascii="Arial" w:hAnsi="Arial" w:cs="Arial" w:eastAsia="Arial"/>
                <w:sz w:val="16"/>
                <w:szCs w:val="16"/>
              </w:rPr>
              <w:t>{'insert': True, 'field': 'ceiling_limit'}</w:t>
            </w:r>
          </w:p>
        </w:tc>
        <w:tc>
          <w:tcPr>
            <w:tcW w:type="dxa" w:w="1806"/>
          </w:tcPr>
          <w:p>
            <w:pPr>
              <w:pStyle w:val="TableContents"/>
              <w:spacing w:before="0" w:after="0" w:line="240" w:lineRule="atLeast"/>
            </w:pPr>
            <w:r>
              <w:rPr>
                <w:rFonts w:ascii="Arial" w:hAnsi="Arial" w:cs="Arial" w:eastAsia="Arial"/>
                <w:sz w:val="16"/>
                <w:szCs w:val="16"/>
              </w:rPr>
              <w:t>{'insert': True, 'field': 'limit_authority'}</w:t>
            </w:r>
          </w:p>
        </w:tc>
      </w:tr>
    </w:tbl>
    <w:p>
      <w:pPr>
        <w:pStyle w:val="NormalNumberedtext"/>
      </w:pPr>
    </w:p>
    <w:p>
      <w:pPr>
        <w:pStyle w:val="NormalNumberedtext"/>
      </w:pPr>
      <w:r>
        <w:t>Where national standards are less stringent than the IFC EHS Guidelines (85 dB(A) time-weighted average over eight hours; 140 dB(C) peak), the IFC EHS Guideline limits apply. The most stringent applicable limit governs at all times.</w:t>
      </w:r>
    </w:p>
    <w:p>
      <w:pPr>
        <w:pStyle w:val="NormalNumberedtext"/>
      </w:pPr>
      <w:r>
        <w:t>The 82 dB(A) average exposure limit for twelve-hour shifts applies to all personnel working those shifts regardless of employer organisation. This reduction is not discretionary.</w:t>
      </w:r>
    </w:p>
    <w:p>
      <w:pPr>
        <w:pStyle w:val="NormalNumberedtext"/>
      </w:pPr>
    </w:p>
    <w:p>
      <w:pPr>
        <w:pStyle w:val="Heading2Numbered"/>
        <w:numPr>
          <w:ilvl w:val="1"/>
          <w:numId w:val="1"/>
        </w:numPr>
      </w:pPr>
      <w:r>
        <w:rPr>
          <w:rFonts w:ascii="Arial" w:hAnsi="Arial" w:cs="Arial" w:eastAsia="Arial"/>
        </w:rPr>
        <w:t>Exposure at the Ear and Monitoring Compliance</w:t>
      </w:r>
    </w:p>
    <w:p>
      <w:pPr>
        <w:pStyle w:val="NormalNumberedtext"/>
      </w:pPr>
      <w:r>
        <w:t>Personnel must not exceed the applicable exposure limit at the ear, including when hearing protection is worn as a control measure.</w:t>
      </w:r>
    </w:p>
    <w:p>
      <w:pPr>
        <w:pStyle w:val="NormalNumberedtext"/>
      </w:pPr>
      <w:r>
        <w:t>The following requirements apply to exposure at the ear and compliance monitoring:</w:t>
      </w:r>
    </w:p>
    <w:p>
      <w:pPr>
        <w:pStyle w:val="NormalNumberedtext"/>
      </w:pPr>
      <w:r>
        <w:t>The competent person verifies compliance with exposure limits at the ear by:</w:t>
      </w:r>
    </w:p>
    <w:p>
      <w:pPr>
        <w:pStyle w:val="NumberedBulletL1"/>
      </w:pPr>
      <w:r>
        <w:t>Confirming that no personnel are exposed to more than 85 dB(A) over an eight-hour shift, or more than 82 dB(A) over a twelve-hour shift, at the ear while wearing hearing protection.</w:t>
      </w:r>
    </w:p>
    <w:p>
      <w:pPr>
        <w:pStyle w:val="NumberedBulletL1"/>
      </w:pPr>
      <w:r>
        <w:t>Verifying hearing protection attenuation through fit testing where hearing protection is designated as a critical control; fit testing requirements are governed by [INSERT: Project Document Number].</w:t>
      </w:r>
    </w:p>
    <w:p>
      <w:pPr>
        <w:pStyle w:val="NumberedBulletL1"/>
      </w:pPr>
      <w:r>
        <w:t>Conducting periodic noise monitoring at ear level to verify that the applied hearing protection achieves the required attenuation for each work area and role.</w:t>
      </w:r>
    </w:p>
    <w:p>
      <w:pPr>
        <w:pStyle w:val="NumberedBulletL1"/>
      </w:pPr>
      <w:r>
        <w:t>Recording and reporting all monitoring results as defined in Section 6 of this procedure.</w:t>
      </w:r>
    </w:p>
    <w:p>
      <w:pPr>
        <w:pStyle w:val="NormalNumberedtext"/>
      </w:pPr>
      <w:r>
        <w:t>The ongoing noise monitoring programme confirms that personnel do not exceed an average of 85 dB(A) over an eight-hour period, or 82 dB(A) over a twelve-hour period, and that peak noise levels do not exceed 140 dB(C). Monitoring results are recorded and reported in accordance with Section 6.</w:t>
      </w:r>
    </w:p>
    <w:p>
      <w:pPr>
        <w:pStyle w:val="NormalNumberedtext"/>
      </w:pPr>
    </w:p>
    <w:p>
      <w:pPr>
        <w:pStyle w:val="Heading1Numbered"/>
        <w:numPr>
          <w:ilvl w:val="0"/>
          <w:numId w:val="1"/>
        </w:numPr>
      </w:pPr>
      <w:r>
        <w:rPr>
          <w:rFonts w:ascii="Arial" w:hAnsi="Arial" w:cs="Arial" w:eastAsia="Arial"/>
        </w:rPr>
        <w:t>Controls and Hearing Protection Areas</w:t>
      </w:r>
    </w:p>
    <w:p>
      <w:pPr>
        <w:pStyle w:val="NormalNumberedtext"/>
      </w:pPr>
      <w:r>
        <w:t>This section defines the noise control hierarchy, hearing protection area designation requirements, and design criteria for equipment procurement and modification.</w:t>
      </w:r>
    </w:p>
    <w:p>
      <w:pPr>
        <w:pStyle w:val="NormalNumberedtext"/>
      </w:pPr>
    </w:p>
    <w:p>
      <w:pPr>
        <w:pStyle w:val="Heading2Numbered"/>
        <w:numPr>
          <w:ilvl w:val="1"/>
          <w:numId w:val="1"/>
        </w:numPr>
      </w:pPr>
      <w:r>
        <w:rPr>
          <w:rFonts w:ascii="Arial" w:hAnsi="Arial" w:cs="Arial" w:eastAsia="Arial"/>
        </w:rPr>
        <w:t>Noise Control Hierarchy</w:t>
      </w:r>
    </w:p>
    <w:p>
      <w:pPr>
        <w:pStyle w:val="NormalNumberedtext"/>
      </w:pPr>
      <w:r>
        <w:t>The noise control hierarchy is applied in order from elimination to hearing protection, with hearing protection used only where higher-order controls are not practicable.</w:t>
      </w:r>
    </w:p>
    <w:p>
      <w:pPr>
        <w:pStyle w:val="NormalNumberedtext"/>
      </w:pPr>
      <w:r>
        <w:t>The noise control hierarchy is applied in the following order:</w:t>
      </w:r>
    </w:p>
    <w:p>
      <w:pPr>
        <w:pStyle w:val="NumberedBulletL1"/>
      </w:pPr>
      <w:r>
        <w:t>Elimination or substitution: remove the noise source or replace it with a quieter process, technology, or item of plant.</w:t>
      </w:r>
    </w:p>
    <w:p>
      <w:pPr>
        <w:pStyle w:val="NumberedBulletL1"/>
      </w:pPr>
      <w:r>
        <w:t>Engineering controls: install barriers, acoustic enclosures, vibration isolation mounts, or acoustic screening between the noise source and exposed personnel.</w:t>
      </w:r>
    </w:p>
    <w:p>
      <w:pPr>
        <w:pStyle w:val="NumberedBulletL1"/>
      </w:pPr>
      <w:r>
        <w:t>Administrative controls: schedule noisy work away from personnel, rotate workers to limit individual exposure duration, and define maximum exposure times for each work area.</w:t>
      </w:r>
    </w:p>
    <w:p>
      <w:pPr>
        <w:pStyle w:val="NumberedBulletL1"/>
      </w:pPr>
      <w:r>
        <w:t>Hearing protection: select and issue hearing protection with the appropriate type and attenuation class as the last resort control; selection and fit testing requirements are governed by [INSERT: Project Document Number].</w:t>
      </w:r>
    </w:p>
    <w:p>
      <w:pPr>
        <w:pStyle w:val="NormalNumberedtext"/>
      </w:pPr>
      <w:r>
        <w:t>The work supervisor confirms that higher-order controls have been considered and documented before hearing protection is accepted as the primary control for any task or area. Where hearing protection is a critical control, fit testing is mandatory as defined by [INSERT: Project Document Number].</w:t>
      </w:r>
    </w:p>
    <w:p>
      <w:pPr>
        <w:pStyle w:val="NormalNumberedtext"/>
      </w:pPr>
    </w:p>
    <w:p>
      <w:pPr>
        <w:pStyle w:val="Heading2Numbered"/>
        <w:numPr>
          <w:ilvl w:val="1"/>
          <w:numId w:val="1"/>
        </w:numPr>
      </w:pPr>
      <w:r>
        <w:rPr>
          <w:rFonts w:ascii="Arial" w:hAnsi="Arial" w:cs="Arial" w:eastAsia="Arial"/>
        </w:rPr>
        <w:t>Hearing Protection Area Designation</w:t>
      </w:r>
    </w:p>
    <w:p>
      <w:pPr>
        <w:pStyle w:val="NormalNumberedtext"/>
      </w:pPr>
      <w:r>
        <w:t>Hearing protection areas are designated based on noise assessment findings and are clearly identified with compliant signage at all access points.</w:t>
      </w:r>
    </w:p>
    <w:p>
      <w:pPr>
        <w:pStyle w:val="NormalNumberedtext"/>
      </w:pPr>
      <w:r>
        <w:t>The HSESC Manager designates hearing protection areas based on the baseline noise assessment and any subsequent re-assessments. All personnel entering a designated hearing protection area must wear hearing protection appropriate to the noise level in that area.</w:t>
      </w:r>
    </w:p>
    <w:p>
      <w:pPr>
        <w:pStyle w:val="NormalNumberedtext"/>
      </w:pPr>
      <w:r>
        <w:t>The hearing protection areas for this project are defined as follows:</w:t>
      </w:r>
    </w:p>
    <w:p>
      <w:pPr>
        <w:pStyle w:val="NormalNumberedtext"/>
      </w:pPr>
      <w:r>
        <w:rPr>
          <w:b/>
          <w:bCs/>
          <w:color w:val="0059D1"/>
        </w:rPr>
        <w:t>[INSERT: hearing_protection_area_map] — Insert a site map showing designated hearing protection areas, or reference the noise area designation register by document number and title. Update when areas are added, removed, or reclassified following a re-assessment.</w:t>
      </w:r>
    </w:p>
    <w:p>
      <w:pPr>
        <w:pStyle w:val="NormalNumberedtext"/>
      </w:pPr>
      <w:r>
        <w:t>Table 3: Hearing Protection Area Register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Area Name or Reference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Noise Level Range (dB(A))</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Required Hearing Protection Class</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Signage Installed (Y/N)</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Date Designated</w:t>
            </w:r>
          </w:p>
        </w:tc>
      </w:tr>
      <w:tr>
        <w:tc>
          <w:tcPr>
            <w:tcW w:type="dxa" w:w="1805"/>
          </w:tcPr>
          <w:p>
            <w:pPr>
              <w:pStyle w:val="TableContents"/>
              <w:spacing w:before="0" w:after="0" w:line="240" w:lineRule="atLeast"/>
            </w:pPr>
            <w:r>
              <w:rPr>
                <w:rFonts w:ascii="Arial" w:hAnsi="Arial" w:cs="Arial" w:eastAsia="Arial"/>
                <w:sz w:val="16"/>
                <w:szCs w:val="16"/>
              </w:rPr>
              <w:t>{'insert': True, 'field': 'area_name_1'}</w:t>
            </w:r>
          </w:p>
        </w:tc>
        <w:tc>
          <w:tcPr>
            <w:tcW w:type="dxa" w:w="1805"/>
          </w:tcPr>
          <w:p>
            <w:pPr>
              <w:pStyle w:val="TableContents"/>
              <w:spacing w:before="0" w:after="0" w:line="240" w:lineRule="atLeast"/>
            </w:pPr>
            <w:r>
              <w:rPr>
                <w:rFonts w:ascii="Arial" w:hAnsi="Arial" w:cs="Arial" w:eastAsia="Arial"/>
                <w:sz w:val="16"/>
                <w:szCs w:val="16"/>
              </w:rPr>
              <w:t>{'insert': True, 'field': 'noise_range_1'}</w:t>
            </w:r>
          </w:p>
        </w:tc>
        <w:tc>
          <w:tcPr>
            <w:tcW w:type="dxa" w:w="1805"/>
          </w:tcPr>
          <w:p>
            <w:pPr>
              <w:pStyle w:val="TableContents"/>
              <w:spacing w:before="0" w:after="0" w:line="240" w:lineRule="atLeast"/>
            </w:pPr>
            <w:r>
              <w:rPr>
                <w:rFonts w:ascii="Arial" w:hAnsi="Arial" w:cs="Arial" w:eastAsia="Arial"/>
                <w:sz w:val="16"/>
                <w:szCs w:val="16"/>
              </w:rPr>
              <w:t>{'insert': True, 'field': 'hp_class_1'}</w:t>
            </w:r>
          </w:p>
        </w:tc>
        <w:tc>
          <w:tcPr>
            <w:tcW w:type="dxa" w:w="1805"/>
          </w:tcPr>
          <w:p>
            <w:pPr>
              <w:pStyle w:val="TableContents"/>
              <w:spacing w:before="0" w:after="0" w:line="240" w:lineRule="atLeast"/>
            </w:pPr>
            <w:r>
              <w:rPr>
                <w:rFonts w:ascii="Arial" w:hAnsi="Arial" w:cs="Arial" w:eastAsia="Arial"/>
                <w:sz w:val="16"/>
                <w:szCs w:val="16"/>
              </w:rPr>
              <w:t>{'insert': True, 'field': 'signage_1'}</w:t>
            </w:r>
          </w:p>
        </w:tc>
        <w:tc>
          <w:tcPr>
            <w:tcW w:type="dxa" w:w="1806"/>
          </w:tcPr>
          <w:p>
            <w:pPr>
              <w:pStyle w:val="TableContents"/>
              <w:spacing w:before="0" w:after="0" w:line="240" w:lineRule="atLeast"/>
            </w:pPr>
            <w:r>
              <w:rPr>
                <w:rFonts w:ascii="Arial" w:hAnsi="Arial" w:cs="Arial" w:eastAsia="Arial"/>
                <w:sz w:val="16"/>
                <w:szCs w:val="16"/>
              </w:rPr>
              <w:t>{'insert': True, 'field': 'date_1'}</w:t>
            </w:r>
          </w:p>
        </w:tc>
      </w:tr>
      <w:tr>
        <w:tc>
          <w:tcPr>
            <w:tcW w:type="dxa" w:w="1805"/>
          </w:tcPr>
          <w:p>
            <w:pPr>
              <w:pStyle w:val="TableContents"/>
              <w:spacing w:before="0" w:after="0" w:line="240" w:lineRule="atLeast"/>
            </w:pPr>
            <w:r>
              <w:rPr>
                <w:rFonts w:ascii="Arial" w:hAnsi="Arial" w:cs="Arial" w:eastAsia="Arial"/>
                <w:sz w:val="16"/>
                <w:szCs w:val="16"/>
              </w:rPr>
              <w:t>{'insert': True, 'field': 'area_name_2'}</w:t>
            </w:r>
          </w:p>
        </w:tc>
        <w:tc>
          <w:tcPr>
            <w:tcW w:type="dxa" w:w="1805"/>
          </w:tcPr>
          <w:p>
            <w:pPr>
              <w:pStyle w:val="TableContents"/>
              <w:spacing w:before="0" w:after="0" w:line="240" w:lineRule="atLeast"/>
            </w:pPr>
            <w:r>
              <w:rPr>
                <w:rFonts w:ascii="Arial" w:hAnsi="Arial" w:cs="Arial" w:eastAsia="Arial"/>
                <w:sz w:val="16"/>
                <w:szCs w:val="16"/>
              </w:rPr>
              <w:t>{'insert': True, 'field': 'noise_range_2'}</w:t>
            </w:r>
          </w:p>
        </w:tc>
        <w:tc>
          <w:tcPr>
            <w:tcW w:type="dxa" w:w="1805"/>
          </w:tcPr>
          <w:p>
            <w:pPr>
              <w:pStyle w:val="TableContents"/>
              <w:spacing w:before="0" w:after="0" w:line="240" w:lineRule="atLeast"/>
            </w:pPr>
            <w:r>
              <w:rPr>
                <w:rFonts w:ascii="Arial" w:hAnsi="Arial" w:cs="Arial" w:eastAsia="Arial"/>
                <w:sz w:val="16"/>
                <w:szCs w:val="16"/>
              </w:rPr>
              <w:t>{'insert': True, 'field': 'hp_class_2'}</w:t>
            </w:r>
          </w:p>
        </w:tc>
        <w:tc>
          <w:tcPr>
            <w:tcW w:type="dxa" w:w="1805"/>
          </w:tcPr>
          <w:p>
            <w:pPr>
              <w:pStyle w:val="TableContents"/>
              <w:spacing w:before="0" w:after="0" w:line="240" w:lineRule="atLeast"/>
            </w:pPr>
            <w:r>
              <w:rPr>
                <w:rFonts w:ascii="Arial" w:hAnsi="Arial" w:cs="Arial" w:eastAsia="Arial"/>
                <w:sz w:val="16"/>
                <w:szCs w:val="16"/>
              </w:rPr>
              <w:t>{'insert': True, 'field': 'signage_2'}</w:t>
            </w:r>
          </w:p>
        </w:tc>
        <w:tc>
          <w:tcPr>
            <w:tcW w:type="dxa" w:w="1806"/>
          </w:tcPr>
          <w:p>
            <w:pPr>
              <w:pStyle w:val="TableContents"/>
              <w:spacing w:before="0" w:after="0" w:line="240" w:lineRule="atLeast"/>
            </w:pPr>
            <w:r>
              <w:rPr>
                <w:rFonts w:ascii="Arial" w:hAnsi="Arial" w:cs="Arial" w:eastAsia="Arial"/>
                <w:sz w:val="16"/>
                <w:szCs w:val="16"/>
              </w:rPr>
              <w:t>{'insert': True, 'field': 'date_2'}</w:t>
            </w:r>
          </w:p>
        </w:tc>
      </w:tr>
    </w:tbl>
    <w:p>
      <w:pPr>
        <w:pStyle w:val="NormalNumberedtext"/>
      </w:pPr>
    </w:p>
    <w:p>
      <w:pPr>
        <w:pStyle w:val="Heading2Numbered"/>
        <w:numPr>
          <w:ilvl w:val="1"/>
          <w:numId w:val="1"/>
        </w:numPr>
      </w:pPr>
      <w:r>
        <w:rPr>
          <w:rFonts w:ascii="Arial" w:hAnsi="Arial" w:cs="Arial" w:eastAsia="Arial"/>
        </w:rPr>
        <w:t>Procurement and Equipment Design Criteria</w:t>
      </w:r>
    </w:p>
    <w:p>
      <w:pPr>
        <w:pStyle w:val="NormalNumberedtext"/>
      </w:pPr>
      <w:r>
        <w:t>Noise emission specifications are included in equipment procurement decisions and in the design criteria for plant construction or modification.</w:t>
      </w:r>
    </w:p>
    <w:p>
      <w:pPr>
        <w:pStyle w:val="NormalNumberedtext"/>
      </w:pPr>
      <w:r>
        <w:t>The Project Manager confirms that noise emission specifications are included as an evaluation criterion in procurement documentation for all fixed and mobile plant and equipment. The design criteria for noise reduction apply to the purchase, construction, and modification of workplace equipment.</w:t>
      </w:r>
    </w:p>
    <w:p>
      <w:pPr>
        <w:pStyle w:val="NormalNumberedtext"/>
      </w:pPr>
      <w:r>
        <w:t>Procurement and design requirements for noise control include:</w:t>
      </w:r>
    </w:p>
    <w:p>
      <w:pPr>
        <w:pStyle w:val="NumberedBulletL1"/>
      </w:pPr>
      <w:r>
        <w:t>Specifying maximum permissible noise emission levels in equipment purchase orders and tender documents.</w:t>
      </w:r>
    </w:p>
    <w:p>
      <w:pPr>
        <w:pStyle w:val="NumberedBulletL1"/>
      </w:pPr>
      <w:r>
        <w:t>Requiring suppliers to provide noise emission data measured in accordance with the relevant equipment noise standard before acceptance.</w:t>
      </w:r>
    </w:p>
    <w:p>
      <w:pPr>
        <w:pStyle w:val="NumberedBulletL1"/>
      </w:pPr>
      <w:r>
        <w:rPr>
          <w:color w:val="C55A11"/>
        </w:rPr>
        <w:t>Including noise emission performance as a scored criterion in tender evaluations for major plant and equipment categories.</w:t>
      </w:r>
    </w:p>
    <w:p>
      <w:pPr>
        <w:pStyle w:val="NumberedBulletL1"/>
      </w:pPr>
      <w:r>
        <w:t>Confirming that modifications to existing plant include a noise assessment before the modification is approved through the management of change process.</w:t>
      </w:r>
    </w:p>
    <w:p>
      <w:pPr>
        <w:pStyle w:val="NormalNumberedtext"/>
      </w:pPr>
    </w:p>
    <w:p>
      <w:pPr>
        <w:pStyle w:val="Heading1Numbered"/>
        <w:numPr>
          <w:ilvl w:val="0"/>
          <w:numId w:val="1"/>
        </w:numPr>
      </w:pPr>
      <w:r>
        <w:rPr>
          <w:rFonts w:ascii="Arial" w:hAnsi="Arial" w:cs="Arial" w:eastAsia="Arial"/>
        </w:rPr>
        <w:t>Monitoring and Health Surveillance</w:t>
      </w:r>
    </w:p>
    <w:p>
      <w:pPr>
        <w:pStyle w:val="NormalNumberedtext"/>
      </w:pPr>
      <w:r>
        <w:t>This section defines noise monitoring requirements, audiometric testing programme obligations, threshold shift criteria, and referral pathways for workers with identified hearing deterioration.</w:t>
      </w:r>
    </w:p>
    <w:p>
      <w:pPr>
        <w:pStyle w:val="NormalNumberedtext"/>
      </w:pPr>
    </w:p>
    <w:p>
      <w:pPr>
        <w:pStyle w:val="Heading2Numbered"/>
        <w:numPr>
          <w:ilvl w:val="1"/>
          <w:numId w:val="1"/>
        </w:numPr>
      </w:pPr>
      <w:r>
        <w:rPr>
          <w:rFonts w:ascii="Arial" w:hAnsi="Arial" w:cs="Arial" w:eastAsia="Arial"/>
        </w:rPr>
        <w:t>Noise Monitoring Programme</w:t>
      </w:r>
    </w:p>
    <w:p>
      <w:pPr>
        <w:pStyle w:val="NormalNumberedtext"/>
      </w:pPr>
      <w:r>
        <w:t>An ongoing noise monitoring programme verifies compliance with the exposure limits defined in Section 4 and informs control effectiveness reviews.</w:t>
      </w:r>
    </w:p>
    <w:p>
      <w:pPr>
        <w:pStyle w:val="NormalNumberedtext"/>
      </w:pPr>
      <w:r>
        <w:t>The competent person conducts noise monitoring in accordance with the following requirements. Environmental noise monitoring for community impact purposes is governed by [INSERT: Project Document Number].</w:t>
      </w:r>
    </w:p>
    <w:p>
      <w:pPr>
        <w:pStyle w:val="NormalNumberedtext"/>
      </w:pPr>
      <w:r>
        <w:t>Table 4: Noise Monitoring Programme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Monitoring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Method / Standard</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Frequency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Documentation Requirement</w:t>
            </w:r>
          </w:p>
        </w:tc>
      </w:tr>
      <w:tr>
        <w:tc>
          <w:tcPr>
            <w:tcW w:type="dxa" w:w="2256"/>
          </w:tcPr>
          <w:p>
            <w:pPr>
              <w:pStyle w:val="TableContents"/>
              <w:spacing w:before="0" w:after="0" w:line="240" w:lineRule="atLeast"/>
            </w:pPr>
            <w:r>
              <w:rPr>
                <w:rFonts w:ascii="Arial" w:hAnsi="Arial" w:cs="Arial" w:eastAsia="Arial"/>
                <w:sz w:val="16"/>
                <w:szCs w:val="16"/>
              </w:rPr>
              <w:t>Personal noise dosimetry (occupational exposure)</w:t>
            </w:r>
          </w:p>
        </w:tc>
        <w:tc>
          <w:tcPr>
            <w:tcW w:type="dxa" w:w="2256"/>
          </w:tcPr>
          <w:p>
            <w:pPr>
              <w:pStyle w:val="TableContents"/>
              <w:spacing w:before="0" w:after="0" w:line="240" w:lineRule="atLeast"/>
            </w:pPr>
            <w:r>
              <w:rPr>
                <w:rFonts w:ascii="Arial" w:hAnsi="Arial" w:cs="Arial" w:eastAsia="Arial"/>
                <w:sz w:val="16"/>
                <w:szCs w:val="16"/>
              </w:rPr>
              <w:t>ISO 9612 or equivalent sound level meter dosimetry</w:t>
            </w:r>
          </w:p>
        </w:tc>
        <w:tc>
          <w:tcPr>
            <w:tcW w:type="dxa" w:w="2256"/>
          </w:tcPr>
          <w:p>
            <w:pPr>
              <w:pStyle w:val="TableContents"/>
              <w:spacing w:before="0" w:after="0" w:line="240" w:lineRule="atLeast"/>
            </w:pPr>
            <w:r>
              <w:rPr>
                <w:rFonts w:ascii="Arial" w:hAnsi="Arial" w:cs="Arial" w:eastAsia="Arial"/>
                <w:sz w:val="16"/>
                <w:szCs w:val="16"/>
              </w:rPr>
              <w:t>Quarterly for all hearing protection areas; immediately following a re-assessment trigger</w:t>
            </w:r>
          </w:p>
        </w:tc>
        <w:tc>
          <w:tcPr>
            <w:tcW w:type="dxa" w:w="2258"/>
          </w:tcPr>
          <w:p>
            <w:pPr>
              <w:pStyle w:val="TableContents"/>
              <w:spacing w:before="0" w:after="0" w:line="240" w:lineRule="atLeast"/>
            </w:pPr>
            <w:r>
              <w:rPr>
                <w:rFonts w:ascii="Arial" w:hAnsi="Arial" w:cs="Arial" w:eastAsia="Arial"/>
                <w:sz w:val="16"/>
                <w:szCs w:val="16"/>
              </w:rPr>
              <w:t>Results recorded in the noise monitoring register; reported to HSESC Manager within 5 business days of measurement.</w:t>
            </w:r>
          </w:p>
        </w:tc>
      </w:tr>
      <w:tr>
        <w:tc>
          <w:tcPr>
            <w:tcW w:type="dxa" w:w="2256"/>
          </w:tcPr>
          <w:p>
            <w:pPr>
              <w:pStyle w:val="TableContents"/>
              <w:spacing w:before="0" w:after="0" w:line="240" w:lineRule="atLeast"/>
            </w:pPr>
            <w:r>
              <w:rPr>
                <w:rFonts w:ascii="Arial" w:hAnsi="Arial" w:cs="Arial" w:eastAsia="Arial"/>
                <w:sz w:val="16"/>
                <w:szCs w:val="16"/>
              </w:rPr>
              <w:t>Area noise survey (hearing protection area verification)</w:t>
            </w:r>
          </w:p>
        </w:tc>
        <w:tc>
          <w:tcPr>
            <w:tcW w:type="dxa" w:w="2256"/>
          </w:tcPr>
          <w:p>
            <w:pPr>
              <w:pStyle w:val="TableContents"/>
              <w:spacing w:before="0" w:after="0" w:line="240" w:lineRule="atLeast"/>
            </w:pPr>
            <w:r>
              <w:rPr>
                <w:rFonts w:ascii="Arial" w:hAnsi="Arial" w:cs="Arial" w:eastAsia="Arial"/>
                <w:sz w:val="16"/>
                <w:szCs w:val="16"/>
              </w:rPr>
              <w:t>Sound level meter survey per ISO 9612</w:t>
            </w:r>
          </w:p>
        </w:tc>
        <w:tc>
          <w:tcPr>
            <w:tcW w:type="dxa" w:w="2256"/>
          </w:tcPr>
          <w:p>
            <w:pPr>
              <w:pStyle w:val="TableContents"/>
              <w:spacing w:before="0" w:after="0" w:line="240" w:lineRule="atLeast"/>
            </w:pPr>
            <w:r>
              <w:rPr>
                <w:rFonts w:ascii="Arial" w:hAnsi="Arial" w:cs="Arial" w:eastAsia="Arial"/>
                <w:sz w:val="16"/>
                <w:szCs w:val="16"/>
              </w:rPr>
              <w:t>Six-monthly and following any re-assessment trigger</w:t>
            </w:r>
          </w:p>
        </w:tc>
        <w:tc>
          <w:tcPr>
            <w:tcW w:type="dxa" w:w="2258"/>
          </w:tcPr>
          <w:p>
            <w:pPr>
              <w:pStyle w:val="TableContents"/>
              <w:spacing w:before="0" w:after="0" w:line="240" w:lineRule="atLeast"/>
            </w:pPr>
            <w:r>
              <w:rPr>
                <w:rFonts w:ascii="Arial" w:hAnsi="Arial" w:cs="Arial" w:eastAsia="Arial"/>
                <w:sz w:val="16"/>
                <w:szCs w:val="16"/>
              </w:rPr>
              <w:t>Results compared against designated area classifications; register updated if reclassification is required.</w:t>
            </w:r>
          </w:p>
        </w:tc>
      </w:tr>
      <w:tr>
        <w:tc>
          <w:tcPr>
            <w:tcW w:type="dxa" w:w="2256"/>
          </w:tcPr>
          <w:p>
            <w:pPr>
              <w:pStyle w:val="TableContents"/>
              <w:spacing w:before="0" w:after="0" w:line="240" w:lineRule="atLeast"/>
            </w:pPr>
            <w:r>
              <w:rPr>
                <w:rFonts w:ascii="Arial" w:hAnsi="Arial" w:cs="Arial" w:eastAsia="Arial"/>
                <w:sz w:val="16"/>
                <w:szCs w:val="16"/>
              </w:rPr>
              <w:t>Noise at the ear verification (critical controls)</w:t>
            </w:r>
          </w:p>
        </w:tc>
        <w:tc>
          <w:tcPr>
            <w:tcW w:type="dxa" w:w="2256"/>
          </w:tcPr>
          <w:p>
            <w:pPr>
              <w:pStyle w:val="TableContents"/>
              <w:spacing w:before="0" w:after="0" w:line="240" w:lineRule="atLeast"/>
            </w:pPr>
            <w:r>
              <w:rPr>
                <w:rFonts w:ascii="Arial" w:hAnsi="Arial" w:cs="Arial" w:eastAsia="Arial"/>
                <w:sz w:val="16"/>
                <w:szCs w:val="16"/>
              </w:rPr>
              <w:t xml:space="preserve">F-MIRE or attenuation measurement per </w:t>
            </w:r>
            <w:r>
              <w:rPr>
                <w:rFonts w:ascii="Arial" w:hAnsi="Arial" w:cs="Arial" w:eastAsia="Arial"/>
                <w:b/>
                <w:bCs/>
                <w:color w:val="0059D1"/>
                <w:sz w:val="16"/>
                <w:szCs w:val="16"/>
              </w:rPr>
              <w:t>[INSERT: Project Document Number]</w:t>
            </w:r>
          </w:p>
        </w:tc>
        <w:tc>
          <w:tcPr>
            <w:tcW w:type="dxa" w:w="2256"/>
          </w:tcPr>
          <w:p>
            <w:pPr>
              <w:pStyle w:val="TableContents"/>
              <w:spacing w:before="0" w:after="0" w:line="240" w:lineRule="atLeast"/>
            </w:pPr>
            <w:r>
              <w:rPr>
                <w:rFonts w:ascii="Arial" w:hAnsi="Arial" w:cs="Arial" w:eastAsia="Arial"/>
                <w:sz w:val="16"/>
                <w:szCs w:val="16"/>
              </w:rPr>
              <w:t>At initial designation and following any change in hearing protection type or supplier</w:t>
            </w:r>
          </w:p>
        </w:tc>
        <w:tc>
          <w:tcPr>
            <w:tcW w:type="dxa" w:w="2258"/>
          </w:tcPr>
          <w:p>
            <w:pPr>
              <w:pStyle w:val="TableContents"/>
              <w:spacing w:before="0" w:after="0" w:line="240" w:lineRule="atLeast"/>
            </w:pPr>
            <w:r>
              <w:rPr>
                <w:rFonts w:ascii="Arial" w:hAnsi="Arial" w:cs="Arial" w:eastAsia="Arial"/>
                <w:sz w:val="16"/>
                <w:szCs w:val="16"/>
              </w:rPr>
              <w:t xml:space="preserve">Fit test records maintained per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2256"/>
          </w:tcPr>
          <w:p>
            <w:pPr>
              <w:pStyle w:val="TableContents"/>
              <w:spacing w:before="0" w:after="0" w:line="240" w:lineRule="atLeast"/>
            </w:pPr>
            <w:r>
              <w:rPr>
                <w:rFonts w:ascii="Arial" w:hAnsi="Arial" w:cs="Arial" w:eastAsia="Arial"/>
                <w:sz w:val="16"/>
                <w:szCs w:val="16"/>
              </w:rPr>
              <w:t>{'insert': True, 'field': 'monitoring_type'}</w:t>
            </w:r>
          </w:p>
        </w:tc>
        <w:tc>
          <w:tcPr>
            <w:tcW w:type="dxa" w:w="2256"/>
          </w:tcPr>
          <w:p>
            <w:pPr>
              <w:pStyle w:val="TableContents"/>
              <w:spacing w:before="0" w:after="0" w:line="240" w:lineRule="atLeast"/>
            </w:pPr>
            <w:r>
              <w:rPr>
                <w:rFonts w:ascii="Arial" w:hAnsi="Arial" w:cs="Arial" w:eastAsia="Arial"/>
                <w:sz w:val="16"/>
                <w:szCs w:val="16"/>
              </w:rPr>
              <w:t>{'insert': True, 'field': 'monitoring_method'}</w:t>
            </w:r>
          </w:p>
        </w:tc>
        <w:tc>
          <w:tcPr>
            <w:tcW w:type="dxa" w:w="2256"/>
          </w:tcPr>
          <w:p>
            <w:pPr>
              <w:pStyle w:val="TableContents"/>
              <w:spacing w:before="0" w:after="0" w:line="240" w:lineRule="atLeast"/>
            </w:pPr>
            <w:r>
              <w:rPr>
                <w:rFonts w:ascii="Arial" w:hAnsi="Arial" w:cs="Arial" w:eastAsia="Arial"/>
                <w:sz w:val="16"/>
                <w:szCs w:val="16"/>
              </w:rPr>
              <w:t>{'insert': True, 'field': 'monitoring_frequency'}</w:t>
            </w:r>
          </w:p>
        </w:tc>
        <w:tc>
          <w:tcPr>
            <w:tcW w:type="dxa" w:w="2258"/>
          </w:tcPr>
          <w:p>
            <w:pPr>
              <w:pStyle w:val="TableContents"/>
              <w:spacing w:before="0" w:after="0" w:line="240" w:lineRule="atLeast"/>
            </w:pPr>
            <w:r>
              <w:rPr>
                <w:rFonts w:ascii="Arial" w:hAnsi="Arial" w:cs="Arial" w:eastAsia="Arial"/>
                <w:sz w:val="16"/>
                <w:szCs w:val="16"/>
              </w:rPr>
              <w:t>{'insert': True, 'field': 'monitoring_documentation'}</w:t>
            </w:r>
          </w:p>
        </w:tc>
      </w:tr>
    </w:tbl>
    <w:p>
      <w:pPr>
        <w:pStyle w:val="NormalNumberedtext"/>
      </w:pPr>
    </w:p>
    <w:p>
      <w:pPr>
        <w:pStyle w:val="Heading2Numbered"/>
        <w:numPr>
          <w:ilvl w:val="1"/>
          <w:numId w:val="1"/>
        </w:numPr>
      </w:pPr>
      <w:r>
        <w:rPr>
          <w:rFonts w:ascii="Arial" w:hAnsi="Arial" w:cs="Arial" w:eastAsia="Arial"/>
        </w:rPr>
        <w:t>Audiometric Testing Programme</w:t>
      </w:r>
    </w:p>
    <w:p>
      <w:pPr>
        <w:pStyle w:val="NormalNumberedtext"/>
      </w:pPr>
      <w:r>
        <w:t>All workers regularly exposed to noise above action levels participate in the audiometric testing programme at defined intervals.</w:t>
      </w:r>
    </w:p>
    <w:p>
      <w:pPr>
        <w:pStyle w:val="NormalNumberedtext"/>
      </w:pPr>
      <w:r>
        <w:t>The audiometric testing programme is delivered by the approved occupational health provider for this project:</w:t>
      </w:r>
    </w:p>
    <w:p>
      <w:pPr>
        <w:pStyle w:val="NormalNumberedtext"/>
      </w:pPr>
      <w:r>
        <w:rPr>
          <w:b/>
          <w:bCs/>
          <w:color w:val="0059D1"/>
        </w:rPr>
        <w:t>[INSERT: audiometric_testing_provider] — Insert the name and contact details of the approved audiometric testing provider for this project.</w:t>
      </w:r>
    </w:p>
    <w:p>
      <w:pPr>
        <w:pStyle w:val="NormalNumberedtext"/>
      </w:pPr>
      <w:r>
        <w:t>The programme meets the following minimum requirements:</w:t>
      </w:r>
    </w:p>
    <w:p>
      <w:pPr>
        <w:pStyle w:val="NormalNumberedtext"/>
      </w:pPr>
      <w:r>
        <w:t>Audiometric testing is conducted as follows:</w:t>
      </w:r>
    </w:p>
    <w:p>
      <w:pPr>
        <w:pStyle w:val="NumberedBulletL1"/>
      </w:pPr>
      <w:r>
        <w:t>A baseline audiometric test is completed for all workers assigned to roles regularly exposed to noise at or above the applicable action level before or within 30 days of commencing work in a noise-exposed role.</w:t>
      </w:r>
    </w:p>
    <w:p>
      <w:pPr>
        <w:pStyle w:val="NumberedBulletL1"/>
      </w:pPr>
      <w:r>
        <w:rPr>
          <w:color w:val="C55A11"/>
        </w:rPr>
        <w:t>Periodic audiometric testing is conducted at intervals not exceeding 24 months for workers with no identified threshold shift, and at intervals not exceeding 12 months for workers with a confirmed standard threshold shift.</w:t>
      </w:r>
    </w:p>
    <w:p>
      <w:pPr>
        <w:pStyle w:val="NumberedBulletL1"/>
      </w:pPr>
      <w:r>
        <w:t>Testing meets the minimum standard defined by the applicable national occupational health regulation, and where that standard is less stringent than the IFC EHS Guidelines, the IFC EHS Guideline standard applies.</w:t>
      </w:r>
    </w:p>
    <w:p>
      <w:pPr>
        <w:pStyle w:val="NumberedBulletL1"/>
      </w:pPr>
      <w:r>
        <w:t>Results are documented and retained in a confidential health record held by the occupational health provider, with aggregate de-identified outcomes reported to the HSESC Manager.</w:t>
      </w:r>
    </w:p>
    <w:p>
      <w:pPr>
        <w:pStyle w:val="NormalNumberedtext"/>
      </w:pPr>
      <w:r>
        <w:t>The roles and testing schedule for this project are defined as follows:</w:t>
      </w:r>
    </w:p>
    <w:p>
      <w:pPr>
        <w:pStyle w:val="NormalNumberedtext"/>
      </w:pPr>
      <w:r>
        <w:rPr>
          <w:b/>
          <w:bCs/>
          <w:color w:val="0059D1"/>
        </w:rPr>
        <w:t>[INSERT: audiometric_testing_schedule] — Define the roles requiring baseline audiometric testing, the testing intervals for each role category, and the schedule for initial and periodic tests. Include the name of the approved testing provider.</w:t>
      </w:r>
    </w:p>
    <w:p>
      <w:pPr>
        <w:pStyle w:val="NormalNumberedtext"/>
      </w:pPr>
      <w:r>
        <w:t>Table 5: Audiometric Testing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Role / Work Group</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Baseline Test Required (Y/N)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Periodic Test Interval</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Testing Provider</w:t>
            </w:r>
          </w:p>
        </w:tc>
      </w:tr>
      <w:tr>
        <w:tc>
          <w:tcPr>
            <w:tcW w:type="dxa" w:w="2256"/>
          </w:tcPr>
          <w:p>
            <w:pPr>
              <w:pStyle w:val="TableContents"/>
              <w:spacing w:before="0" w:after="0" w:line="240" w:lineRule="atLeast"/>
            </w:pPr>
            <w:r>
              <w:rPr>
                <w:rFonts w:ascii="Arial" w:hAnsi="Arial" w:cs="Arial" w:eastAsia="Arial"/>
                <w:sz w:val="16"/>
                <w:szCs w:val="16"/>
              </w:rPr>
              <w:t>{'insert': True, 'field': 'role_1'}</w:t>
            </w:r>
          </w:p>
        </w:tc>
        <w:tc>
          <w:tcPr>
            <w:tcW w:type="dxa" w:w="2256"/>
          </w:tcPr>
          <w:p>
            <w:pPr>
              <w:pStyle w:val="TableContents"/>
              <w:spacing w:before="0" w:after="0" w:line="240" w:lineRule="atLeast"/>
            </w:pPr>
            <w:r>
              <w:rPr>
                <w:rFonts w:ascii="Arial" w:hAnsi="Arial" w:cs="Arial" w:eastAsia="Arial"/>
                <w:sz w:val="16"/>
                <w:szCs w:val="16"/>
              </w:rPr>
              <w:t>{'insert': True, 'field': 'baseline_1'}</w:t>
            </w:r>
          </w:p>
        </w:tc>
        <w:tc>
          <w:tcPr>
            <w:tcW w:type="dxa" w:w="2256"/>
          </w:tcPr>
          <w:p>
            <w:pPr>
              <w:pStyle w:val="TableContents"/>
              <w:spacing w:before="0" w:after="0" w:line="240" w:lineRule="atLeast"/>
            </w:pPr>
            <w:r>
              <w:rPr>
                <w:rFonts w:ascii="Arial" w:hAnsi="Arial" w:cs="Arial" w:eastAsia="Arial"/>
                <w:sz w:val="16"/>
                <w:szCs w:val="16"/>
              </w:rPr>
              <w:t>{'insert': True, 'field': 'interval_1'}</w:t>
            </w:r>
          </w:p>
        </w:tc>
        <w:tc>
          <w:tcPr>
            <w:tcW w:type="dxa" w:w="2258"/>
          </w:tcPr>
          <w:p>
            <w:pPr>
              <w:pStyle w:val="TableContents"/>
              <w:spacing w:before="0" w:after="0" w:line="240" w:lineRule="atLeast"/>
            </w:pPr>
            <w:r>
              <w:rPr>
                <w:rFonts w:ascii="Arial" w:hAnsi="Arial" w:cs="Arial" w:eastAsia="Arial"/>
                <w:sz w:val="16"/>
                <w:szCs w:val="16"/>
              </w:rPr>
              <w:t>{'insert': True, 'field': 'provider_1'}</w:t>
            </w:r>
          </w:p>
        </w:tc>
      </w:tr>
      <w:tr>
        <w:tc>
          <w:tcPr>
            <w:tcW w:type="dxa" w:w="2256"/>
          </w:tcPr>
          <w:p>
            <w:pPr>
              <w:pStyle w:val="TableContents"/>
              <w:spacing w:before="0" w:after="0" w:line="240" w:lineRule="atLeast"/>
            </w:pPr>
            <w:r>
              <w:rPr>
                <w:rFonts w:ascii="Arial" w:hAnsi="Arial" w:cs="Arial" w:eastAsia="Arial"/>
                <w:sz w:val="16"/>
                <w:szCs w:val="16"/>
              </w:rPr>
              <w:t>{'insert': True, 'field': 'role_2'}</w:t>
            </w:r>
          </w:p>
        </w:tc>
        <w:tc>
          <w:tcPr>
            <w:tcW w:type="dxa" w:w="2256"/>
          </w:tcPr>
          <w:p>
            <w:pPr>
              <w:pStyle w:val="TableContents"/>
              <w:spacing w:before="0" w:after="0" w:line="240" w:lineRule="atLeast"/>
            </w:pPr>
            <w:r>
              <w:rPr>
                <w:rFonts w:ascii="Arial" w:hAnsi="Arial" w:cs="Arial" w:eastAsia="Arial"/>
                <w:sz w:val="16"/>
                <w:szCs w:val="16"/>
              </w:rPr>
              <w:t>{'insert': True, 'field': 'baseline_2'}</w:t>
            </w:r>
          </w:p>
        </w:tc>
        <w:tc>
          <w:tcPr>
            <w:tcW w:type="dxa" w:w="2256"/>
          </w:tcPr>
          <w:p>
            <w:pPr>
              <w:pStyle w:val="TableContents"/>
              <w:spacing w:before="0" w:after="0" w:line="240" w:lineRule="atLeast"/>
            </w:pPr>
            <w:r>
              <w:rPr>
                <w:rFonts w:ascii="Arial" w:hAnsi="Arial" w:cs="Arial" w:eastAsia="Arial"/>
                <w:sz w:val="16"/>
                <w:szCs w:val="16"/>
              </w:rPr>
              <w:t>{'insert': True, 'field': 'interval_2'}</w:t>
            </w:r>
          </w:p>
        </w:tc>
        <w:tc>
          <w:tcPr>
            <w:tcW w:type="dxa" w:w="2258"/>
          </w:tcPr>
          <w:p>
            <w:pPr>
              <w:pStyle w:val="TableContents"/>
              <w:spacing w:before="0" w:after="0" w:line="240" w:lineRule="atLeast"/>
            </w:pPr>
            <w:r>
              <w:rPr>
                <w:rFonts w:ascii="Arial" w:hAnsi="Arial" w:cs="Arial" w:eastAsia="Arial"/>
                <w:sz w:val="16"/>
                <w:szCs w:val="16"/>
              </w:rPr>
              <w:t>{'insert': True, 'field': 'provider_2'}</w:t>
            </w:r>
          </w:p>
        </w:tc>
      </w:tr>
    </w:tbl>
    <w:p>
      <w:pPr>
        <w:pStyle w:val="NormalNumberedtext"/>
      </w:pPr>
    </w:p>
    <w:p>
      <w:pPr>
        <w:pStyle w:val="Heading2Numbered"/>
        <w:numPr>
          <w:ilvl w:val="1"/>
          <w:numId w:val="1"/>
        </w:numPr>
      </w:pPr>
      <w:r>
        <w:rPr>
          <w:rFonts w:ascii="Arial" w:hAnsi="Arial" w:cs="Arial" w:eastAsia="Arial"/>
        </w:rPr>
        <w:t>Threshold Shift Criteria and Referral Pathway</w:t>
      </w:r>
    </w:p>
    <w:p>
      <w:pPr>
        <w:pStyle w:val="NormalNumberedtext"/>
      </w:pPr>
      <w:r>
        <w:t>The occupational health provider identifies threshold shifts and initiates the defined referral pathway for workers with confirmed hearing deterioration.</w:t>
      </w:r>
    </w:p>
    <w:p>
      <w:pPr>
        <w:pStyle w:val="NormalNumberedtext"/>
      </w:pPr>
      <w:r>
        <w:t>The following criteria and referral pathway apply to all workers enrolled in the audiometric testing programme:</w:t>
      </w:r>
    </w:p>
    <w:p>
      <w:pPr>
        <w:pStyle w:val="NormalNumberedtext"/>
      </w:pPr>
      <w:r>
        <w:t>Threshold shift criteria and the required responses are:</w:t>
      </w:r>
    </w:p>
    <w:p>
      <w:pPr>
        <w:pStyle w:val="NumberedBulletL1"/>
      </w:pPr>
      <w:r>
        <w:rPr>
          <w:color w:val="C55A11"/>
        </w:rPr>
        <w:t>A standard threshold shift is defined as an average change of 10 dB or more at 2000, 3000, and 4000 Hz in either ear compared to the baseline audiogram.</w:t>
      </w:r>
    </w:p>
    <w:p>
      <w:pPr>
        <w:pStyle w:val="NumberedBulletL1"/>
      </w:pPr>
      <w:r>
        <w:t>When a standard threshold shift is identified, the occupational health provider notifies the HSESC Manager within 5 business days and schedules a confirmatory re-test within 30 days.</w:t>
      </w:r>
    </w:p>
    <w:p>
      <w:pPr>
        <w:pStyle w:val="NumberedBulletL1"/>
      </w:pPr>
      <w:r>
        <w:t>Where a threshold shift is confirmed, the HSESC Manager initiates a review of the controls applied to the affected worker's role, escalates the monitoring interval, and documents the outcome in the noise monitoring register.</w:t>
      </w:r>
    </w:p>
    <w:p>
      <w:pPr>
        <w:pStyle w:val="NumberedBulletL1"/>
      </w:pPr>
      <w:r>
        <w:t>Workers with confirmed hearing deterioration are referred to an audiologist or occupational physician for clinical assessment and management; report all incidents and near misses per project requirements, refer [INSERT: Project Document Number].</w:t>
      </w:r>
    </w:p>
    <w:p>
      <w:pPr>
        <w:pStyle w:val="NumberedBulletL1"/>
      </w:pPr>
      <w:r>
        <w:rPr>
          <w:color w:val="C55A11"/>
        </w:rPr>
        <w:t>Where clinical assessment confirms occupational hearing loss, the HSESC Manager implements enhanced controls for the affected role group and reviews the adequacy of controls across similar roles within 30 days.</w:t>
      </w:r>
    </w:p>
    <w:p>
      <w:pPr>
        <w:pStyle w:val="NormalNumberedtext"/>
      </w:pPr>
    </w:p>
    <w:p>
      <w:pPr>
        <w:pStyle w:val="Heading1Numbered"/>
        <w:numPr>
          <w:ilvl w:val="0"/>
          <w:numId w:val="1"/>
        </w:numPr>
      </w:pPr>
      <w:r>
        <w:rPr>
          <w:rFonts w:ascii="Arial" w:hAnsi="Arial" w:cs="Arial" w:eastAsia="Arial"/>
        </w:rPr>
        <w:t>Community Noise</w:t>
      </w:r>
    </w:p>
    <w:p>
      <w:pPr>
        <w:pStyle w:val="NormalNumberedtext"/>
      </w:pPr>
      <w:r>
        <w:t>This section defines the requirements for assessing, limiting, and managing noise impacts on surrounding communities and sensitive receptors at the project boundary.</w:t>
      </w:r>
    </w:p>
    <w:p>
      <w:pPr>
        <w:pStyle w:val="NormalNumberedtext"/>
      </w:pPr>
    </w:p>
    <w:p>
      <w:pPr>
        <w:pStyle w:val="Heading2Numbered"/>
        <w:numPr>
          <w:ilvl w:val="1"/>
          <w:numId w:val="1"/>
        </w:numPr>
      </w:pPr>
      <w:r>
        <w:rPr>
          <w:rFonts w:ascii="Arial" w:hAnsi="Arial" w:cs="Arial" w:eastAsia="Arial"/>
        </w:rPr>
        <w:t>Community Noise Assessment and Limits</w:t>
      </w:r>
    </w:p>
    <w:p>
      <w:pPr>
        <w:pStyle w:val="NormalNumberedtext"/>
      </w:pPr>
      <w:r>
        <w:t>Community noise impacts are assessed and documented before work commences and managed to within approved or agreed limits throughout the project.</w:t>
      </w:r>
    </w:p>
    <w:p>
      <w:pPr>
        <w:pStyle w:val="NormalNumberedtext"/>
      </w:pPr>
      <w:r>
        <w:t>The HSESC Manager confirms that noise impacts on surrounding communities and ecosystems are assessed and documented as part of the project risk and impact assessment process. Community noise monitoring is conducted in accordance with [INSERT: Project Document Number].</w:t>
      </w:r>
    </w:p>
    <w:p>
      <w:pPr>
        <w:pStyle w:val="NormalNumberedtext"/>
      </w:pPr>
      <w:r>
        <w:t>Community noise is managed to meet WHO guidelines and applicable national standards at sensitive receptors, with specific consideration for schools, hospitals, and residential areas in the vicinity of the project. Where national standards are less stringent than WHO guidelines, WHO guidelines apply.</w:t>
      </w:r>
    </w:p>
    <w:p>
      <w:pPr>
        <w:pStyle w:val="NormalNumberedtext"/>
      </w:pPr>
      <w:r>
        <w:t>The project-specific community noise limits and approved monitoring locations are defined as follows:</w:t>
      </w:r>
    </w:p>
    <w:p>
      <w:pPr>
        <w:pStyle w:val="NormalNumberedtext"/>
      </w:pPr>
      <w:r>
        <w:rPr>
          <w:b/>
          <w:bCs/>
          <w:color w:val="0059D1"/>
        </w:rPr>
        <w:t>[INSERT: community_noise_limits] — Insert the project-specific community noise limits derived from permit conditions, regulatory requirements, or agreements with surrounding stakeholders. Include daytime and night-time limits, applicable sensitive receptor locations, and the document or agreement from which the limits are drawn.</w:t>
      </w:r>
    </w:p>
    <w:p>
      <w:pPr>
        <w:pStyle w:val="NormalNumberedtext"/>
      </w:pPr>
      <w:r>
        <w:t>Table 6: Community Noise Limits and Monitoring Locations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Receptor / Location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Daytime Limit (dB(A))</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Night-time Limit (dB(A))</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Monitoring Point Reference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Permit or Agreement Reference</w:t>
            </w:r>
          </w:p>
        </w:tc>
      </w:tr>
      <w:tr>
        <w:tc>
          <w:tcPr>
            <w:tcW w:type="dxa" w:w="1805"/>
          </w:tcPr>
          <w:p>
            <w:pPr>
              <w:pStyle w:val="TableContents"/>
              <w:spacing w:before="0" w:after="0" w:line="240" w:lineRule="atLeast"/>
            </w:pPr>
            <w:r>
              <w:rPr>
                <w:rFonts w:ascii="Arial" w:hAnsi="Arial" w:cs="Arial" w:eastAsia="Arial"/>
                <w:sz w:val="16"/>
                <w:szCs w:val="16"/>
              </w:rPr>
              <w:t>{'insert': True, 'field': 'receptor_1'}</w:t>
            </w:r>
          </w:p>
        </w:tc>
        <w:tc>
          <w:tcPr>
            <w:tcW w:type="dxa" w:w="1805"/>
          </w:tcPr>
          <w:p>
            <w:pPr>
              <w:pStyle w:val="TableContents"/>
              <w:spacing w:before="0" w:after="0" w:line="240" w:lineRule="atLeast"/>
            </w:pPr>
            <w:r>
              <w:rPr>
                <w:rFonts w:ascii="Arial" w:hAnsi="Arial" w:cs="Arial" w:eastAsia="Arial"/>
                <w:sz w:val="16"/>
                <w:szCs w:val="16"/>
              </w:rPr>
              <w:t>{'insert': True, 'field': 'day_limit_1'}</w:t>
            </w:r>
          </w:p>
        </w:tc>
        <w:tc>
          <w:tcPr>
            <w:tcW w:type="dxa" w:w="1805"/>
          </w:tcPr>
          <w:p>
            <w:pPr>
              <w:pStyle w:val="TableContents"/>
              <w:spacing w:before="0" w:after="0" w:line="240" w:lineRule="atLeast"/>
            </w:pPr>
            <w:r>
              <w:rPr>
                <w:rFonts w:ascii="Arial" w:hAnsi="Arial" w:cs="Arial" w:eastAsia="Arial"/>
                <w:sz w:val="16"/>
                <w:szCs w:val="16"/>
              </w:rPr>
              <w:t>{'insert': True, 'field': 'night_limit_1'}</w:t>
            </w:r>
          </w:p>
        </w:tc>
        <w:tc>
          <w:tcPr>
            <w:tcW w:type="dxa" w:w="1805"/>
          </w:tcPr>
          <w:p>
            <w:pPr>
              <w:pStyle w:val="TableContents"/>
              <w:spacing w:before="0" w:after="0" w:line="240" w:lineRule="atLeast"/>
            </w:pPr>
            <w:r>
              <w:rPr>
                <w:rFonts w:ascii="Arial" w:hAnsi="Arial" w:cs="Arial" w:eastAsia="Arial"/>
                <w:sz w:val="16"/>
                <w:szCs w:val="16"/>
              </w:rPr>
              <w:t>{'insert': True, 'field': 'monitor_point_1'}</w:t>
            </w:r>
          </w:p>
        </w:tc>
        <w:tc>
          <w:tcPr>
            <w:tcW w:type="dxa" w:w="1806"/>
          </w:tcPr>
          <w:p>
            <w:pPr>
              <w:pStyle w:val="TableContents"/>
              <w:spacing w:before="0" w:after="0" w:line="240" w:lineRule="atLeast"/>
            </w:pPr>
            <w:r>
              <w:rPr>
                <w:rFonts w:ascii="Arial" w:hAnsi="Arial" w:cs="Arial" w:eastAsia="Arial"/>
                <w:sz w:val="16"/>
                <w:szCs w:val="16"/>
              </w:rPr>
              <w:t>{'insert': True, 'field': 'permit_ref_1'}</w:t>
            </w:r>
          </w:p>
        </w:tc>
      </w:tr>
      <w:tr>
        <w:tc>
          <w:tcPr>
            <w:tcW w:type="dxa" w:w="1805"/>
          </w:tcPr>
          <w:p>
            <w:pPr>
              <w:pStyle w:val="TableContents"/>
              <w:spacing w:before="0" w:after="0" w:line="240" w:lineRule="atLeast"/>
            </w:pPr>
            <w:r>
              <w:rPr>
                <w:rFonts w:ascii="Arial" w:hAnsi="Arial" w:cs="Arial" w:eastAsia="Arial"/>
                <w:sz w:val="16"/>
                <w:szCs w:val="16"/>
              </w:rPr>
              <w:t>{'insert': True, 'field': 'receptor_2'}</w:t>
            </w:r>
          </w:p>
        </w:tc>
        <w:tc>
          <w:tcPr>
            <w:tcW w:type="dxa" w:w="1805"/>
          </w:tcPr>
          <w:p>
            <w:pPr>
              <w:pStyle w:val="TableContents"/>
              <w:spacing w:before="0" w:after="0" w:line="240" w:lineRule="atLeast"/>
            </w:pPr>
            <w:r>
              <w:rPr>
                <w:rFonts w:ascii="Arial" w:hAnsi="Arial" w:cs="Arial" w:eastAsia="Arial"/>
                <w:sz w:val="16"/>
                <w:szCs w:val="16"/>
              </w:rPr>
              <w:t>{'insert': True, 'field': 'day_limit_2'}</w:t>
            </w:r>
          </w:p>
        </w:tc>
        <w:tc>
          <w:tcPr>
            <w:tcW w:type="dxa" w:w="1805"/>
          </w:tcPr>
          <w:p>
            <w:pPr>
              <w:pStyle w:val="TableContents"/>
              <w:spacing w:before="0" w:after="0" w:line="240" w:lineRule="atLeast"/>
            </w:pPr>
            <w:r>
              <w:rPr>
                <w:rFonts w:ascii="Arial" w:hAnsi="Arial" w:cs="Arial" w:eastAsia="Arial"/>
                <w:sz w:val="16"/>
                <w:szCs w:val="16"/>
              </w:rPr>
              <w:t>{'insert': True, 'field': 'night_limit_2'}</w:t>
            </w:r>
          </w:p>
        </w:tc>
        <w:tc>
          <w:tcPr>
            <w:tcW w:type="dxa" w:w="1805"/>
          </w:tcPr>
          <w:p>
            <w:pPr>
              <w:pStyle w:val="TableContents"/>
              <w:spacing w:before="0" w:after="0" w:line="240" w:lineRule="atLeast"/>
            </w:pPr>
            <w:r>
              <w:rPr>
                <w:rFonts w:ascii="Arial" w:hAnsi="Arial" w:cs="Arial" w:eastAsia="Arial"/>
                <w:sz w:val="16"/>
                <w:szCs w:val="16"/>
              </w:rPr>
              <w:t>{'insert': True, 'field': 'monitor_point_2'}</w:t>
            </w:r>
          </w:p>
        </w:tc>
        <w:tc>
          <w:tcPr>
            <w:tcW w:type="dxa" w:w="1806"/>
          </w:tcPr>
          <w:p>
            <w:pPr>
              <w:pStyle w:val="TableContents"/>
              <w:spacing w:before="0" w:after="0" w:line="240" w:lineRule="atLeast"/>
            </w:pPr>
            <w:r>
              <w:rPr>
                <w:rFonts w:ascii="Arial" w:hAnsi="Arial" w:cs="Arial" w:eastAsia="Arial"/>
                <w:sz w:val="16"/>
                <w:szCs w:val="16"/>
              </w:rPr>
              <w:t>{'insert': True, 'field': 'permit_ref_2'}</w:t>
            </w:r>
          </w:p>
        </w:tc>
      </w:tr>
    </w:tbl>
    <w:p>
      <w:pPr>
        <w:pStyle w:val="NormalNumberedtext"/>
      </w:pPr>
    </w:p>
    <w:p>
      <w:pPr>
        <w:pStyle w:val="Heading2Numbered"/>
        <w:numPr>
          <w:ilvl w:val="1"/>
          <w:numId w:val="1"/>
        </w:numPr>
      </w:pPr>
      <w:r>
        <w:rPr>
          <w:rFonts w:ascii="Arial" w:hAnsi="Arial" w:cs="Arial" w:eastAsia="Arial"/>
        </w:rPr>
        <w:t>Community Noise Controls and Non-Compliance Response</w:t>
      </w:r>
    </w:p>
    <w:p>
      <w:pPr>
        <w:pStyle w:val="NormalNumberedtext"/>
      </w:pPr>
      <w:r>
        <w:t>Controls are implemented to maintain community noise within approved limits and a defined response applies when monitoring identifies an exceedance.</w:t>
      </w:r>
    </w:p>
    <w:p>
      <w:pPr>
        <w:pStyle w:val="NormalNumberedtext"/>
      </w:pPr>
      <w:r>
        <w:t>Community noise controls include:</w:t>
      </w:r>
    </w:p>
    <w:p>
      <w:pPr>
        <w:pStyle w:val="NumberedBulletL1"/>
      </w:pPr>
      <w:r>
        <w:t>Scheduling high-noise work activities during daytime hours and avoiding high-noise work during periods of community sensitivity such as nights, weekends, and public holidays unless permitted.</w:t>
      </w:r>
    </w:p>
    <w:p>
      <w:pPr>
        <w:pStyle w:val="NumberedBulletL1"/>
      </w:pPr>
      <w:r>
        <w:t>Installing acoustic screening or barriers at the project boundary where predicted noise levels at sensitive receptors would otherwise exceed applicable limits.</w:t>
      </w:r>
    </w:p>
    <w:p>
      <w:pPr>
        <w:pStyle w:val="NumberedBulletL1"/>
      </w:pPr>
      <w:r>
        <w:rPr>
          <w:color w:val="C55A11"/>
        </w:rPr>
        <w:t>Notifying affected community members and stakeholders before high-noise work commences in accordance with the project community engagement plan.</w:t>
      </w:r>
    </w:p>
    <w:p>
      <w:pPr>
        <w:pStyle w:val="NumberedBulletL1"/>
      </w:pPr>
      <w:r>
        <w:t>Recording all community noise complaints, investigating root causes, and implementing corrective actions within a defined timeframe; report all incidents and near misses per project requirements, refer [INSERT: Project Document Number].</w:t>
      </w:r>
    </w:p>
    <w:p>
      <w:pPr>
        <w:pStyle w:val="NormalNumberedtext"/>
      </w:pPr>
      <w:r>
        <w:t>When monitoring results indicate that community noise limits are exceeded at any monitoring point, the HSESC Manager investigates the cause, implements corrective controls, and reports the exceedance to the Project Manager within 24 hours. Repeat exceedances are escalated to the relevant regulator or permit authority as required by the applicable permit conditions.</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TWA</w:t>
            </w:r>
          </w:p>
        </w:tc>
        <w:tc>
          <w:tcPr>
            <w:tcW w:type="dxa" w:w="4889"/>
          </w:tcPr>
          <w:p>
            <w:pPr>
              <w:pStyle w:val="TableContents"/>
              <w:spacing w:before="0" w:after="0" w:line="240" w:lineRule="atLeast"/>
            </w:pPr>
            <w:r>
              <w:rPr>
                <w:rFonts w:ascii="Arial" w:hAnsi="Arial" w:cs="Arial" w:eastAsia="Arial"/>
                <w:sz w:val="16"/>
                <w:szCs w:val="16"/>
              </w:rPr>
              <w:t>Time-Weighted Average - the average sound level measured over a specified time period, typically an 8-hour workday, used to assess occupational noise exposure.</w:t>
            </w:r>
          </w:p>
        </w:tc>
      </w:tr>
      <w:tr>
        <w:tc>
          <w:tcPr>
            <w:tcW w:type="dxa" w:w="4888"/>
          </w:tcPr>
          <w:p>
            <w:pPr>
              <w:pStyle w:val="TableContents"/>
              <w:spacing w:before="0" w:after="0" w:line="240" w:lineRule="atLeast"/>
            </w:pPr>
            <w:r>
              <w:rPr>
                <w:rFonts w:ascii="Arial" w:hAnsi="Arial" w:cs="Arial" w:eastAsia="Arial"/>
                <w:sz w:val="16"/>
                <w:szCs w:val="16"/>
              </w:rPr>
              <w:t>LAeq</w:t>
            </w:r>
          </w:p>
        </w:tc>
        <w:tc>
          <w:tcPr>
            <w:tcW w:type="dxa" w:w="4889"/>
          </w:tcPr>
          <w:p>
            <w:pPr>
              <w:pStyle w:val="TableContents"/>
              <w:spacing w:before="0" w:after="0" w:line="240" w:lineRule="atLeast"/>
            </w:pPr>
            <w:r>
              <w:rPr>
                <w:rFonts w:ascii="Arial" w:hAnsi="Arial" w:cs="Arial" w:eastAsia="Arial"/>
                <w:sz w:val="16"/>
                <w:szCs w:val="16"/>
              </w:rPr>
              <w:t>Equivalent Continuous A-weighted Sound Pressure Level - a measure of the average sound energy over a measurement period, expressed in decibels (dB(A)).</w:t>
            </w:r>
          </w:p>
        </w:tc>
      </w:tr>
      <w:tr>
        <w:tc>
          <w:tcPr>
            <w:tcW w:type="dxa" w:w="4888"/>
          </w:tcPr>
          <w:p>
            <w:pPr>
              <w:pStyle w:val="TableContents"/>
              <w:spacing w:before="0" w:after="0" w:line="240" w:lineRule="atLeast"/>
            </w:pPr>
            <w:r>
              <w:rPr>
                <w:rFonts w:ascii="Arial" w:hAnsi="Arial" w:cs="Arial" w:eastAsia="Arial"/>
                <w:sz w:val="16"/>
                <w:szCs w:val="16"/>
              </w:rPr>
              <w:t>dB(A)</w:t>
            </w:r>
          </w:p>
        </w:tc>
        <w:tc>
          <w:tcPr>
            <w:tcW w:type="dxa" w:w="4889"/>
          </w:tcPr>
          <w:p>
            <w:pPr>
              <w:pStyle w:val="TableContents"/>
              <w:spacing w:before="0" w:after="0" w:line="240" w:lineRule="atLeast"/>
            </w:pPr>
            <w:r>
              <w:rPr>
                <w:rFonts w:ascii="Arial" w:hAnsi="Arial" w:cs="Arial" w:eastAsia="Arial"/>
                <w:sz w:val="16"/>
                <w:szCs w:val="16"/>
              </w:rPr>
              <w:t>Decibel A-weighted - a unit of sound pressure level adjusted to reflect the sensitivity of the human ear, used as the standard unit for occupational and community noise measurement.</w:t>
            </w:r>
          </w:p>
        </w:tc>
      </w:tr>
      <w:tr>
        <w:tc>
          <w:tcPr>
            <w:tcW w:type="dxa" w:w="4888"/>
          </w:tcPr>
          <w:p>
            <w:pPr>
              <w:pStyle w:val="TableContents"/>
              <w:spacing w:before="0" w:after="0" w:line="240" w:lineRule="atLeast"/>
            </w:pPr>
            <w:r>
              <w:rPr>
                <w:rFonts w:ascii="Arial" w:hAnsi="Arial" w:cs="Arial" w:eastAsia="Arial"/>
                <w:sz w:val="16"/>
                <w:szCs w:val="16"/>
              </w:rPr>
              <w:t>OEL</w:t>
            </w:r>
          </w:p>
        </w:tc>
        <w:tc>
          <w:tcPr>
            <w:tcW w:type="dxa" w:w="4889"/>
          </w:tcPr>
          <w:p>
            <w:pPr>
              <w:pStyle w:val="TableContents"/>
              <w:spacing w:before="0" w:after="0" w:line="240" w:lineRule="atLeast"/>
            </w:pPr>
            <w:r>
              <w:rPr>
                <w:rFonts w:ascii="Arial" w:hAnsi="Arial" w:cs="Arial" w:eastAsia="Arial"/>
                <w:sz w:val="16"/>
                <w:szCs w:val="16"/>
              </w:rPr>
              <w:t>Occupational Exposure Limit - the maximum permissible level of noise exposure for workers over a defined period, as prescribed by applicable legislation, Rio Tinto standards, or recognised health-based guidelines.</w:t>
            </w:r>
          </w:p>
        </w:tc>
      </w:tr>
      <w:tr>
        <w:tc>
          <w:tcPr>
            <w:tcW w:type="dxa" w:w="4888"/>
          </w:tcPr>
          <w:p>
            <w:pPr>
              <w:pStyle w:val="TableContents"/>
              <w:spacing w:before="0" w:after="0" w:line="240" w:lineRule="atLeast"/>
            </w:pPr>
            <w:r>
              <w:rPr>
                <w:rFonts w:ascii="Arial" w:hAnsi="Arial" w:cs="Arial" w:eastAsia="Arial"/>
                <w:sz w:val="16"/>
                <w:szCs w:val="16"/>
              </w:rPr>
              <w:t>HPA</w:t>
            </w:r>
          </w:p>
        </w:tc>
        <w:tc>
          <w:tcPr>
            <w:tcW w:type="dxa" w:w="4889"/>
          </w:tcPr>
          <w:p>
            <w:pPr>
              <w:pStyle w:val="TableContents"/>
              <w:spacing w:before="0" w:after="0" w:line="240" w:lineRule="atLeast"/>
            </w:pPr>
            <w:r>
              <w:rPr>
                <w:rFonts w:ascii="Arial" w:hAnsi="Arial" w:cs="Arial" w:eastAsia="Arial"/>
                <w:sz w:val="16"/>
                <w:szCs w:val="16"/>
              </w:rPr>
              <w:t>Hearing Protection Area - a designated zone or work area where noise levels exceed the action level and the use of hearing protection devices is mandatory.</w:t>
            </w:r>
          </w:p>
        </w:tc>
      </w:tr>
      <w:tr>
        <w:tc>
          <w:tcPr>
            <w:tcW w:type="dxa" w:w="4888"/>
          </w:tcPr>
          <w:p>
            <w:pPr>
              <w:pStyle w:val="TableContents"/>
              <w:spacing w:before="0" w:after="0" w:line="240" w:lineRule="atLeast"/>
            </w:pPr>
            <w:r>
              <w:rPr>
                <w:rFonts w:ascii="Arial" w:hAnsi="Arial" w:cs="Arial" w:eastAsia="Arial"/>
                <w:sz w:val="16"/>
                <w:szCs w:val="16"/>
              </w:rPr>
              <w:t>HPD</w:t>
            </w:r>
          </w:p>
        </w:tc>
        <w:tc>
          <w:tcPr>
            <w:tcW w:type="dxa" w:w="4889"/>
          </w:tcPr>
          <w:p>
            <w:pPr>
              <w:pStyle w:val="TableContents"/>
              <w:spacing w:before="0" w:after="0" w:line="240" w:lineRule="atLeast"/>
            </w:pPr>
            <w:r>
              <w:rPr>
                <w:rFonts w:ascii="Arial" w:hAnsi="Arial" w:cs="Arial" w:eastAsia="Arial"/>
                <w:sz w:val="16"/>
                <w:szCs w:val="16"/>
              </w:rPr>
              <w:t>Hearing Protection Device - any device worn to reduce the amount of sound reaching the ears, including earplugs, earmuffs, and canal caps.</w:t>
            </w:r>
          </w:p>
        </w:tc>
      </w:tr>
      <w:tr>
        <w:tc>
          <w:tcPr>
            <w:tcW w:type="dxa" w:w="4888"/>
          </w:tcPr>
          <w:p>
            <w:pPr>
              <w:pStyle w:val="TableContents"/>
              <w:spacing w:before="0" w:after="0" w:line="240" w:lineRule="atLeast"/>
            </w:pPr>
            <w:r>
              <w:rPr>
                <w:rFonts w:ascii="Arial" w:hAnsi="Arial" w:cs="Arial" w:eastAsia="Arial"/>
                <w:sz w:val="16"/>
                <w:szCs w:val="16"/>
              </w:rPr>
              <w:t>STS</w:t>
            </w:r>
          </w:p>
        </w:tc>
        <w:tc>
          <w:tcPr>
            <w:tcW w:type="dxa" w:w="4889"/>
          </w:tcPr>
          <w:p>
            <w:pPr>
              <w:pStyle w:val="TableContents"/>
              <w:spacing w:before="0" w:after="0" w:line="240" w:lineRule="atLeast"/>
            </w:pPr>
            <w:r>
              <w:rPr>
                <w:rFonts w:ascii="Arial" w:hAnsi="Arial" w:cs="Arial" w:eastAsia="Arial"/>
                <w:sz w:val="16"/>
                <w:szCs w:val="16"/>
              </w:rPr>
              <w:t>Standard Threshold Shift - a change in hearing threshold relative to a baseline audiogram, indicating a significant change in hearing ability as defined by applicable occupational health standards.</w:t>
            </w:r>
          </w:p>
        </w:tc>
      </w:tr>
      <w:tr>
        <w:tc>
          <w:tcPr>
            <w:tcW w:type="dxa" w:w="4888"/>
          </w:tcPr>
          <w:p>
            <w:pPr>
              <w:pStyle w:val="TableContents"/>
              <w:spacing w:before="0" w:after="0" w:line="240" w:lineRule="atLeast"/>
            </w:pPr>
            <w:r>
              <w:rPr>
                <w:rFonts w:ascii="Arial" w:hAnsi="Arial" w:cs="Arial" w:eastAsia="Arial"/>
                <w:sz w:val="16"/>
                <w:szCs w:val="16"/>
              </w:rPr>
              <w:t>PEL</w:t>
            </w:r>
          </w:p>
        </w:tc>
        <w:tc>
          <w:tcPr>
            <w:tcW w:type="dxa" w:w="4889"/>
          </w:tcPr>
          <w:p>
            <w:pPr>
              <w:pStyle w:val="TableContents"/>
              <w:spacing w:before="0" w:after="0" w:line="240" w:lineRule="atLeast"/>
            </w:pPr>
            <w:r>
              <w:rPr>
                <w:rFonts w:ascii="Arial" w:hAnsi="Arial" w:cs="Arial" w:eastAsia="Arial"/>
                <w:sz w:val="16"/>
                <w:szCs w:val="16"/>
              </w:rPr>
              <w:t>Permissible Exposure Limit - the regulatory maximum noise dose or level to which a worker may be exposed without mandatory engineering or administrative controls.</w:t>
            </w:r>
          </w:p>
        </w:tc>
      </w:tr>
      <w:tr>
        <w:tc>
          <w:tcPr>
            <w:tcW w:type="dxa" w:w="4888"/>
          </w:tcPr>
          <w:p>
            <w:pPr>
              <w:pStyle w:val="TableContents"/>
              <w:spacing w:before="0" w:after="0" w:line="240" w:lineRule="atLeast"/>
            </w:pPr>
            <w:r>
              <w:rPr>
                <w:rFonts w:ascii="Arial" w:hAnsi="Arial" w:cs="Arial" w:eastAsia="Arial"/>
                <w:sz w:val="16"/>
                <w:szCs w:val="16"/>
              </w:rPr>
              <w:t>NRR</w:t>
            </w:r>
          </w:p>
        </w:tc>
        <w:tc>
          <w:tcPr>
            <w:tcW w:type="dxa" w:w="4889"/>
          </w:tcPr>
          <w:p>
            <w:pPr>
              <w:pStyle w:val="TableContents"/>
              <w:spacing w:before="0" w:after="0" w:line="240" w:lineRule="atLeast"/>
            </w:pPr>
            <w:r>
              <w:rPr>
                <w:rFonts w:ascii="Arial" w:hAnsi="Arial" w:cs="Arial" w:eastAsia="Arial"/>
                <w:sz w:val="16"/>
                <w:szCs w:val="16"/>
              </w:rPr>
              <w:t>Noise Reduction Rating - a standardised measure of the sound attenuation provided by a hearing protection device under laboratory conditions, expressed in decibels.</w:t>
            </w:r>
          </w:p>
        </w:tc>
      </w:tr>
      <w:tr>
        <w:tc>
          <w:tcPr>
            <w:tcW w:type="dxa" w:w="4888"/>
          </w:tcPr>
          <w:p>
            <w:pPr>
              <w:pStyle w:val="TableContents"/>
              <w:spacing w:before="0" w:after="0" w:line="240" w:lineRule="atLeast"/>
            </w:pPr>
            <w:r>
              <w:rPr>
                <w:rFonts w:ascii="Arial" w:hAnsi="Arial" w:cs="Arial" w:eastAsia="Arial"/>
                <w:sz w:val="16"/>
                <w:szCs w:val="16"/>
              </w:rPr>
              <w:t>SLM</w:t>
            </w:r>
          </w:p>
        </w:tc>
        <w:tc>
          <w:tcPr>
            <w:tcW w:type="dxa" w:w="4889"/>
          </w:tcPr>
          <w:p>
            <w:pPr>
              <w:pStyle w:val="TableContents"/>
              <w:spacing w:before="0" w:after="0" w:line="240" w:lineRule="atLeast"/>
            </w:pPr>
            <w:r>
              <w:rPr>
                <w:rFonts w:ascii="Arial" w:hAnsi="Arial" w:cs="Arial" w:eastAsia="Arial"/>
                <w:sz w:val="16"/>
                <w:szCs w:val="16"/>
              </w:rPr>
              <w:t>Sound Level Meter - an instrument used to measure sound pressure levels at a given point, used during workplace and community noise assessments.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by a worker to minimise exposure to hazards, including hearing protection devices used to control noise exposure.</w:t>
            </w:r>
          </w:p>
        </w:tc>
      </w:tr>
      <w:tr>
        <w:tc>
          <w:tcPr>
            <w:tcW w:type="dxa" w:w="4888"/>
          </w:tcPr>
          <w:p>
            <w:pPr>
              <w:pStyle w:val="TableContents"/>
              <w:spacing w:before="0" w:after="0" w:line="240" w:lineRule="atLeast"/>
            </w:pPr>
            <w:r>
              <w:rPr>
                <w:rFonts w:ascii="Arial" w:hAnsi="Arial" w:cs="Arial" w:eastAsia="Arial"/>
                <w:sz w:val="16"/>
                <w:szCs w:val="16"/>
              </w:rPr>
              <w:t>IH</w:t>
            </w:r>
          </w:p>
        </w:tc>
        <w:tc>
          <w:tcPr>
            <w:tcW w:type="dxa" w:w="4889"/>
          </w:tcPr>
          <w:p>
            <w:pPr>
              <w:pStyle w:val="TableContents"/>
              <w:spacing w:before="0" w:after="0" w:line="240" w:lineRule="atLeast"/>
            </w:pPr>
            <w:r>
              <w:rPr>
                <w:rFonts w:ascii="Arial" w:hAnsi="Arial" w:cs="Arial" w:eastAsia="Arial"/>
                <w:sz w:val="16"/>
                <w:szCs w:val="16"/>
              </w:rPr>
              <w:t>Industrial Hygiene - the science and practice of anticipating, recognising, evaluating, and controlling workplace conditions that may cause workers' injury or illness, including noise-induced hearing loss.</w:t>
            </w:r>
          </w:p>
        </w:tc>
      </w:tr>
      <w:tr>
        <w:tc>
          <w:tcPr>
            <w:tcW w:type="dxa" w:w="4888"/>
          </w:tcPr>
          <w:p>
            <w:pPr>
              <w:pStyle w:val="TableContents"/>
              <w:spacing w:before="0" w:after="0" w:line="240" w:lineRule="atLeast"/>
            </w:pPr>
            <w:r>
              <w:rPr>
                <w:rFonts w:ascii="Arial" w:hAnsi="Arial" w:cs="Arial" w:eastAsia="Arial"/>
                <w:sz w:val="16"/>
                <w:szCs w:val="16"/>
              </w:rPr>
              <w:t>NIHL</w:t>
            </w:r>
          </w:p>
        </w:tc>
        <w:tc>
          <w:tcPr>
            <w:tcW w:type="dxa" w:w="4889"/>
          </w:tcPr>
          <w:p>
            <w:pPr>
              <w:pStyle w:val="TableContents"/>
              <w:spacing w:before="0" w:after="0" w:line="240" w:lineRule="atLeast"/>
            </w:pPr>
            <w:r>
              <w:rPr>
                <w:rFonts w:ascii="Arial" w:hAnsi="Arial" w:cs="Arial" w:eastAsia="Arial"/>
                <w:sz w:val="16"/>
                <w:szCs w:val="16"/>
              </w:rPr>
              <w:t>Noise-Induced Hearing Loss - permanent or temporary loss of hearing resulting from exposure to excessive noise levels over time or from a single high-intensity noise event.</w:t>
            </w:r>
          </w:p>
        </w:tc>
      </w:tr>
      <w:tr>
        <w:tc>
          <w:tcPr>
            <w:tcW w:type="dxa" w:w="4888"/>
          </w:tcPr>
          <w:p>
            <w:pPr>
              <w:pStyle w:val="TableContents"/>
              <w:spacing w:before="0" w:after="0" w:line="240" w:lineRule="atLeast"/>
            </w:pPr>
            <w:r>
              <w:rPr>
                <w:rFonts w:ascii="Arial" w:hAnsi="Arial" w:cs="Arial" w:eastAsia="Arial"/>
                <w:sz w:val="16"/>
                <w:szCs w:val="16"/>
              </w:rPr>
              <w:t>HCP</w:t>
            </w:r>
          </w:p>
        </w:tc>
        <w:tc>
          <w:tcPr>
            <w:tcW w:type="dxa" w:w="4889"/>
          </w:tcPr>
          <w:p>
            <w:pPr>
              <w:pStyle w:val="TableContents"/>
              <w:spacing w:before="0" w:after="0" w:line="240" w:lineRule="atLeast"/>
            </w:pPr>
            <w:r>
              <w:rPr>
                <w:rFonts w:ascii="Arial" w:hAnsi="Arial" w:cs="Arial" w:eastAsia="Arial"/>
                <w:sz w:val="16"/>
                <w:szCs w:val="16"/>
              </w:rPr>
              <w:t>Hearing Conservation Programme - a formal programme comprising noise monitoring, exposure assessment, engineering and administrative controls, hearing protection, audiometric testing, training, and recordkeeping to prevent noise-induced hearing loss.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integrated management framework governing occupational health, safety, environmental, and community obligations on Rio Tinto owner-led projects.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standards, procedures, and risk management framework govern this procedure.</w:t>
            </w:r>
          </w:p>
        </w:tc>
      </w:tr>
      <w:tr>
        <w:tc>
          <w:tcPr>
            <w:tcW w:type="dxa" w:w="4888"/>
          </w:tcPr>
          <w:p>
            <w:pPr>
              <w:pStyle w:val="TableContents"/>
              <w:spacing w:before="0" w:after="0" w:line="240" w:lineRule="atLeast"/>
            </w:pPr>
            <w:r>
              <w:rPr>
                <w:rFonts w:ascii="Arial" w:hAnsi="Arial" w:cs="Arial" w:eastAsia="Arial"/>
                <w:sz w:val="16"/>
                <w:szCs w:val="16"/>
              </w:rPr>
              <w:t>HSES</w:t>
            </w:r>
          </w:p>
        </w:tc>
        <w:tc>
          <w:tcPr>
            <w:tcW w:type="dxa" w:w="4889"/>
          </w:tcPr>
          <w:p>
            <w:pPr>
              <w:pStyle w:val="TableContents"/>
              <w:spacing w:before="0" w:after="0" w:line="240" w:lineRule="atLeast"/>
            </w:pPr>
            <w:r>
              <w:rPr>
                <w:rFonts w:ascii="Arial" w:hAnsi="Arial" w:cs="Arial" w:eastAsia="Arial"/>
                <w:sz w:val="16"/>
                <w:szCs w:val="16"/>
              </w:rPr>
              <w:t>Health, Safety, Environment, and Social - the discipline and functional team responsible for managing and assuring compliance with health, safety, environmental, and social requirements.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within the HSESC management system that prescribes the process, responsibilities, and requirements for a specific activity.</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controlled record within the HSESC management system used to capture and maintain required data, such as training completion records.</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systematic process for identifying hazards associated with specific job tasks, including noise sources, and determining appropriate controls before work commences.</w:t>
            </w:r>
          </w:p>
        </w:tc>
      </w:tr>
      <w:tr>
        <w:tc>
          <w:tcPr>
            <w:tcW w:type="dxa" w:w="4888"/>
          </w:tcPr>
          <w:p>
            <w:pPr>
              <w:pStyle w:val="TableContents"/>
              <w:spacing w:before="0" w:after="0" w:line="240" w:lineRule="atLeast"/>
            </w:pPr>
            <w:r>
              <w:rPr>
                <w:rFonts w:ascii="Arial" w:hAnsi="Arial" w:cs="Arial" w:eastAsia="Arial"/>
                <w:sz w:val="16"/>
                <w:szCs w:val="16"/>
              </w:rPr>
              <w:t>L8h</w:t>
            </w:r>
          </w:p>
        </w:tc>
        <w:tc>
          <w:tcPr>
            <w:tcW w:type="dxa" w:w="4889"/>
          </w:tcPr>
          <w:p>
            <w:pPr>
              <w:pStyle w:val="TableContents"/>
              <w:spacing w:before="0" w:after="0" w:line="240" w:lineRule="atLeast"/>
            </w:pPr>
            <w:r>
              <w:rPr>
                <w:rFonts w:ascii="Arial" w:hAnsi="Arial" w:cs="Arial" w:eastAsia="Arial"/>
                <w:sz w:val="16"/>
                <w:szCs w:val="16"/>
              </w:rPr>
              <w:t>Eight-Hour Equivalent Continuous Sound Level - the A-weighted noise level representing a worker's average noise exposure normalised to an 8-hour working day, used for comparison against occupational exposure limits.</w:t>
            </w:r>
          </w:p>
        </w:tc>
      </w:tr>
      <w:tr>
        <w:tc>
          <w:tcPr>
            <w:tcW w:type="dxa" w:w="4888"/>
          </w:tcPr>
          <w:p>
            <w:pPr>
              <w:pStyle w:val="TableContents"/>
              <w:spacing w:before="0" w:after="0" w:line="240" w:lineRule="atLeast"/>
            </w:pPr>
            <w:r>
              <w:rPr>
                <w:rFonts w:ascii="Arial" w:hAnsi="Arial" w:cs="Arial" w:eastAsia="Arial"/>
                <w:sz w:val="16"/>
                <w:szCs w:val="16"/>
              </w:rPr>
              <w:t>Lmax</w:t>
            </w:r>
          </w:p>
        </w:tc>
        <w:tc>
          <w:tcPr>
            <w:tcW w:type="dxa" w:w="4889"/>
          </w:tcPr>
          <w:p>
            <w:pPr>
              <w:pStyle w:val="TableContents"/>
              <w:spacing w:before="0" w:after="0" w:line="240" w:lineRule="atLeast"/>
            </w:pPr>
            <w:r>
              <w:rPr>
                <w:rFonts w:ascii="Arial" w:hAnsi="Arial" w:cs="Arial" w:eastAsia="Arial"/>
                <w:sz w:val="16"/>
                <w:szCs w:val="16"/>
              </w:rPr>
              <w:t>Maximum Sound Pressure Level - the highest instantaneous sound level recorded during a noise measurement period, used to assess peak noise exposure and impulsive noise events.</w:t>
            </w:r>
          </w:p>
        </w:tc>
      </w:tr>
      <w:tr>
        <w:tc>
          <w:tcPr>
            <w:tcW w:type="dxa" w:w="4888"/>
          </w:tcPr>
          <w:p>
            <w:pPr>
              <w:pStyle w:val="TableContents"/>
              <w:spacing w:before="0" w:after="0" w:line="240" w:lineRule="atLeast"/>
            </w:pPr>
            <w:r>
              <w:rPr>
                <w:rFonts w:ascii="Arial" w:hAnsi="Arial" w:cs="Arial" w:eastAsia="Arial"/>
                <w:sz w:val="16"/>
                <w:szCs w:val="16"/>
              </w:rPr>
              <w:t>Lpeak</w:t>
            </w:r>
          </w:p>
        </w:tc>
        <w:tc>
          <w:tcPr>
            <w:tcW w:type="dxa" w:w="4889"/>
          </w:tcPr>
          <w:p>
            <w:pPr>
              <w:pStyle w:val="TableContents"/>
              <w:spacing w:before="0" w:after="0" w:line="240" w:lineRule="atLeast"/>
            </w:pPr>
            <w:r>
              <w:rPr>
                <w:rFonts w:ascii="Arial" w:hAnsi="Arial" w:cs="Arial" w:eastAsia="Arial"/>
                <w:sz w:val="16"/>
                <w:szCs w:val="16"/>
              </w:rPr>
              <w:t>Peak Sound Pressure Level - the maximum instantaneous sound pressure level measured using C-weighting (dB(C)), used to assess exposure to impulsive or impact noise such as from blasting or pneumatic tools.</w:t>
            </w:r>
          </w:p>
        </w:tc>
      </w:tr>
      <w:tr>
        <w:tc>
          <w:tcPr>
            <w:tcW w:type="dxa" w:w="4888"/>
          </w:tcPr>
          <w:p>
            <w:pPr>
              <w:pStyle w:val="TableContents"/>
              <w:spacing w:before="0" w:after="0" w:line="240" w:lineRule="atLeast"/>
            </w:pPr>
            <w:r>
              <w:rPr>
                <w:rFonts w:ascii="Arial" w:hAnsi="Arial" w:cs="Arial" w:eastAsia="Arial"/>
                <w:sz w:val="16"/>
                <w:szCs w:val="16"/>
              </w:rPr>
              <w:t>dB(C)</w:t>
            </w:r>
          </w:p>
        </w:tc>
        <w:tc>
          <w:tcPr>
            <w:tcW w:type="dxa" w:w="4889"/>
          </w:tcPr>
          <w:p>
            <w:pPr>
              <w:pStyle w:val="TableContents"/>
              <w:spacing w:before="0" w:after="0" w:line="240" w:lineRule="atLeast"/>
            </w:pPr>
            <w:r>
              <w:rPr>
                <w:rFonts w:ascii="Arial" w:hAnsi="Arial" w:cs="Arial" w:eastAsia="Arial"/>
                <w:sz w:val="16"/>
                <w:szCs w:val="16"/>
              </w:rPr>
              <w:t>Decibel C-weighted - a unit of sound pressure level measured using C-frequency weighting, used primarily for assessing peak and impulsive noise exposures.</w:t>
            </w:r>
          </w:p>
        </w:tc>
      </w:tr>
      <w:tr>
        <w:tc>
          <w:tcPr>
            <w:tcW w:type="dxa" w:w="4888"/>
          </w:tcPr>
          <w:p>
            <w:pPr>
              <w:pStyle w:val="TableContents"/>
              <w:spacing w:before="0" w:after="0" w:line="240" w:lineRule="atLeast"/>
            </w:pPr>
            <w:r>
              <w:rPr>
                <w:rFonts w:ascii="Arial" w:hAnsi="Arial" w:cs="Arial" w:eastAsia="Arial"/>
                <w:sz w:val="16"/>
                <w:szCs w:val="16"/>
              </w:rPr>
              <w:t>EIA</w:t>
            </w:r>
          </w:p>
        </w:tc>
        <w:tc>
          <w:tcPr>
            <w:tcW w:type="dxa" w:w="4889"/>
          </w:tcPr>
          <w:p>
            <w:pPr>
              <w:pStyle w:val="TableContents"/>
              <w:spacing w:before="0" w:after="0" w:line="240" w:lineRule="atLeast"/>
            </w:pPr>
            <w:r>
              <w:rPr>
                <w:rFonts w:ascii="Arial" w:hAnsi="Arial" w:cs="Arial" w:eastAsia="Arial"/>
                <w:sz w:val="16"/>
                <w:szCs w:val="16"/>
              </w:rPr>
              <w:t>Environmental Impact Assessment - a process for evaluating the potential environmental and social consequences of a proposed project or activity, including assessment of community noise impacts.</w:t>
            </w:r>
          </w:p>
        </w:tc>
      </w:tr>
      <w:tr>
        <w:tc>
          <w:tcPr>
            <w:tcW w:type="dxa" w:w="4888"/>
          </w:tcPr>
          <w:p>
            <w:pPr>
              <w:pStyle w:val="TableContents"/>
              <w:spacing w:before="0" w:after="0" w:line="240" w:lineRule="atLeast"/>
            </w:pPr>
            <w:r>
              <w:rPr>
                <w:rFonts w:ascii="Arial" w:hAnsi="Arial" w:cs="Arial" w:eastAsia="Arial"/>
                <w:sz w:val="16"/>
                <w:szCs w:val="16"/>
              </w:rPr>
              <w:t>CMP</w:t>
            </w:r>
          </w:p>
        </w:tc>
        <w:tc>
          <w:tcPr>
            <w:tcW w:type="dxa" w:w="4889"/>
          </w:tcPr>
          <w:p>
            <w:pPr>
              <w:pStyle w:val="TableContents"/>
              <w:spacing w:before="0" w:after="0" w:line="240" w:lineRule="atLeast"/>
            </w:pPr>
            <w:r>
              <w:rPr>
                <w:rFonts w:ascii="Arial" w:hAnsi="Arial" w:cs="Arial" w:eastAsia="Arial"/>
                <w:sz w:val="16"/>
                <w:szCs w:val="16"/>
              </w:rPr>
              <w:t>Community Management Plan - a document outlining the strategies and commitments for managing project interactions with surrounding communities, including noise-related impacts and complaints management.</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Hearing Conservation Training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Personal Protective Equipment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Health Standard</w:t>
            </w:r>
          </w:p>
        </w:tc>
        <w:tc>
          <w:tcPr>
            <w:tcW w:type="dxa" w:w="3259"/>
          </w:tcPr>
          <w:p>
            <w:pPr>
              <w:pStyle w:val="TableContents"/>
              <w:spacing w:before="0" w:after="0" w:line="240" w:lineRule="atLeast"/>
            </w:pPr>
            <w:r>
              <w:rPr>
                <w:rFonts w:ascii="Arial" w:hAnsi="Arial" w:cs="Arial" w:eastAsia="Arial"/>
                <w:sz w:val="16"/>
                <w:szCs w:val="16"/>
              </w:rPr>
              <w:t>RT Health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Occupational Hygiene Standard</w:t>
            </w:r>
          </w:p>
        </w:tc>
        <w:tc>
          <w:tcPr>
            <w:tcW w:type="dxa" w:w="3259"/>
          </w:tcPr>
          <w:p>
            <w:pPr>
              <w:pStyle w:val="TableContents"/>
              <w:spacing w:before="0" w:after="0" w:line="240" w:lineRule="atLeast"/>
            </w:pPr>
            <w:r>
              <w:rPr>
                <w:rFonts w:ascii="Arial" w:hAnsi="Arial" w:cs="Arial" w:eastAsia="Arial"/>
                <w:sz w:val="16"/>
                <w:szCs w:val="16"/>
              </w:rPr>
              <w:t>RT Occupational Hygiene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PPE Standard</w:t>
            </w:r>
          </w:p>
        </w:tc>
        <w:tc>
          <w:tcPr>
            <w:tcW w:type="dxa" w:w="3259"/>
          </w:tcPr>
          <w:p>
            <w:pPr>
              <w:pStyle w:val="TableContents"/>
              <w:spacing w:before="0" w:after="0" w:line="240" w:lineRule="atLeast"/>
            </w:pPr>
            <w:r>
              <w:rPr>
                <w:rFonts w:ascii="Arial" w:hAnsi="Arial" w:cs="Arial" w:eastAsia="Arial"/>
                <w:sz w:val="16"/>
                <w:szCs w:val="16"/>
              </w:rPr>
              <w:t>RT PPE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9612 - Acoustics: Determination of Occupational Noise Exposure</w:t>
            </w:r>
          </w:p>
        </w:tc>
        <w:tc>
          <w:tcPr>
            <w:tcW w:type="dxa" w:w="3259"/>
          </w:tcPr>
          <w:p>
            <w:pPr>
              <w:pStyle w:val="TableContents"/>
              <w:spacing w:before="0" w:after="0" w:line="240" w:lineRule="atLeast"/>
            </w:pPr>
            <w:r>
              <w:rPr>
                <w:rFonts w:ascii="Arial" w:hAnsi="Arial" w:cs="Arial" w:eastAsia="Arial"/>
                <w:sz w:val="16"/>
                <w:szCs w:val="16"/>
              </w:rPr>
              <w:t>ISO 9612:2009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1999 - Acoustics: Estimation of Noise-Induced Hearing Loss</w:t>
            </w:r>
          </w:p>
        </w:tc>
        <w:tc>
          <w:tcPr>
            <w:tcW w:type="dxa" w:w="3259"/>
          </w:tcPr>
          <w:p>
            <w:pPr>
              <w:pStyle w:val="TableContents"/>
              <w:spacing w:before="0" w:after="0" w:line="240" w:lineRule="atLeast"/>
            </w:pPr>
            <w:r>
              <w:rPr>
                <w:rFonts w:ascii="Arial" w:hAnsi="Arial" w:cs="Arial" w:eastAsia="Arial"/>
                <w:sz w:val="16"/>
                <w:szCs w:val="16"/>
              </w:rPr>
              <w:t>ISO 1999:2013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ILO Code of Practice: Ambient Factors in the Workplace</w:t>
            </w:r>
          </w:p>
        </w:tc>
        <w:tc>
          <w:tcPr>
            <w:tcW w:type="dxa" w:w="3259"/>
          </w:tcPr>
          <w:p>
            <w:pPr>
              <w:pStyle w:val="TableContents"/>
              <w:spacing w:before="0" w:after="0" w:line="240" w:lineRule="atLeast"/>
            </w:pPr>
            <w:r>
              <w:rPr>
                <w:rFonts w:ascii="Arial" w:hAnsi="Arial" w:cs="Arial" w:eastAsia="Arial"/>
                <w:sz w:val="16"/>
                <w:szCs w:val="16"/>
              </w:rPr>
              <w:t>ILO Code of Practice 2001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Environmental, Health, and Safety General Guidelines - Noise</w:t>
            </w:r>
          </w:p>
        </w:tc>
        <w:tc>
          <w:tcPr>
            <w:tcW w:type="dxa" w:w="3259"/>
          </w:tcPr>
          <w:p>
            <w:pPr>
              <w:pStyle w:val="TableContents"/>
              <w:spacing w:before="0" w:after="0" w:line="240" w:lineRule="atLeast"/>
            </w:pPr>
            <w:r>
              <w:rPr>
                <w:rFonts w:ascii="Arial" w:hAnsi="Arial" w:cs="Arial" w:eastAsia="Arial"/>
                <w:sz w:val="16"/>
                <w:szCs w:val="16"/>
              </w:rPr>
              <w:t>IFC EHS Guidelines 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WHO Environmental Noise Guidelines for the European Region</w:t>
            </w:r>
          </w:p>
        </w:tc>
        <w:tc>
          <w:tcPr>
            <w:tcW w:type="dxa" w:w="3259"/>
          </w:tcPr>
          <w:p>
            <w:pPr>
              <w:pStyle w:val="TableContents"/>
              <w:spacing w:before="0" w:after="0" w:line="240" w:lineRule="atLeast"/>
            </w:pPr>
            <w:r>
              <w:rPr>
                <w:rFonts w:ascii="Arial" w:hAnsi="Arial" w:cs="Arial" w:eastAsia="Arial"/>
                <w:sz w:val="16"/>
                <w:szCs w:val="16"/>
              </w:rPr>
              <w:t>WHO 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ANSI S12.13 - Evaluating the Effectiveness of Hearing Conservation Programs</w:t>
            </w:r>
          </w:p>
        </w:tc>
        <w:tc>
          <w:tcPr>
            <w:tcW w:type="dxa" w:w="3259"/>
          </w:tcPr>
          <w:p>
            <w:pPr>
              <w:pStyle w:val="TableContents"/>
              <w:spacing w:before="0" w:after="0" w:line="240" w:lineRule="atLeast"/>
            </w:pPr>
            <w:r>
              <w:rPr>
                <w:rFonts w:ascii="Arial" w:hAnsi="Arial" w:cs="Arial" w:eastAsia="Arial"/>
                <w:sz w:val="16"/>
                <w:szCs w:val="16"/>
              </w:rPr>
              <w:t>ANSI S12.13 TR-2002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AS/NZS 1269 - Occupational Noise Management (Parts 0-4)</w:t>
            </w:r>
          </w:p>
        </w:tc>
        <w:tc>
          <w:tcPr>
            <w:tcW w:type="dxa" w:w="3259"/>
          </w:tcPr>
          <w:p>
            <w:pPr>
              <w:pStyle w:val="TableContents"/>
              <w:spacing w:before="0" w:after="0" w:line="240" w:lineRule="atLeast"/>
            </w:pPr>
            <w:r>
              <w:rPr>
                <w:rFonts w:ascii="Arial" w:hAnsi="Arial" w:cs="Arial" w:eastAsia="Arial"/>
                <w:sz w:val="16"/>
                <w:szCs w:val="16"/>
              </w:rPr>
              <w:t>AS/NZS 1269:2005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AS/NZS 1270 - Acoustics: Hearing Protectors</w:t>
            </w:r>
          </w:p>
        </w:tc>
        <w:tc>
          <w:tcPr>
            <w:tcW w:type="dxa" w:w="3259"/>
          </w:tcPr>
          <w:p>
            <w:pPr>
              <w:pStyle w:val="TableContents"/>
              <w:spacing w:before="0" w:after="0" w:line="240" w:lineRule="atLeast"/>
            </w:pPr>
            <w:r>
              <w:rPr>
                <w:rFonts w:ascii="Arial" w:hAnsi="Arial" w:cs="Arial" w:eastAsia="Arial"/>
                <w:sz w:val="16"/>
                <w:szCs w:val="16"/>
              </w:rPr>
              <w:t>AS/NZS 1270:2002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§67</w:t>
            </w:r>
          </w:p>
        </w:tc>
        <w:tc>
          <w:tcPr>
            <w:tcW w:type="dxa" w:w="2256"/>
          </w:tcPr>
          <w:p>
            <w:pPr>
              <w:pStyle w:val="TableContents"/>
              <w:spacing w:before="0" w:after="0" w:line="240" w:lineRule="atLeast"/>
            </w:pPr>
            <w:r>
              <w:rPr>
                <w:rFonts w:ascii="Arial" w:hAnsi="Arial" w:cs="Arial" w:eastAsia="Arial"/>
                <w:sz w:val="16"/>
                <w:szCs w:val="16"/>
              </w:rPr>
              <w:t>Requires noise assessment by a competent person before work commences, defines maximum permissible exposure limits for 8-hour and 12-hour shifts, requires hearing protection areas with signage, and mandates an ongoing noise monitoring programme.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§16.7</w:t>
            </w:r>
          </w:p>
        </w:tc>
        <w:tc>
          <w:tcPr>
            <w:tcW w:type="dxa" w:w="2256"/>
          </w:tcPr>
          <w:p>
            <w:pPr>
              <w:pStyle w:val="TableContents"/>
              <w:spacing w:before="0" w:after="0" w:line="240" w:lineRule="atLeast"/>
            </w:pPr>
            <w:r>
              <w:rPr>
                <w:rFonts w:ascii="Arial" w:hAnsi="Arial" w:cs="Arial" w:eastAsia="Arial"/>
                <w:sz w:val="16"/>
                <w:szCs w:val="16"/>
              </w:rPr>
              <w:t>Requires that exposure at the ear while wearing hearing protection does not exceed 82 or 85 dB(A) as determined by applicable regulatory requirements, verified by periodic monitoring.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§16.8</w:t>
            </w:r>
          </w:p>
        </w:tc>
        <w:tc>
          <w:tcPr>
            <w:tcW w:type="dxa" w:w="2256"/>
          </w:tcPr>
          <w:p>
            <w:pPr>
              <w:pStyle w:val="TableContents"/>
              <w:spacing w:before="0" w:after="0" w:line="240" w:lineRule="atLeast"/>
            </w:pPr>
            <w:r>
              <w:rPr>
                <w:rFonts w:ascii="Arial" w:hAnsi="Arial" w:cs="Arial" w:eastAsia="Arial"/>
                <w:sz w:val="16"/>
                <w:szCs w:val="16"/>
              </w:rPr>
              <w:t>Requires a noise monitoring programme ensuring personnel do not exceed 85 dB(A) averaged over eight hours or 140 dB(C) peak, with results recorded and reported.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§67.1.1</w:t>
            </w:r>
          </w:p>
        </w:tc>
        <w:tc>
          <w:tcPr>
            <w:tcW w:type="dxa" w:w="2256"/>
          </w:tcPr>
          <w:p>
            <w:pPr>
              <w:pStyle w:val="TableContents"/>
              <w:spacing w:before="0" w:after="0" w:line="240" w:lineRule="atLeast"/>
            </w:pPr>
            <w:r>
              <w:rPr>
                <w:rFonts w:ascii="Arial" w:hAnsi="Arial" w:cs="Arial" w:eastAsia="Arial"/>
                <w:sz w:val="16"/>
                <w:szCs w:val="16"/>
              </w:rPr>
              <w:t>Requires reduction of the average noise exposure limit to 82 dB(A) for all personnel working 12-hour shifts, with a ceiling of 115 dB(C).</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§16.5</w:t>
            </w:r>
          </w:p>
        </w:tc>
        <w:tc>
          <w:tcPr>
            <w:tcW w:type="dxa" w:w="2256"/>
          </w:tcPr>
          <w:p>
            <w:pPr>
              <w:pStyle w:val="TableContents"/>
              <w:spacing w:before="0" w:after="0" w:line="240" w:lineRule="atLeast"/>
            </w:pPr>
            <w:r>
              <w:rPr>
                <w:rFonts w:ascii="Arial" w:hAnsi="Arial" w:cs="Arial" w:eastAsia="Arial"/>
                <w:sz w:val="16"/>
                <w:szCs w:val="16"/>
              </w:rPr>
              <w:t>Requires noise emission specifications to be included in equipment procurement decisions to reduce noise exposure risk.</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§2.3</w:t>
            </w:r>
          </w:p>
        </w:tc>
        <w:tc>
          <w:tcPr>
            <w:tcW w:type="dxa" w:w="2256"/>
          </w:tcPr>
          <w:p>
            <w:pPr>
              <w:pStyle w:val="TableContents"/>
              <w:spacing w:before="0" w:after="0" w:line="240" w:lineRule="atLeast"/>
            </w:pPr>
            <w:r>
              <w:rPr>
                <w:rFonts w:ascii="Arial" w:hAnsi="Arial" w:cs="Arial" w:eastAsia="Arial"/>
                <w:sz w:val="16"/>
                <w:szCs w:val="16"/>
              </w:rPr>
              <w:t>Requires occupational noise exposure to be assessed using recognised measurement methods and compared against applicable exposure limits, and mandates hearing protection programmes including selection, fitting instruction, and fit testing.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§2.3, Table 2.3.1</w:t>
            </w:r>
          </w:p>
        </w:tc>
        <w:tc>
          <w:tcPr>
            <w:tcW w:type="dxa" w:w="2256"/>
          </w:tcPr>
          <w:p>
            <w:pPr>
              <w:pStyle w:val="TableContents"/>
              <w:spacing w:before="0" w:after="0" w:line="240" w:lineRule="atLeast"/>
            </w:pPr>
            <w:r>
              <w:rPr>
                <w:rFonts w:ascii="Arial" w:hAnsi="Arial" w:cs="Arial" w:eastAsia="Arial"/>
                <w:sz w:val="16"/>
                <w:szCs w:val="16"/>
              </w:rPr>
              <w:t>Requires application of World Bank EHS Guideline noise limits where national standards are less stringent.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§1.7</w:t>
            </w:r>
          </w:p>
        </w:tc>
        <w:tc>
          <w:tcPr>
            <w:tcW w:type="dxa" w:w="2256"/>
          </w:tcPr>
          <w:p>
            <w:pPr>
              <w:pStyle w:val="TableContents"/>
              <w:spacing w:before="0" w:after="0" w:line="240" w:lineRule="atLeast"/>
            </w:pPr>
            <w:r>
              <w:rPr>
                <w:rFonts w:ascii="Arial" w:hAnsi="Arial" w:cs="Arial" w:eastAsia="Arial"/>
                <w:sz w:val="16"/>
                <w:szCs w:val="16"/>
              </w:rPr>
              <w:t>Requires management of community noise exposure to meet WHO and national guidelines, with specific consideration for sensitive receptors.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Principle 5, Performance Expectation 5.2</w:t>
            </w:r>
          </w:p>
        </w:tc>
        <w:tc>
          <w:tcPr>
            <w:tcW w:type="dxa" w:w="2256"/>
          </w:tcPr>
          <w:p>
            <w:pPr>
              <w:pStyle w:val="TableContents"/>
              <w:spacing w:before="0" w:after="0" w:line="240" w:lineRule="atLeast"/>
            </w:pPr>
            <w:r>
              <w:rPr>
                <w:rFonts w:ascii="Arial" w:hAnsi="Arial" w:cs="Arial" w:eastAsia="Arial"/>
                <w:sz w:val="16"/>
                <w:szCs w:val="16"/>
              </w:rPr>
              <w:t>Requires implementation of health surveillance including audiometric testing at defined intervals for workers regularly exposed to noise above action levels.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Air Quality Standard</w:t>
            </w:r>
          </w:p>
        </w:tc>
        <w:tc>
          <w:tcPr>
            <w:tcW w:type="dxa" w:w="2256"/>
          </w:tcPr>
          <w:p>
            <w:pPr>
              <w:pStyle w:val="TableContents"/>
              <w:spacing w:before="0" w:after="0" w:line="240" w:lineRule="atLeast"/>
            </w:pPr>
            <w:r>
              <w:rPr>
                <w:rFonts w:ascii="Arial" w:hAnsi="Arial" w:cs="Arial" w:eastAsia="Arial"/>
                <w:sz w:val="16"/>
                <w:szCs w:val="16"/>
              </w:rPr>
              <w:t>Requires assessment and documentation of noise impacts on surrounding communities and ecosystems, with controls to maintain noise levels within approved or agreed limits at the project boundary and sensitive receptors.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