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Data and Records Management</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Data and Records Management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managing HSESC data and records - from creation through to secure retention, accessibility, and disposal - ensuring that the information generated by the project management system is reliable, defensible, and available for the purposes of assurance, regulatory compliance, and learning.</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data and records management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data and records management requirements it establishes, and the project lifecycle phases and domains within scope.</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the standards it operationalises, and the requirements it establishes for the project.</w:t>
      </w:r>
    </w:p>
    <w:p>
      <w:pPr>
        <w:pStyle w:val="NormalNumberedtext"/>
      </w:pPr>
      <w:r>
        <w:t>This procedure meets the following purpose requirements:</w:t>
      </w:r>
    </w:p>
    <w:p>
      <w:pPr>
        <w:pStyle w:val="NormalNumberedtext"/>
      </w:pPr>
      <w:r>
        <w:t>This procedure establishes the data and records management requirements for the project by:</w:t>
      </w:r>
    </w:p>
    <w:p>
      <w:pPr>
        <w:pStyle w:val="NumberedBulletL1"/>
      </w:pPr>
      <w:r>
        <w:t>Defining data quality and validation requirements for all HSESC and environmental data produced or held by the project.</w:t>
      </w:r>
    </w:p>
    <w:p>
      <w:pPr>
        <w:pStyle w:val="NumberedBulletL1"/>
      </w:pPr>
      <w:r>
        <w:t>Establishing data ownership and authorised storage requirements to ensure all project records are held on Rio Tinto systems and are accessible for the life of the project.</w:t>
      </w:r>
    </w:p>
    <w:p>
      <w:pPr>
        <w:pStyle w:val="NumberedBulletL1"/>
      </w:pPr>
      <w:r>
        <w:t>Setting the record retention schedule by category, including minimum retention periods and the authority for approving early disposal.</w:t>
      </w:r>
    </w:p>
    <w:p>
      <w:pPr>
        <w:pStyle w:val="NumberedBulletL1"/>
      </w:pPr>
      <w:r>
        <w:t>Defining community data privacy requirements consistent with the RT Data Privacy Standard.</w:t>
      </w:r>
    </w:p>
    <w:p>
      <w:pPr>
        <w:pStyle w:val="NumberedBulletL1"/>
      </w:pPr>
      <w:r>
        <w:t>Establishing the records disposal process for records that have reached the end of their retention period.</w:t>
      </w:r>
    </w:p>
    <w:p>
      <w:pPr>
        <w:pStyle w:val="NormalNumberedtext"/>
      </w:pPr>
      <w:r>
        <w:t>This procedure applies to all HSESC, environmental, community, and operational records generated during the execution, commissioning, and handover phases of the project. Document types subject to retention requirements are defined in the Document Control Procedure, [INSERT: Project Document Number]. Legislative retention obligations are governed by the Legal Requirements Procedure, [INSERT: Project Document Number].</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data categories, record types, and lifecycle phases are governed by this procedure.</w:t>
      </w:r>
    </w:p>
    <w:p>
      <w:pPr>
        <w:pStyle w:val="NormalNumberedtext"/>
      </w:pPr>
      <w:r>
        <w:t>This procedure governs the following scope requirements:</w:t>
      </w:r>
    </w:p>
    <w:p>
      <w:pPr>
        <w:pStyle w:val="NormalNumberedtext"/>
      </w:pPr>
      <w:r>
        <w:t>This procedure applies to:</w:t>
      </w:r>
    </w:p>
    <w:p>
      <w:pPr>
        <w:pStyle w:val="NumberedBulletL1"/>
      </w:pPr>
      <w:r>
        <w:t>All HSESC data and records generated from project execution through to handover and post-closure where legacy environmental obligations exist.</w:t>
      </w:r>
    </w:p>
    <w:p>
      <w:pPr>
        <w:pStyle w:val="NumberedBulletL1"/>
      </w:pPr>
      <w:r>
        <w:t>Environmental monitoring datasets, community engagement records, incident investigation records, training and competency records, geotechnical and tailings monitoring data, and all other record categories defined in the retention schedule at Section 4.</w:t>
      </w:r>
    </w:p>
    <w:p>
      <w:pPr>
        <w:pStyle w:val="NumberedBulletL1"/>
      </w:pPr>
      <w:r>
        <w:t>All Rio Tinto staff, contractor organisations, and service providers who generate, hold, or access project HSESC data and records.</w:t>
      </w:r>
    </w:p>
    <w:p>
      <w:pPr>
        <w:pStyle w:val="NormalNumberedtext"/>
      </w:pPr>
      <w:r>
        <w:t>Records generated before the execution phase are treated as project documents and reviewed in accordance with this procedure. At project handover or closure, records are transferred or disposed of in accordance with Section 5 of this procedure.</w:t>
      </w:r>
    </w:p>
    <w:p>
      <w:pPr>
        <w:pStyle w:val="NormalNumberedtext"/>
      </w:pPr>
    </w:p>
    <w:p>
      <w:pPr>
        <w:pStyle w:val="Heading1Numbered"/>
        <w:numPr>
          <w:ilvl w:val="0"/>
          <w:numId w:val="1"/>
        </w:numPr>
      </w:pPr>
      <w:r>
        <w:rPr>
          <w:rFonts w:ascii="Arial" w:hAnsi="Arial" w:cs="Arial" w:eastAsia="Arial"/>
        </w:rPr>
        <w:t>Data Quality and Validation</w:t>
      </w:r>
    </w:p>
    <w:p>
      <w:pPr>
        <w:pStyle w:val="NormalNumberedtext"/>
      </w:pPr>
      <w:r>
        <w:t>This section defines the requirements for data quality, validation, and assurance that apply to all HSESC and environmental data produced or held by the project.</w:t>
      </w:r>
    </w:p>
    <w:p>
      <w:pPr>
        <w:pStyle w:val="NormalNumberedtext"/>
      </w:pPr>
    </w:p>
    <w:p>
      <w:pPr>
        <w:pStyle w:val="Heading2Numbered"/>
        <w:numPr>
          <w:ilvl w:val="1"/>
          <w:numId w:val="1"/>
        </w:numPr>
      </w:pPr>
      <w:r>
        <w:rPr>
          <w:rFonts w:ascii="Arial" w:hAnsi="Arial" w:cs="Arial" w:eastAsia="Arial"/>
        </w:rPr>
        <w:t>Data Quality Requirements</w:t>
      </w:r>
    </w:p>
    <w:p>
      <w:pPr>
        <w:pStyle w:val="NormalNumberedtext"/>
      </w:pPr>
      <w:r>
        <w:t>This section defines the minimum quality standards that all HSESC and environmental data must meet before use or storage.</w:t>
      </w:r>
    </w:p>
    <w:p>
      <w:pPr>
        <w:pStyle w:val="NormalNumberedtext"/>
      </w:pPr>
      <w:r>
        <w:t>All environmental and HSESC data produced or held by the project must be validated, accurate, current, and defensible, consistent with the RT Environment and Nature General Requirements Standard. Where data is used to support regulatory submissions, environmental impact assessments, or management decisions, accredited laboratories must be used for sample analysis.</w:t>
      </w:r>
    </w:p>
    <w:p>
      <w:pPr>
        <w:pStyle w:val="NormalNumberedtext"/>
      </w:pPr>
      <w:r>
        <w:t>The HSESC Manager ensures that data assumptions, limitations, and uncertainty are documented at the point of data collection or analysis and retained with the dataset. This documentation accompanies the dataset throughout its retention period and is available to reviewers and auditors on request.</w:t>
      </w:r>
    </w:p>
    <w:p>
      <w:pPr>
        <w:pStyle w:val="NormalNumberedtext"/>
      </w:pPr>
      <w:r>
        <w:t>The following minimum data quality standards apply to all HSESC and environmental datasets:</w:t>
      </w:r>
    </w:p>
    <w:p>
      <w:pPr>
        <w:pStyle w:val="NumberedBulletL1"/>
      </w:pPr>
      <w:r>
        <w:t>Data is collected using methods appropriate to its intended use and proportionate to the sensitivity of the data.</w:t>
      </w:r>
    </w:p>
    <w:p>
      <w:pPr>
        <w:pStyle w:val="NumberedBulletL1"/>
      </w:pPr>
      <w:r>
        <w:t>Data assumptions, limitations, and uncertainty are documented and stored with the dataset.</w:t>
      </w:r>
    </w:p>
    <w:p>
      <w:pPr>
        <w:pStyle w:val="NumberedBulletL1"/>
      </w:pPr>
      <w:r>
        <w:t>Accredited laboratory analysis is used where required by applicable standards or regulatory obligations.</w:t>
      </w:r>
    </w:p>
    <w:p>
      <w:pPr>
        <w:pStyle w:val="NumberedBulletL1"/>
      </w:pPr>
      <w:r>
        <w:rPr>
          <w:color w:val="C55A11"/>
        </w:rPr>
        <w:t>Data is reviewed against the previous reporting period as part of annual analysis to identify trends, anomalies, or data gaps.</w:t>
      </w:r>
    </w:p>
    <w:p>
      <w:pPr>
        <w:pStyle w:val="NormalNumberedtext"/>
      </w:pPr>
    </w:p>
    <w:p>
      <w:pPr>
        <w:pStyle w:val="Heading2Numbered"/>
        <w:numPr>
          <w:ilvl w:val="1"/>
          <w:numId w:val="1"/>
        </w:numPr>
      </w:pPr>
      <w:r>
        <w:rPr>
          <w:rFonts w:ascii="Arial" w:hAnsi="Arial" w:cs="Arial" w:eastAsia="Arial"/>
        </w:rPr>
        <w:t>Data Quality Assurance and Control</w:t>
      </w:r>
    </w:p>
    <w:p>
      <w:pPr>
        <w:pStyle w:val="NormalNumberedtext"/>
      </w:pPr>
      <w:r>
        <w:t>This section defines the QA/QC programme, sampling standards, and validation steps that apply to HSESC data collection and management.</w:t>
      </w:r>
    </w:p>
    <w:p>
      <w:pPr>
        <w:pStyle w:val="NormalNumberedtext"/>
      </w:pPr>
      <w:r>
        <w:t>The project implements a data quality assurance programme with defined QA/QC protocols, sampling standards, and validation steps, consistent with IFC PS1 §22. The programme is proportionate to the sensitivity of the data and its intended uses, and is documented in the project data management plan referenced below.</w:t>
      </w:r>
    </w:p>
    <w:p>
      <w:pPr>
        <w:pStyle w:val="NormalNumberedtext"/>
      </w:pPr>
      <w:r>
        <w:t>The data quality assurance programme defines:</w:t>
      </w:r>
    </w:p>
    <w:p>
      <w:pPr>
        <w:pStyle w:val="NumberedBulletL1"/>
      </w:pPr>
      <w:r>
        <w:t>QA/QC protocols for each data category, including environmental monitoring, community data, health and safety metrics, and geotechnical and tailings monitoring data.</w:t>
      </w:r>
    </w:p>
    <w:p>
      <w:pPr>
        <w:pStyle w:val="NumberedBulletL1"/>
      </w:pPr>
      <w:r>
        <w:t>Sampling standards and validation steps applied before data is entered into the authorised storage system.</w:t>
      </w:r>
    </w:p>
    <w:p>
      <w:pPr>
        <w:pStyle w:val="NumberedBulletL1"/>
      </w:pPr>
      <w:r>
        <w:t>Roles responsible for data validation at the point of collection and at the point of storage.</w:t>
      </w:r>
    </w:p>
    <w:p>
      <w:pPr>
        <w:pStyle w:val="NumberedBulletL1"/>
      </w:pPr>
      <w:r>
        <w:rPr>
          <w:color w:val="C55A11"/>
        </w:rPr>
        <w:t>A data quality non-conformance process that records identified data errors, corrective actions taken, and the revised dataset.</w:t>
      </w:r>
    </w:p>
    <w:p>
      <w:pPr>
        <w:pStyle w:val="NormalNumberedtext"/>
      </w:pPr>
      <w:r>
        <w:rPr>
          <w:b/>
          <w:bCs/>
          <w:color w:val="0059D1"/>
        </w:rPr>
        <w:t>[INSERT: project_data_management_plan_reference]</w:t>
      </w:r>
    </w:p>
    <w:p>
      <w:pPr>
        <w:pStyle w:val="NormalNumberedtext"/>
      </w:pPr>
      <w:r>
        <w:t>Annual data analysis and interpretation is the minimum required frequency. The HSESC Manager is responsible for ensuring annual analysis is completed, documented, and stored with the relevant dataset. Where monitoring programmes operate on a more frequent cycle, analysis frequency matches the monitoring cycle.</w:t>
      </w:r>
    </w:p>
    <w:p>
      <w:pPr>
        <w:pStyle w:val="NormalNumberedtext"/>
      </w:pPr>
    </w:p>
    <w:p>
      <w:pPr>
        <w:pStyle w:val="Heading2Numbered"/>
        <w:numPr>
          <w:ilvl w:val="1"/>
          <w:numId w:val="1"/>
        </w:numPr>
      </w:pPr>
      <w:r>
        <w:rPr>
          <w:rFonts w:ascii="Arial" w:hAnsi="Arial" w:cs="Arial" w:eastAsia="Arial"/>
        </w:rPr>
        <w:t>Tailings and Geotechnical Monitoring Data</w:t>
      </w:r>
    </w:p>
    <w:p>
      <w:pPr>
        <w:pStyle w:val="NormalNumberedtext"/>
      </w:pPr>
      <w:r>
        <w:t>This section defines the additional data quality requirements that apply to tailings and geotechnical monitoring data to support independent verification.</w:t>
      </w:r>
    </w:p>
    <w:p>
      <w:pPr>
        <w:pStyle w:val="NormalNumberedtext"/>
      </w:pPr>
      <w:r>
        <w:t>Data used for tailings and geotechnical monitoring must be collected, validated, and stored in a manner that supports independent verification and long-term accessibility, consistent with TSM Tailings Management Protocol Indicator TM3. The collection, validation, and storage process for tailings monitoring data is documented and made available to the independent review engineer on request.</w:t>
      </w:r>
    </w:p>
    <w:p>
      <w:pPr>
        <w:pStyle w:val="NormalNumberedtext"/>
      </w:pPr>
      <w:r>
        <w:t>The following requirements apply specifically to tailings and geotechnical monitoring data:</w:t>
      </w:r>
    </w:p>
    <w:p>
      <w:pPr>
        <w:pStyle w:val="NumberedBulletL1"/>
      </w:pPr>
      <w:r>
        <w:t>Data is collected using instruments and methods that have been calibrated and are traceable to recognised standards.</w:t>
      </w:r>
    </w:p>
    <w:p>
      <w:pPr>
        <w:pStyle w:val="NumberedBulletL1"/>
      </w:pPr>
      <w:r>
        <w:t>Validation is completed before data is entered into the authorised storage system, and the validation step is recorded.</w:t>
      </w:r>
    </w:p>
    <w:p>
      <w:pPr>
        <w:pStyle w:val="NumberedBulletL1"/>
      </w:pPr>
      <w:r>
        <w:t>Data is stored in a format that supports long-term accessibility and retrieval beyond the operational life of the facility.</w:t>
      </w:r>
    </w:p>
    <w:p>
      <w:pPr>
        <w:pStyle w:val="NumberedBulletL1"/>
      </w:pPr>
      <w:r>
        <w:t>The full dataset, including raw data, validation records, and analysis outputs, is available for independent review at any time.</w:t>
      </w:r>
    </w:p>
    <w:p>
      <w:pPr>
        <w:pStyle w:val="NormalNumberedtext"/>
      </w:pPr>
    </w:p>
    <w:p>
      <w:pPr>
        <w:pStyle w:val="Heading1Numbered"/>
        <w:numPr>
          <w:ilvl w:val="0"/>
          <w:numId w:val="1"/>
        </w:numPr>
      </w:pPr>
      <w:r>
        <w:rPr>
          <w:rFonts w:ascii="Arial" w:hAnsi="Arial" w:cs="Arial" w:eastAsia="Arial"/>
        </w:rPr>
        <w:t>Data Ownership and Authorised Storage</w:t>
      </w:r>
    </w:p>
    <w:p>
      <w:pPr>
        <w:pStyle w:val="NormalNumberedtext"/>
      </w:pPr>
      <w:r>
        <w:t>This section defines who owns project HSESC data and records, where authorised storage systems are located, and the access and confidentiality requirements that apply.</w:t>
      </w:r>
    </w:p>
    <w:p>
      <w:pPr>
        <w:pStyle w:val="NormalNumberedtext"/>
      </w:pPr>
    </w:p>
    <w:p>
      <w:pPr>
        <w:pStyle w:val="Heading2Numbered"/>
        <w:numPr>
          <w:ilvl w:val="1"/>
          <w:numId w:val="1"/>
        </w:numPr>
      </w:pPr>
      <w:r>
        <w:rPr>
          <w:rFonts w:ascii="Arial" w:hAnsi="Arial" w:cs="Arial" w:eastAsia="Arial"/>
        </w:rPr>
        <w:t>Data Ownership</w:t>
      </w:r>
    </w:p>
    <w:p>
      <w:pPr>
        <w:pStyle w:val="NormalNumberedtext"/>
      </w:pPr>
      <w:r>
        <w:t>This section establishes that all project HSESC data is owned by Rio Tinto and defines the obligations this creates for contractors and service providers.</w:t>
      </w:r>
    </w:p>
    <w:p>
      <w:pPr>
        <w:pStyle w:val="NormalNumberedtext"/>
      </w:pPr>
      <w:r>
        <w:t>All environmental and HSESC data generated in connection with this project is owned by Rio Tinto, consistent with the RT Environment and Nature General Requirements Standard. Data ownership does not transfer to contractors or service providers at any point. Where a contractor or service provider generates data on behalf of the project, that data must be transferred to an authorised Rio Tinto system before the contractor or service provider demobilises.</w:t>
      </w:r>
    </w:p>
    <w:p>
      <w:pPr>
        <w:pStyle w:val="NormalNumberedtext"/>
      </w:pPr>
      <w:r>
        <w:t>The following data ownership obligations apply to all contractors and service providers:</w:t>
      </w:r>
    </w:p>
    <w:p>
      <w:pPr>
        <w:pStyle w:val="NumberedBulletL1"/>
      </w:pPr>
      <w:r>
        <w:t>Project HSESC data must not be held solely on contractor or service provider systems at any time.</w:t>
      </w:r>
    </w:p>
    <w:p>
      <w:pPr>
        <w:pStyle w:val="NumberedBulletL1"/>
      </w:pPr>
      <w:r>
        <w:t>All raw data, validated datasets, analysis outputs, and associated metadata must be transferred to the authorised project system within the timeframe specified in the relevant contract or subcontract.</w:t>
      </w:r>
    </w:p>
    <w:p>
      <w:pPr>
        <w:pStyle w:val="NumberedBulletL1"/>
      </w:pPr>
      <w:r>
        <w:rPr>
          <w:color w:val="C55A11"/>
        </w:rPr>
        <w:t>The project HSESC Manager verifies data transfer at demobilisation by confirming receipt in the authorised system before the contractor's final payment is processed.</w:t>
      </w:r>
    </w:p>
    <w:p>
      <w:pPr>
        <w:pStyle w:val="NormalNumberedtext"/>
      </w:pPr>
      <w:r>
        <w:rPr>
          <w:b/>
          <w:bCs/>
          <w:color w:val="0059D1"/>
        </w:rPr>
        <w:t>[INSERT: contractor_data_transfer_timeframe]</w:t>
      </w:r>
    </w:p>
    <w:p>
      <w:pPr>
        <w:pStyle w:val="NormalNumberedtext"/>
      </w:pPr>
    </w:p>
    <w:p>
      <w:pPr>
        <w:pStyle w:val="Heading2Numbered"/>
        <w:numPr>
          <w:ilvl w:val="1"/>
          <w:numId w:val="1"/>
        </w:numPr>
      </w:pPr>
      <w:r>
        <w:rPr>
          <w:rFonts w:ascii="Arial" w:hAnsi="Arial" w:cs="Arial" w:eastAsia="Arial"/>
        </w:rPr>
        <w:t>Authorised Storage Systems</w:t>
      </w:r>
    </w:p>
    <w:p>
      <w:pPr>
        <w:pStyle w:val="NormalNumberedtext"/>
      </w:pPr>
      <w:r>
        <w:t>This section defines the authorised systems for storing each category of project HSESC data and records.</w:t>
      </w:r>
    </w:p>
    <w:p>
      <w:pPr>
        <w:pStyle w:val="NormalNumberedtext"/>
      </w:pPr>
      <w:r>
        <w:t>All project HSESC data and records must be stored on authorised Rio Tinto systems in a format that ensures long-term integrity and accessibility, consistent with the RT Environment and Nature General Requirements Standard and IFC PS1 §22. Storage on personal drives, personal email accounts, or non-authorised third-party systems is not permitted.</w:t>
      </w:r>
    </w:p>
    <w:p>
      <w:pPr>
        <w:pStyle w:val="NormalNumberedtext"/>
      </w:pPr>
      <w:r>
        <w:t>The authorised storage systems for this project are defined in the table below. The project team must confirm these systems before this procedure is issued and update this section if systems change during the project lifecycle.</w:t>
      </w:r>
    </w:p>
    <w:p>
      <w:pPr>
        <w:pStyle w:val="NormalNumberedtext"/>
      </w:pPr>
      <w:r>
        <w:t>Table 1: Authorised Data Storage Systems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Record Category</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Authorised Storage System</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System Owner / Administrator</w:t>
            </w:r>
          </w:p>
        </w:tc>
      </w:tr>
      <w:tr>
        <w:tc>
          <w:tcPr>
            <w:tcW w:type="dxa" w:w="3008"/>
          </w:tcPr>
          <w:p>
            <w:pPr>
              <w:pStyle w:val="TableContents"/>
              <w:spacing w:before="0" w:after="0" w:line="240" w:lineRule="atLeast"/>
            </w:pPr>
            <w:r>
              <w:rPr>
                <w:rFonts w:ascii="Arial" w:hAnsi="Arial" w:cs="Arial" w:eastAsia="Arial"/>
                <w:sz w:val="16"/>
                <w:szCs w:val="16"/>
              </w:rPr>
              <w:t>HSESC management records (general)</w:t>
            </w:r>
          </w:p>
        </w:tc>
        <w:tc>
          <w:tcPr>
            <w:tcW w:type="dxa" w:w="3008"/>
          </w:tcPr>
          <w:p>
            <w:pPr>
              <w:pStyle w:val="TableContents"/>
              <w:spacing w:before="0" w:after="0" w:line="240" w:lineRule="atLeast"/>
            </w:pPr>
            <w:r>
              <w:rPr>
                <w:rFonts w:ascii="Arial" w:hAnsi="Arial" w:cs="Arial" w:eastAsia="Arial"/>
                <w:b/>
                <w:bCs/>
                <w:color w:val="0059D1"/>
                <w:sz w:val="16"/>
                <w:szCs w:val="16"/>
              </w:rPr>
              <w:t>[INSERT: system name and location]</w:t>
            </w:r>
          </w:p>
        </w:tc>
        <w:tc>
          <w:tcPr>
            <w:tcW w:type="dxa" w:w="3010"/>
          </w:tcPr>
          <w:p>
            <w:pPr>
              <w:pStyle w:val="TableContents"/>
              <w:spacing w:before="0" w:after="0" w:line="240" w:lineRule="atLeast"/>
            </w:pPr>
            <w:r>
              <w:rPr>
                <w:rFonts w:ascii="Arial" w:hAnsi="Arial" w:cs="Arial" w:eastAsia="Arial"/>
                <w:b/>
                <w:bCs/>
                <w:color w:val="0059D1"/>
                <w:sz w:val="16"/>
                <w:szCs w:val="16"/>
              </w:rPr>
              <w:t>[INSERT: role]</w:t>
            </w:r>
          </w:p>
        </w:tc>
      </w:tr>
      <w:tr>
        <w:tc>
          <w:tcPr>
            <w:tcW w:type="dxa" w:w="3008"/>
          </w:tcPr>
          <w:p>
            <w:pPr>
              <w:pStyle w:val="TableContents"/>
              <w:spacing w:before="0" w:after="0" w:line="240" w:lineRule="atLeast"/>
            </w:pPr>
            <w:r>
              <w:rPr>
                <w:rFonts w:ascii="Arial" w:hAnsi="Arial" w:cs="Arial" w:eastAsia="Arial"/>
                <w:sz w:val="16"/>
                <w:szCs w:val="16"/>
              </w:rPr>
              <w:t>Environmental monitoring datasets</w:t>
            </w:r>
          </w:p>
        </w:tc>
        <w:tc>
          <w:tcPr>
            <w:tcW w:type="dxa" w:w="3008"/>
          </w:tcPr>
          <w:p>
            <w:pPr>
              <w:pStyle w:val="TableContents"/>
              <w:spacing w:before="0" w:after="0" w:line="240" w:lineRule="atLeast"/>
            </w:pPr>
            <w:r>
              <w:rPr>
                <w:rFonts w:ascii="Arial" w:hAnsi="Arial" w:cs="Arial" w:eastAsia="Arial"/>
                <w:b/>
                <w:bCs/>
                <w:color w:val="0059D1"/>
                <w:sz w:val="16"/>
                <w:szCs w:val="16"/>
              </w:rPr>
              <w:t>[INSERT: system name and location]</w:t>
            </w:r>
          </w:p>
        </w:tc>
        <w:tc>
          <w:tcPr>
            <w:tcW w:type="dxa" w:w="3010"/>
          </w:tcPr>
          <w:p>
            <w:pPr>
              <w:pStyle w:val="TableContents"/>
              <w:spacing w:before="0" w:after="0" w:line="240" w:lineRule="atLeast"/>
            </w:pPr>
            <w:r>
              <w:rPr>
                <w:rFonts w:ascii="Arial" w:hAnsi="Arial" w:cs="Arial" w:eastAsia="Arial"/>
                <w:b/>
                <w:bCs/>
                <w:color w:val="0059D1"/>
                <w:sz w:val="16"/>
                <w:szCs w:val="16"/>
              </w:rPr>
              <w:t>[INSERT: role]</w:t>
            </w:r>
          </w:p>
        </w:tc>
      </w:tr>
      <w:tr>
        <w:tc>
          <w:tcPr>
            <w:tcW w:type="dxa" w:w="3008"/>
          </w:tcPr>
          <w:p>
            <w:pPr>
              <w:pStyle w:val="TableContents"/>
              <w:spacing w:before="0" w:after="0" w:line="240" w:lineRule="atLeast"/>
            </w:pPr>
            <w:r>
              <w:rPr>
                <w:rFonts w:ascii="Arial" w:hAnsi="Arial" w:cs="Arial" w:eastAsia="Arial"/>
                <w:sz w:val="16"/>
                <w:szCs w:val="16"/>
              </w:rPr>
              <w:t>Community engagement and stakeholder records</w:t>
            </w:r>
          </w:p>
        </w:tc>
        <w:tc>
          <w:tcPr>
            <w:tcW w:type="dxa" w:w="3008"/>
          </w:tcPr>
          <w:p>
            <w:pPr>
              <w:pStyle w:val="TableContents"/>
              <w:spacing w:before="0" w:after="0" w:line="240" w:lineRule="atLeast"/>
            </w:pPr>
            <w:r>
              <w:rPr>
                <w:rFonts w:ascii="Arial" w:hAnsi="Arial" w:cs="Arial" w:eastAsia="Arial"/>
                <w:b/>
                <w:bCs/>
                <w:color w:val="0059D1"/>
                <w:sz w:val="16"/>
                <w:szCs w:val="16"/>
              </w:rPr>
              <w:t>[INSERT: system name and location]</w:t>
            </w:r>
          </w:p>
        </w:tc>
        <w:tc>
          <w:tcPr>
            <w:tcW w:type="dxa" w:w="3010"/>
          </w:tcPr>
          <w:p>
            <w:pPr>
              <w:pStyle w:val="TableContents"/>
              <w:spacing w:before="0" w:after="0" w:line="240" w:lineRule="atLeast"/>
            </w:pPr>
            <w:r>
              <w:rPr>
                <w:rFonts w:ascii="Arial" w:hAnsi="Arial" w:cs="Arial" w:eastAsia="Arial"/>
                <w:b/>
                <w:bCs/>
                <w:color w:val="0059D1"/>
                <w:sz w:val="16"/>
                <w:szCs w:val="16"/>
              </w:rPr>
              <w:t>[INSERT: role]</w:t>
            </w:r>
          </w:p>
        </w:tc>
      </w:tr>
      <w:tr>
        <w:tc>
          <w:tcPr>
            <w:tcW w:type="dxa" w:w="3008"/>
          </w:tcPr>
          <w:p>
            <w:pPr>
              <w:pStyle w:val="TableContents"/>
              <w:spacing w:before="0" w:after="0" w:line="240" w:lineRule="atLeast"/>
            </w:pPr>
            <w:r>
              <w:rPr>
                <w:rFonts w:ascii="Arial" w:hAnsi="Arial" w:cs="Arial" w:eastAsia="Arial"/>
                <w:sz w:val="16"/>
                <w:szCs w:val="16"/>
              </w:rPr>
              <w:t>Incident investigation records</w:t>
            </w:r>
          </w:p>
        </w:tc>
        <w:tc>
          <w:tcPr>
            <w:tcW w:type="dxa" w:w="3008"/>
          </w:tcPr>
          <w:p>
            <w:pPr>
              <w:pStyle w:val="TableContents"/>
              <w:spacing w:before="0" w:after="0" w:line="240" w:lineRule="atLeast"/>
            </w:pPr>
            <w:r>
              <w:rPr>
                <w:rFonts w:ascii="Arial" w:hAnsi="Arial" w:cs="Arial" w:eastAsia="Arial"/>
                <w:b/>
                <w:bCs/>
                <w:color w:val="0059D1"/>
                <w:sz w:val="16"/>
                <w:szCs w:val="16"/>
              </w:rPr>
              <w:t>[INSERT: system name and location]</w:t>
            </w:r>
          </w:p>
        </w:tc>
        <w:tc>
          <w:tcPr>
            <w:tcW w:type="dxa" w:w="3010"/>
          </w:tcPr>
          <w:p>
            <w:pPr>
              <w:pStyle w:val="TableContents"/>
              <w:spacing w:before="0" w:after="0" w:line="240" w:lineRule="atLeast"/>
            </w:pPr>
            <w:r>
              <w:rPr>
                <w:rFonts w:ascii="Arial" w:hAnsi="Arial" w:cs="Arial" w:eastAsia="Arial"/>
                <w:b/>
                <w:bCs/>
                <w:color w:val="0059D1"/>
                <w:sz w:val="16"/>
                <w:szCs w:val="16"/>
              </w:rPr>
              <w:t>[INSERT: role]</w:t>
            </w:r>
          </w:p>
        </w:tc>
      </w:tr>
      <w:tr>
        <w:tc>
          <w:tcPr>
            <w:tcW w:type="dxa" w:w="3008"/>
          </w:tcPr>
          <w:p>
            <w:pPr>
              <w:pStyle w:val="TableContents"/>
              <w:spacing w:before="0" w:after="0" w:line="240" w:lineRule="atLeast"/>
            </w:pPr>
            <w:r>
              <w:rPr>
                <w:rFonts w:ascii="Arial" w:hAnsi="Arial" w:cs="Arial" w:eastAsia="Arial"/>
                <w:sz w:val="16"/>
                <w:szCs w:val="16"/>
              </w:rPr>
              <w:t>Training and competency records</w:t>
            </w:r>
          </w:p>
        </w:tc>
        <w:tc>
          <w:tcPr>
            <w:tcW w:type="dxa" w:w="3008"/>
          </w:tcPr>
          <w:p>
            <w:pPr>
              <w:pStyle w:val="TableContents"/>
              <w:spacing w:before="0" w:after="0" w:line="240" w:lineRule="atLeast"/>
            </w:pPr>
            <w:r>
              <w:rPr>
                <w:rFonts w:ascii="Arial" w:hAnsi="Arial" w:cs="Arial" w:eastAsia="Arial"/>
                <w:b/>
                <w:bCs/>
                <w:color w:val="0059D1"/>
                <w:sz w:val="16"/>
                <w:szCs w:val="16"/>
              </w:rPr>
              <w:t>[INSERT: system name and location]</w:t>
            </w:r>
          </w:p>
        </w:tc>
        <w:tc>
          <w:tcPr>
            <w:tcW w:type="dxa" w:w="3010"/>
          </w:tcPr>
          <w:p>
            <w:pPr>
              <w:pStyle w:val="TableContents"/>
              <w:spacing w:before="0" w:after="0" w:line="240" w:lineRule="atLeast"/>
            </w:pPr>
            <w:r>
              <w:rPr>
                <w:rFonts w:ascii="Arial" w:hAnsi="Arial" w:cs="Arial" w:eastAsia="Arial"/>
                <w:b/>
                <w:bCs/>
                <w:color w:val="0059D1"/>
                <w:sz w:val="16"/>
                <w:szCs w:val="16"/>
              </w:rPr>
              <w:t>[INSERT: role]</w:t>
            </w:r>
          </w:p>
        </w:tc>
      </w:tr>
      <w:tr>
        <w:tc>
          <w:tcPr>
            <w:tcW w:type="dxa" w:w="3008"/>
          </w:tcPr>
          <w:p>
            <w:pPr>
              <w:pStyle w:val="TableContents"/>
              <w:spacing w:before="0" w:after="0" w:line="240" w:lineRule="atLeast"/>
            </w:pPr>
            <w:r>
              <w:rPr>
                <w:rFonts w:ascii="Arial" w:hAnsi="Arial" w:cs="Arial" w:eastAsia="Arial"/>
                <w:sz w:val="16"/>
                <w:szCs w:val="16"/>
              </w:rPr>
              <w:t>Geotechnical and tailings monitoring data</w:t>
            </w:r>
          </w:p>
        </w:tc>
        <w:tc>
          <w:tcPr>
            <w:tcW w:type="dxa" w:w="3008"/>
          </w:tcPr>
          <w:p>
            <w:pPr>
              <w:pStyle w:val="TableContents"/>
              <w:spacing w:before="0" w:after="0" w:line="240" w:lineRule="atLeast"/>
            </w:pPr>
            <w:r>
              <w:rPr>
                <w:rFonts w:ascii="Arial" w:hAnsi="Arial" w:cs="Arial" w:eastAsia="Arial"/>
                <w:b/>
                <w:bCs/>
                <w:color w:val="0059D1"/>
                <w:sz w:val="16"/>
                <w:szCs w:val="16"/>
              </w:rPr>
              <w:t>[INSERT: system name and location]</w:t>
            </w:r>
          </w:p>
        </w:tc>
        <w:tc>
          <w:tcPr>
            <w:tcW w:type="dxa" w:w="3010"/>
          </w:tcPr>
          <w:p>
            <w:pPr>
              <w:pStyle w:val="TableContents"/>
              <w:spacing w:before="0" w:after="0" w:line="240" w:lineRule="atLeast"/>
            </w:pPr>
            <w:r>
              <w:rPr>
                <w:rFonts w:ascii="Arial" w:hAnsi="Arial" w:cs="Arial" w:eastAsia="Arial"/>
                <w:b/>
                <w:bCs/>
                <w:color w:val="0059D1"/>
                <w:sz w:val="16"/>
                <w:szCs w:val="16"/>
              </w:rPr>
              <w:t>[INSERT: role]</w:t>
            </w:r>
          </w:p>
        </w:tc>
      </w:tr>
    </w:tbl>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 AUTHORISED STORAGE SYSTEMS: Define the authorised data storage platforms for this project. Confirm which system holds HSESC management records, which holds environmental monitoring data, and which holds community engagement records. Each system must be a Rio Tinto-controlled platform. The procedure requires authorised systems - the project defines which systems those are.</w:t>
            </w:r>
          </w:p>
        </w:tc>
      </w:tr>
    </w:tbl>
    <w:p>
      <w:pPr>
        <w:pStyle w:val="NormalNumberedtext"/>
      </w:pPr>
    </w:p>
    <w:p>
      <w:pPr>
        <w:pStyle w:val="NormalNumberedtext"/>
      </w:pPr>
      <w:r>
        <w:t>Monitoring data and management records are retained for the life of the project and beyond where legacy environmental obligations exist, consistent with IFC PS1 §22. The retention periods for each record category are defined in Section 4 of this procedure.</w:t>
      </w:r>
    </w:p>
    <w:p>
      <w:pPr>
        <w:pStyle w:val="NormalNumberedtext"/>
      </w:pPr>
    </w:p>
    <w:p>
      <w:pPr>
        <w:pStyle w:val="Heading2Numbered"/>
        <w:numPr>
          <w:ilvl w:val="1"/>
          <w:numId w:val="1"/>
        </w:numPr>
      </w:pPr>
      <w:r>
        <w:rPr>
          <w:rFonts w:ascii="Arial" w:hAnsi="Arial" w:cs="Arial" w:eastAsia="Arial"/>
        </w:rPr>
        <w:t>Community and Personal Data Privacy</w:t>
      </w:r>
    </w:p>
    <w:p>
      <w:pPr>
        <w:pStyle w:val="NormalNumberedtext"/>
      </w:pPr>
      <w:r>
        <w:t>This section defines the privacy requirements that apply to community, stakeholder, and personal data held by the project.</w:t>
      </w:r>
    </w:p>
    <w:p>
      <w:pPr>
        <w:pStyle w:val="NormalNumberedtext"/>
      </w:pPr>
      <w:r>
        <w:t>Community, stakeholder, and personal data is managed in compliance with the RT Data Privacy Standard, consistent with the RT CSP Standard - Data Privacy. Appropriate access controls and confidentiality protections are applied to all personal and community data held by the project. The authorised storage system for community engagement records is defined in Table 1 above.</w:t>
      </w:r>
    </w:p>
    <w:p>
      <w:pPr>
        <w:pStyle w:val="NormalNumberedtext"/>
      </w:pPr>
      <w:r>
        <w:t>The following requirements apply to all community, stakeholder, and personal data:</w:t>
      </w:r>
    </w:p>
    <w:p>
      <w:pPr>
        <w:pStyle w:val="NumberedBulletL1"/>
      </w:pPr>
      <w:r>
        <w:t>Personal data is collected only for a defined purpose and is not used for purposes other than those for which it was collected.</w:t>
      </w:r>
    </w:p>
    <w:p>
      <w:pPr>
        <w:pStyle w:val="NumberedBulletL1"/>
      </w:pPr>
      <w:r>
        <w:t>Access to personal and community data is restricted to personnel with a legitimate project need, as defined in the access control matrix at Section 3.2.</w:t>
      </w:r>
    </w:p>
    <w:p>
      <w:pPr>
        <w:pStyle w:val="NumberedBulletL1"/>
      </w:pPr>
      <w:r>
        <w:t>Community members are informed of how their data will be used, stored, and protected at the time of collection.</w:t>
      </w:r>
    </w:p>
    <w:p>
      <w:pPr>
        <w:pStyle w:val="NumberedBulletL1"/>
      </w:pPr>
      <w:r>
        <w:rPr>
          <w:color w:val="C55A11"/>
        </w:rPr>
        <w:t>A data privacy incident (including unauthorised access to personal data) is reported to the HSESC Manager within 24 hours of discovery and managed in accordance with the RT Data Privacy Standard.</w:t>
      </w:r>
    </w:p>
    <w:p>
      <w:pPr>
        <w:pStyle w:val="NormalNumberedtext"/>
      </w:pPr>
    </w:p>
    <w:p>
      <w:pPr>
        <w:pStyle w:val="Heading2Numbered"/>
        <w:numPr>
          <w:ilvl w:val="1"/>
          <w:numId w:val="1"/>
        </w:numPr>
      </w:pPr>
      <w:r>
        <w:rPr>
          <w:rFonts w:ascii="Arial" w:hAnsi="Arial" w:cs="Arial" w:eastAsia="Arial"/>
        </w:rPr>
        <w:t>Access Rights and Confidentiality Classification</w:t>
      </w:r>
    </w:p>
    <w:p>
      <w:pPr>
        <w:pStyle w:val="NormalNumberedtext"/>
      </w:pPr>
      <w:r>
        <w:t>This section defines the information classification system and access control requirements for all HSESC data and records held by the project.</w:t>
      </w:r>
    </w:p>
    <w:p>
      <w:pPr>
        <w:pStyle w:val="NormalNumberedtext"/>
      </w:pPr>
      <w:r>
        <w:t>All HSESC data and records held by the project are classified by sensitivity level. Access rights are defined by role for each classification. The project access control matrix documents the classification of each record type and the roles authorised to access it.</w:t>
      </w:r>
    </w:p>
    <w:p>
      <w:pPr>
        <w:pStyle w:val="NormalNumberedtext"/>
      </w:pPr>
      <w:r>
        <w:t>Table 2: Information Classification and Access Controls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Classification</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Description</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Example Record Types</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Access Control</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Project-Specific Access Roles</w:t>
            </w:r>
          </w:p>
        </w:tc>
      </w:tr>
      <w:tr>
        <w:tc>
          <w:tcPr>
            <w:tcW w:type="dxa" w:w="1805"/>
          </w:tcPr>
          <w:p>
            <w:pPr>
              <w:pStyle w:val="TableContents"/>
              <w:spacing w:before="0" w:after="0" w:line="240" w:lineRule="atLeast"/>
            </w:pPr>
            <w:r>
              <w:rPr>
                <w:rFonts w:ascii="Arial" w:hAnsi="Arial" w:cs="Arial" w:eastAsia="Arial"/>
                <w:sz w:val="16"/>
                <w:szCs w:val="16"/>
              </w:rPr>
              <w:t>Public</w:t>
            </w:r>
          </w:p>
        </w:tc>
        <w:tc>
          <w:tcPr>
            <w:tcW w:type="dxa" w:w="1805"/>
          </w:tcPr>
          <w:p>
            <w:pPr>
              <w:pStyle w:val="TableContents"/>
              <w:spacing w:before="0" w:after="0" w:line="240" w:lineRule="atLeast"/>
            </w:pPr>
            <w:r>
              <w:rPr>
                <w:rFonts w:ascii="Arial" w:hAnsi="Arial" w:cs="Arial" w:eastAsia="Arial"/>
                <w:sz w:val="16"/>
                <w:szCs w:val="16"/>
              </w:rPr>
              <w:t>Information approved for release to the public or affected communities, consistent with IFC PS1 §35 disclosure obligations.</w:t>
            </w:r>
          </w:p>
        </w:tc>
        <w:tc>
          <w:tcPr>
            <w:tcW w:type="dxa" w:w="1805"/>
          </w:tcPr>
          <w:p>
            <w:pPr>
              <w:pStyle w:val="TableContents"/>
              <w:spacing w:before="0" w:after="0" w:line="240" w:lineRule="atLeast"/>
            </w:pPr>
            <w:r>
              <w:rPr>
                <w:rFonts w:ascii="Arial" w:hAnsi="Arial" w:cs="Arial" w:eastAsia="Arial"/>
                <w:sz w:val="16"/>
                <w:szCs w:val="16"/>
              </w:rPr>
              <w:t>Environmental and social monitoring reports; community grievance process summaries; project environmental commitments register.</w:t>
            </w:r>
          </w:p>
        </w:tc>
        <w:tc>
          <w:tcPr>
            <w:tcW w:type="dxa" w:w="1805"/>
          </w:tcPr>
          <w:p>
            <w:pPr>
              <w:pStyle w:val="TableContents"/>
              <w:spacing w:before="0" w:after="0" w:line="240" w:lineRule="atLeast"/>
            </w:pPr>
            <w:r>
              <w:rPr>
                <w:rFonts w:ascii="Arial" w:hAnsi="Arial" w:cs="Arial" w:eastAsia="Arial"/>
                <w:sz w:val="16"/>
                <w:szCs w:val="16"/>
              </w:rPr>
              <w:t xml:space="preserve">No restriction after approval for release. Approval authority defined in Document Control Procedure </w:t>
            </w:r>
            <w:r>
              <w:rPr>
                <w:rFonts w:ascii="Arial" w:hAnsi="Arial" w:cs="Arial" w:eastAsia="Arial"/>
                <w:b/>
                <w:bCs/>
                <w:color w:val="0059D1"/>
                <w:sz w:val="16"/>
                <w:szCs w:val="16"/>
              </w:rPr>
              <w:t>[INSERT: Project Document Number]</w:t>
            </w:r>
            <w:r>
              <w:rPr>
                <w:rFonts w:ascii="Arial" w:hAnsi="Arial" w:cs="Arial" w:eastAsia="Arial"/>
                <w:sz w:val="16"/>
                <w:szCs w:val="16"/>
              </w:rPr>
              <w:t>.</w:t>
            </w:r>
          </w:p>
        </w:tc>
        <w:tc>
          <w:tcPr>
            <w:tcW w:type="dxa" w:w="1806"/>
          </w:tcPr>
          <w:p>
            <w:pPr>
              <w:pStyle w:val="TableContents"/>
              <w:spacing w:before="0" w:after="0" w:line="240" w:lineRule="atLeast"/>
            </w:pPr>
            <w:r>
              <w:rPr>
                <w:rFonts w:ascii="Arial" w:hAnsi="Arial" w:cs="Arial" w:eastAsia="Arial"/>
                <w:b/>
                <w:bCs/>
                <w:color w:val="0059D1"/>
                <w:sz w:val="16"/>
                <w:szCs w:val="16"/>
              </w:rPr>
              <w:t>[INSERT: role responsible for approving public release]</w:t>
            </w:r>
          </w:p>
        </w:tc>
      </w:tr>
      <w:tr>
        <w:tc>
          <w:tcPr>
            <w:tcW w:type="dxa" w:w="1805"/>
          </w:tcPr>
          <w:p>
            <w:pPr>
              <w:pStyle w:val="TableContents"/>
              <w:spacing w:before="0" w:after="0" w:line="240" w:lineRule="atLeast"/>
            </w:pPr>
            <w:r>
              <w:rPr>
                <w:rFonts w:ascii="Arial" w:hAnsi="Arial" w:cs="Arial" w:eastAsia="Arial"/>
                <w:sz w:val="16"/>
                <w:szCs w:val="16"/>
              </w:rPr>
              <w:t>Project-Restricted</w:t>
            </w:r>
          </w:p>
        </w:tc>
        <w:tc>
          <w:tcPr>
            <w:tcW w:type="dxa" w:w="1805"/>
          </w:tcPr>
          <w:p>
            <w:pPr>
              <w:pStyle w:val="TableContents"/>
              <w:spacing w:before="0" w:after="0" w:line="240" w:lineRule="atLeast"/>
            </w:pPr>
            <w:r>
              <w:rPr>
                <w:rFonts w:ascii="Arial" w:hAnsi="Arial" w:cs="Arial" w:eastAsia="Arial"/>
                <w:sz w:val="16"/>
                <w:szCs w:val="16"/>
              </w:rPr>
              <w:t>Information for use by project personnel only and not for external distribution without authorisation.</w:t>
            </w:r>
          </w:p>
        </w:tc>
        <w:tc>
          <w:tcPr>
            <w:tcW w:type="dxa" w:w="1805"/>
          </w:tcPr>
          <w:p>
            <w:pPr>
              <w:pStyle w:val="TableContents"/>
              <w:spacing w:before="0" w:after="0" w:line="240" w:lineRule="atLeast"/>
            </w:pPr>
            <w:r>
              <w:rPr>
                <w:rFonts w:ascii="Arial" w:hAnsi="Arial" w:cs="Arial" w:eastAsia="Arial"/>
                <w:sz w:val="16"/>
                <w:szCs w:val="16"/>
              </w:rPr>
              <w:t>HSESC management plans; incident investigation reports; risk registers; inspection records.</w:t>
            </w:r>
          </w:p>
        </w:tc>
        <w:tc>
          <w:tcPr>
            <w:tcW w:type="dxa" w:w="1805"/>
          </w:tcPr>
          <w:p>
            <w:pPr>
              <w:pStyle w:val="TableContents"/>
              <w:spacing w:before="0" w:after="0" w:line="240" w:lineRule="atLeast"/>
            </w:pPr>
            <w:r>
              <w:rPr>
                <w:rFonts w:ascii="Arial" w:hAnsi="Arial" w:cs="Arial" w:eastAsia="Arial"/>
                <w:sz w:val="16"/>
                <w:szCs w:val="16"/>
              </w:rPr>
              <w:t>Accessible to all project personnel (Rio Tinto and contractors) with a project system account.</w:t>
            </w:r>
          </w:p>
        </w:tc>
        <w:tc>
          <w:tcPr>
            <w:tcW w:type="dxa" w:w="1806"/>
          </w:tcPr>
          <w:p>
            <w:pPr>
              <w:pStyle w:val="TableContents"/>
              <w:spacing w:before="0" w:after="0" w:line="240" w:lineRule="atLeast"/>
            </w:pPr>
            <w:r>
              <w:rPr>
                <w:rFonts w:ascii="Arial" w:hAnsi="Arial" w:cs="Arial" w:eastAsia="Arial"/>
                <w:b/>
                <w:bCs/>
                <w:color w:val="0059D1"/>
                <w:sz w:val="16"/>
                <w:szCs w:val="16"/>
              </w:rPr>
              <w:t>[INSERT: system access group or role]</w:t>
            </w:r>
          </w:p>
        </w:tc>
      </w:tr>
      <w:tr>
        <w:tc>
          <w:tcPr>
            <w:tcW w:type="dxa" w:w="1805"/>
          </w:tcPr>
          <w:p>
            <w:pPr>
              <w:pStyle w:val="TableContents"/>
              <w:spacing w:before="0" w:after="0" w:line="240" w:lineRule="atLeast"/>
            </w:pPr>
            <w:r>
              <w:rPr>
                <w:rFonts w:ascii="Arial" w:hAnsi="Arial" w:cs="Arial" w:eastAsia="Arial"/>
                <w:sz w:val="16"/>
                <w:szCs w:val="16"/>
              </w:rPr>
              <w:t>Commercially Confidential</w:t>
            </w:r>
          </w:p>
        </w:tc>
        <w:tc>
          <w:tcPr>
            <w:tcW w:type="dxa" w:w="1805"/>
          </w:tcPr>
          <w:p>
            <w:pPr>
              <w:pStyle w:val="TableContents"/>
              <w:spacing w:before="0" w:after="0" w:line="240" w:lineRule="atLeast"/>
            </w:pPr>
            <w:r>
              <w:rPr>
                <w:rFonts w:ascii="Arial" w:hAnsi="Arial" w:cs="Arial" w:eastAsia="Arial"/>
                <w:sz w:val="16"/>
                <w:szCs w:val="16"/>
              </w:rPr>
              <w:t>Information whose disclosure could cause commercial harm to Rio Tinto or a third party.</w:t>
            </w:r>
          </w:p>
        </w:tc>
        <w:tc>
          <w:tcPr>
            <w:tcW w:type="dxa" w:w="1805"/>
          </w:tcPr>
          <w:p>
            <w:pPr>
              <w:pStyle w:val="TableContents"/>
              <w:spacing w:before="0" w:after="0" w:line="240" w:lineRule="atLeast"/>
            </w:pPr>
            <w:r>
              <w:rPr>
                <w:rFonts w:ascii="Arial" w:hAnsi="Arial" w:cs="Arial" w:eastAsia="Arial"/>
                <w:sz w:val="16"/>
                <w:szCs w:val="16"/>
              </w:rPr>
              <w:t>Contractor commercial data; design documents marked confidential; cost and schedule data.</w:t>
            </w:r>
          </w:p>
        </w:tc>
        <w:tc>
          <w:tcPr>
            <w:tcW w:type="dxa" w:w="1805"/>
          </w:tcPr>
          <w:p>
            <w:pPr>
              <w:pStyle w:val="TableContents"/>
              <w:spacing w:before="0" w:after="0" w:line="240" w:lineRule="atLeast"/>
            </w:pPr>
            <w:r>
              <w:rPr>
                <w:rFonts w:ascii="Arial" w:hAnsi="Arial" w:cs="Arial" w:eastAsia="Arial"/>
                <w:sz w:val="16"/>
                <w:szCs w:val="16"/>
              </w:rPr>
              <w:t>Restricted to Rio Tinto staff and nominated personnel with a specific need. Requires HSESC Manager approval for contractor access.</w:t>
            </w:r>
          </w:p>
        </w:tc>
        <w:tc>
          <w:tcPr>
            <w:tcW w:type="dxa" w:w="1806"/>
          </w:tcPr>
          <w:p>
            <w:pPr>
              <w:pStyle w:val="TableContents"/>
              <w:spacing w:before="0" w:after="0" w:line="240" w:lineRule="atLeast"/>
            </w:pPr>
            <w:r>
              <w:rPr>
                <w:rFonts w:ascii="Arial" w:hAnsi="Arial" w:cs="Arial" w:eastAsia="Arial"/>
                <w:b/>
                <w:bCs/>
                <w:color w:val="0059D1"/>
                <w:sz w:val="16"/>
                <w:szCs w:val="16"/>
              </w:rPr>
              <w:t>[INSERT: role and approval process]</w:t>
            </w:r>
          </w:p>
        </w:tc>
      </w:tr>
      <w:tr>
        <w:tc>
          <w:tcPr>
            <w:tcW w:type="dxa" w:w="1805"/>
          </w:tcPr>
          <w:p>
            <w:pPr>
              <w:pStyle w:val="TableContents"/>
              <w:spacing w:before="0" w:after="0" w:line="240" w:lineRule="atLeast"/>
            </w:pPr>
            <w:r>
              <w:rPr>
                <w:rFonts w:ascii="Arial" w:hAnsi="Arial" w:cs="Arial" w:eastAsia="Arial"/>
                <w:sz w:val="16"/>
                <w:szCs w:val="16"/>
              </w:rPr>
              <w:t>Personal / Medical</w:t>
            </w:r>
          </w:p>
        </w:tc>
        <w:tc>
          <w:tcPr>
            <w:tcW w:type="dxa" w:w="1805"/>
          </w:tcPr>
          <w:p>
            <w:pPr>
              <w:pStyle w:val="TableContents"/>
              <w:spacing w:before="0" w:after="0" w:line="240" w:lineRule="atLeast"/>
            </w:pPr>
            <w:r>
              <w:rPr>
                <w:rFonts w:ascii="Arial" w:hAnsi="Arial" w:cs="Arial" w:eastAsia="Arial"/>
                <w:sz w:val="16"/>
                <w:szCs w:val="16"/>
              </w:rPr>
              <w:t>Personal information and health data about individuals.</w:t>
            </w:r>
          </w:p>
        </w:tc>
        <w:tc>
          <w:tcPr>
            <w:tcW w:type="dxa" w:w="1805"/>
          </w:tcPr>
          <w:p>
            <w:pPr>
              <w:pStyle w:val="TableContents"/>
              <w:spacing w:before="0" w:after="0" w:line="240" w:lineRule="atLeast"/>
            </w:pPr>
            <w:r>
              <w:rPr>
                <w:rFonts w:ascii="Arial" w:hAnsi="Arial" w:cs="Arial" w:eastAsia="Arial"/>
                <w:sz w:val="16"/>
                <w:szCs w:val="16"/>
              </w:rPr>
              <w:t>Medical surveillance records; health assessments; personal incident injury records; community member personal details.</w:t>
            </w:r>
          </w:p>
        </w:tc>
        <w:tc>
          <w:tcPr>
            <w:tcW w:type="dxa" w:w="1805"/>
          </w:tcPr>
          <w:p>
            <w:pPr>
              <w:pStyle w:val="TableContents"/>
              <w:spacing w:before="0" w:after="0" w:line="240" w:lineRule="atLeast"/>
            </w:pPr>
            <w:r>
              <w:rPr>
                <w:rFonts w:ascii="Arial" w:hAnsi="Arial" w:cs="Arial" w:eastAsia="Arial"/>
                <w:sz w:val="16"/>
                <w:szCs w:val="16"/>
              </w:rPr>
              <w:t>Restricted to the occupational health provider, the relevant HR function, and the HSESC Manager. Not accessible to line supervisors or other project personnel without individual consent.</w:t>
            </w:r>
          </w:p>
        </w:tc>
        <w:tc>
          <w:tcPr>
            <w:tcW w:type="dxa" w:w="1806"/>
          </w:tcPr>
          <w:p>
            <w:pPr>
              <w:pStyle w:val="TableContents"/>
              <w:spacing w:before="0" w:after="0" w:line="240" w:lineRule="atLeast"/>
            </w:pPr>
            <w:r>
              <w:rPr>
                <w:rFonts w:ascii="Arial" w:hAnsi="Arial" w:cs="Arial" w:eastAsia="Arial"/>
                <w:b/>
                <w:bCs/>
                <w:color w:val="0059D1"/>
                <w:sz w:val="16"/>
                <w:szCs w:val="16"/>
              </w:rPr>
              <w:t>[INSERT: role and system with access]</w:t>
            </w:r>
          </w:p>
        </w:tc>
      </w:tr>
    </w:tbl>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 INFORMATION CLASSIFICATION: Define the project records classification system for each record type listed in Table 2. Confirm which record types are public, project-restricted, commercially confidential, or personal/medical. Define the access controls and the roles authorised to access each classification. The project must document this before the procedure is issued.</w:t>
            </w:r>
          </w:p>
        </w:tc>
      </w:tr>
    </w:tbl>
    <w:p>
      <w:pPr>
        <w:pStyle w:val="NormalNumberedtext"/>
      </w:pPr>
    </w:p>
    <w:p>
      <w:pPr>
        <w:pStyle w:val="NormalNumberedtext"/>
      </w:pPr>
      <w:r>
        <w:t>Environmental and social monitoring reports are disclosed to affected communities in a manner and format that is accessible and understandable, consistent with IFC PS1 §35. The HSESC Manager confirms the disclosure format is appropriate for the community before reports are released and retains a record of all disclosures made.</w:t>
      </w:r>
    </w:p>
    <w:p>
      <w:pPr>
        <w:pStyle w:val="NormalNumberedtext"/>
      </w:pPr>
    </w:p>
    <w:p>
      <w:pPr>
        <w:pStyle w:val="Heading1Numbered"/>
        <w:numPr>
          <w:ilvl w:val="0"/>
          <w:numId w:val="1"/>
        </w:numPr>
      </w:pPr>
      <w:r>
        <w:rPr>
          <w:rFonts w:ascii="Arial" w:hAnsi="Arial" w:cs="Arial" w:eastAsia="Arial"/>
        </w:rPr>
        <w:t>Record Retention Schedule</w:t>
      </w:r>
    </w:p>
    <w:p>
      <w:pPr>
        <w:pStyle w:val="NormalNumberedtext"/>
      </w:pPr>
      <w:r>
        <w:t>This section defines the minimum retention period for each record category, identifies the authority for approving early disposal, and notes where project-specific requirements exceed these minimums.</w:t>
      </w:r>
    </w:p>
    <w:p>
      <w:pPr>
        <w:pStyle w:val="NormalNumberedtext"/>
      </w:pPr>
    </w:p>
    <w:p>
      <w:pPr>
        <w:pStyle w:val="Heading2Numbered"/>
        <w:numPr>
          <w:ilvl w:val="1"/>
          <w:numId w:val="1"/>
        </w:numPr>
      </w:pPr>
      <w:r>
        <w:rPr>
          <w:rFonts w:ascii="Arial" w:hAnsi="Arial" w:cs="Arial" w:eastAsia="Arial"/>
        </w:rPr>
        <w:t>Minimum Retention Periods by Record Category</w:t>
      </w:r>
    </w:p>
    <w:p>
      <w:pPr>
        <w:pStyle w:val="NormalNumberedtext"/>
      </w:pPr>
      <w:r>
        <w:t>This section sets the minimum retention periods applicable across all record categories generated by the project.</w:t>
      </w:r>
    </w:p>
    <w:p>
      <w:pPr>
        <w:pStyle w:val="NormalNumberedtext"/>
      </w:pPr>
      <w:r>
        <w:t>Minimum retention periods are defined for each record category in Table 3 below. Where legislative retention obligations under the applicable jurisdiction exceed the minimum periods in this table, the longer period applies. Legislative obligations are identified and maintained in the Legal Requirements Procedure, [INSERT: Project Document Number]. The project must confirm in Table 4 any project-specific retention requirements that exceed the minimums stated here.</w:t>
      </w:r>
    </w:p>
    <w:p>
      <w:pPr>
        <w:pStyle w:val="NormalNumberedtext"/>
      </w:pPr>
      <w:r>
        <w:t>Table 3: Minimum Record Retention Schedule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Record Category</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Minimum Retention Period</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Retention Trigger</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Notes</w:t>
            </w:r>
          </w:p>
        </w:tc>
      </w:tr>
      <w:tr>
        <w:tc>
          <w:tcPr>
            <w:tcW w:type="dxa" w:w="2256"/>
          </w:tcPr>
          <w:p>
            <w:pPr>
              <w:pStyle w:val="TableContents"/>
              <w:spacing w:before="0" w:after="0" w:line="240" w:lineRule="atLeast"/>
            </w:pPr>
            <w:r>
              <w:rPr>
                <w:rFonts w:ascii="Arial" w:hAnsi="Arial" w:cs="Arial" w:eastAsia="Arial"/>
                <w:sz w:val="16"/>
                <w:szCs w:val="16"/>
              </w:rPr>
              <w:t>Electrical equipment inspection records</w:t>
            </w:r>
          </w:p>
        </w:tc>
        <w:tc>
          <w:tcPr>
            <w:tcW w:type="dxa" w:w="2256"/>
          </w:tcPr>
          <w:p>
            <w:pPr>
              <w:pStyle w:val="TableContents"/>
              <w:spacing w:before="0" w:after="0" w:line="240" w:lineRule="atLeast"/>
            </w:pPr>
            <w:r>
              <w:rPr>
                <w:rFonts w:ascii="Arial" w:hAnsi="Arial" w:cs="Arial" w:eastAsia="Arial"/>
                <w:sz w:val="16"/>
                <w:szCs w:val="16"/>
              </w:rPr>
              <w:t>5 years</w:t>
            </w:r>
          </w:p>
        </w:tc>
        <w:tc>
          <w:tcPr>
            <w:tcW w:type="dxa" w:w="2256"/>
          </w:tcPr>
          <w:p>
            <w:pPr>
              <w:pStyle w:val="TableContents"/>
              <w:spacing w:before="0" w:after="0" w:line="240" w:lineRule="atLeast"/>
            </w:pPr>
            <w:r>
              <w:rPr>
                <w:rFonts w:ascii="Arial" w:hAnsi="Arial" w:cs="Arial" w:eastAsia="Arial"/>
                <w:sz w:val="16"/>
                <w:szCs w:val="16"/>
              </w:rPr>
              <w:t>Date of inspection</w:t>
            </w:r>
          </w:p>
        </w:tc>
        <w:tc>
          <w:tcPr>
            <w:tcW w:type="dxa" w:w="2258"/>
          </w:tcPr>
          <w:p>
            <w:pPr>
              <w:pStyle w:val="TableContents"/>
              <w:spacing w:before="0" w:after="0" w:line="240" w:lineRule="atLeast"/>
            </w:pPr>
            <w:r>
              <w:rPr>
                <w:rFonts w:ascii="Arial" w:hAnsi="Arial" w:cs="Arial" w:eastAsia="Arial"/>
                <w:sz w:val="16"/>
                <w:szCs w:val="16"/>
              </w:rPr>
              <w:t>Retain all inspection records for installed equipment. Where equipment is replaced, records for the replaced equipment are retained for 5 years from the date of removal.</w:t>
            </w:r>
          </w:p>
        </w:tc>
      </w:tr>
      <w:tr>
        <w:tc>
          <w:tcPr>
            <w:tcW w:type="dxa" w:w="2256"/>
          </w:tcPr>
          <w:p>
            <w:pPr>
              <w:pStyle w:val="TableContents"/>
              <w:spacing w:before="0" w:after="0" w:line="240" w:lineRule="atLeast"/>
            </w:pPr>
            <w:r>
              <w:rPr>
                <w:rFonts w:ascii="Arial" w:hAnsi="Arial" w:cs="Arial" w:eastAsia="Arial"/>
                <w:sz w:val="16"/>
                <w:szCs w:val="16"/>
              </w:rPr>
              <w:t>Incident investigation records</w:t>
            </w:r>
          </w:p>
        </w:tc>
        <w:tc>
          <w:tcPr>
            <w:tcW w:type="dxa" w:w="2256"/>
          </w:tcPr>
          <w:p>
            <w:pPr>
              <w:pStyle w:val="TableContents"/>
              <w:spacing w:before="0" w:after="0" w:line="240" w:lineRule="atLeast"/>
            </w:pPr>
            <w:r>
              <w:rPr>
                <w:rFonts w:ascii="Arial" w:hAnsi="Arial" w:cs="Arial" w:eastAsia="Arial"/>
                <w:sz w:val="16"/>
                <w:szCs w:val="16"/>
              </w:rPr>
              <w:t>Per incident classification and applicable legislation</w:t>
            </w:r>
          </w:p>
        </w:tc>
        <w:tc>
          <w:tcPr>
            <w:tcW w:type="dxa" w:w="2256"/>
          </w:tcPr>
          <w:p>
            <w:pPr>
              <w:pStyle w:val="TableContents"/>
              <w:spacing w:before="0" w:after="0" w:line="240" w:lineRule="atLeast"/>
            </w:pPr>
            <w:r>
              <w:rPr>
                <w:rFonts w:ascii="Arial" w:hAnsi="Arial" w:cs="Arial" w:eastAsia="Arial"/>
                <w:sz w:val="16"/>
                <w:szCs w:val="16"/>
              </w:rPr>
              <w:t>Date of investigation closure</w:t>
            </w:r>
          </w:p>
        </w:tc>
        <w:tc>
          <w:tcPr>
            <w:tcW w:type="dxa" w:w="2258"/>
          </w:tcPr>
          <w:p>
            <w:pPr>
              <w:pStyle w:val="TableContents"/>
              <w:spacing w:before="0" w:after="0" w:line="240" w:lineRule="atLeast"/>
            </w:pPr>
            <w:r>
              <w:rPr>
                <w:rFonts w:ascii="Arial" w:hAnsi="Arial" w:cs="Arial" w:eastAsia="Arial"/>
                <w:sz w:val="16"/>
                <w:szCs w:val="16"/>
              </w:rPr>
              <w:t xml:space="preserve">Refer </w:t>
            </w:r>
            <w:r>
              <w:rPr>
                <w:rFonts w:ascii="Arial" w:hAnsi="Arial" w:cs="Arial" w:eastAsia="Arial"/>
                <w:b/>
                <w:bCs/>
                <w:color w:val="0059D1"/>
                <w:sz w:val="16"/>
                <w:szCs w:val="16"/>
              </w:rPr>
              <w:t>[INSERT: Project Document Number]</w:t>
            </w:r>
            <w:r>
              <w:rPr>
                <w:rFonts w:ascii="Arial" w:hAnsi="Arial" w:cs="Arial" w:eastAsia="Arial"/>
                <w:sz w:val="16"/>
                <w:szCs w:val="16"/>
              </w:rPr>
              <w:t xml:space="preserve"> for legislative obligations by jurisdiction. Fatality and permanent disability records are retained for the life of the asset as a minimum.</w:t>
            </w:r>
          </w:p>
        </w:tc>
      </w:tr>
      <w:tr>
        <w:tc>
          <w:tcPr>
            <w:tcW w:type="dxa" w:w="2256"/>
          </w:tcPr>
          <w:p>
            <w:pPr>
              <w:pStyle w:val="TableContents"/>
              <w:spacing w:before="0" w:after="0" w:line="240" w:lineRule="atLeast"/>
            </w:pPr>
            <w:r>
              <w:rPr>
                <w:rFonts w:ascii="Arial" w:hAnsi="Arial" w:cs="Arial" w:eastAsia="Arial"/>
                <w:sz w:val="16"/>
                <w:szCs w:val="16"/>
              </w:rPr>
              <w:t>Explosives records</w:t>
            </w:r>
          </w:p>
        </w:tc>
        <w:tc>
          <w:tcPr>
            <w:tcW w:type="dxa" w:w="2256"/>
          </w:tcPr>
          <w:p>
            <w:pPr>
              <w:pStyle w:val="TableContents"/>
              <w:spacing w:before="0" w:after="0" w:line="240" w:lineRule="atLeast"/>
            </w:pPr>
            <w:r>
              <w:rPr>
                <w:rFonts w:ascii="Arial" w:hAnsi="Arial" w:cs="Arial" w:eastAsia="Arial"/>
                <w:sz w:val="16"/>
                <w:szCs w:val="16"/>
              </w:rPr>
              <w:t>5 years or life of mine, whichever is longer</w:t>
            </w:r>
          </w:p>
        </w:tc>
        <w:tc>
          <w:tcPr>
            <w:tcW w:type="dxa" w:w="2256"/>
          </w:tcPr>
          <w:p>
            <w:pPr>
              <w:pStyle w:val="TableContents"/>
              <w:spacing w:before="0" w:after="0" w:line="240" w:lineRule="atLeast"/>
            </w:pPr>
            <w:r>
              <w:rPr>
                <w:rFonts w:ascii="Arial" w:hAnsi="Arial" w:cs="Arial" w:eastAsia="Arial"/>
                <w:sz w:val="16"/>
                <w:szCs w:val="16"/>
              </w:rPr>
              <w:t>Date of transaction or use</w:t>
            </w:r>
          </w:p>
        </w:tc>
        <w:tc>
          <w:tcPr>
            <w:tcW w:type="dxa" w:w="2258"/>
          </w:tcPr>
          <w:p>
            <w:pPr>
              <w:pStyle w:val="TableContents"/>
              <w:spacing w:before="0" w:after="0" w:line="240" w:lineRule="atLeast"/>
            </w:pPr>
            <w:r>
              <w:rPr>
                <w:rFonts w:ascii="Arial" w:hAnsi="Arial" w:cs="Arial" w:eastAsia="Arial"/>
                <w:sz w:val="16"/>
                <w:szCs w:val="16"/>
              </w:rPr>
              <w:t>Includes acquisition, storage, use, and disposal records. Retain for life of mine where the site remains an active explosives user.</w:t>
            </w:r>
          </w:p>
        </w:tc>
      </w:tr>
      <w:tr>
        <w:tc>
          <w:tcPr>
            <w:tcW w:type="dxa" w:w="2256"/>
          </w:tcPr>
          <w:p>
            <w:pPr>
              <w:pStyle w:val="TableContents"/>
              <w:spacing w:before="0" w:after="0" w:line="240" w:lineRule="atLeast"/>
            </w:pPr>
            <w:r>
              <w:rPr>
                <w:rFonts w:ascii="Arial" w:hAnsi="Arial" w:cs="Arial" w:eastAsia="Arial"/>
                <w:sz w:val="16"/>
                <w:szCs w:val="16"/>
              </w:rPr>
              <w:t>Environmental monitoring datasets</w:t>
            </w:r>
          </w:p>
        </w:tc>
        <w:tc>
          <w:tcPr>
            <w:tcW w:type="dxa" w:w="2256"/>
          </w:tcPr>
          <w:p>
            <w:pPr>
              <w:pStyle w:val="TableContents"/>
              <w:spacing w:before="0" w:after="0" w:line="240" w:lineRule="atLeast"/>
            </w:pPr>
            <w:r>
              <w:rPr>
                <w:rFonts w:ascii="Arial" w:hAnsi="Arial" w:cs="Arial" w:eastAsia="Arial"/>
                <w:sz w:val="16"/>
                <w:szCs w:val="16"/>
              </w:rPr>
              <w:t>Life of asset</w:t>
            </w:r>
          </w:p>
        </w:tc>
        <w:tc>
          <w:tcPr>
            <w:tcW w:type="dxa" w:w="2256"/>
          </w:tcPr>
          <w:p>
            <w:pPr>
              <w:pStyle w:val="TableContents"/>
              <w:spacing w:before="0" w:after="0" w:line="240" w:lineRule="atLeast"/>
            </w:pPr>
            <w:r>
              <w:rPr>
                <w:rFonts w:ascii="Arial" w:hAnsi="Arial" w:cs="Arial" w:eastAsia="Arial"/>
                <w:sz w:val="16"/>
                <w:szCs w:val="16"/>
              </w:rPr>
              <w:t>Date of data collection</w:t>
            </w:r>
          </w:p>
        </w:tc>
        <w:tc>
          <w:tcPr>
            <w:tcW w:type="dxa" w:w="2258"/>
          </w:tcPr>
          <w:p>
            <w:pPr>
              <w:pStyle w:val="TableContents"/>
              <w:spacing w:before="0" w:after="0" w:line="240" w:lineRule="atLeast"/>
            </w:pPr>
            <w:r>
              <w:rPr>
                <w:rFonts w:ascii="Arial" w:hAnsi="Arial" w:cs="Arial" w:eastAsia="Arial"/>
                <w:sz w:val="16"/>
                <w:szCs w:val="16"/>
              </w:rPr>
              <w:t>Includes raw data, validated datasets, analysis outputs, and associated metadata. Retention continues beyond operational closure where legacy environmental obligations exist, consistent with IFC PS1 §22.</w:t>
            </w:r>
          </w:p>
        </w:tc>
      </w:tr>
      <w:tr>
        <w:tc>
          <w:tcPr>
            <w:tcW w:type="dxa" w:w="2256"/>
          </w:tcPr>
          <w:p>
            <w:pPr>
              <w:pStyle w:val="TableContents"/>
              <w:spacing w:before="0" w:after="0" w:line="240" w:lineRule="atLeast"/>
            </w:pPr>
            <w:r>
              <w:rPr>
                <w:rFonts w:ascii="Arial" w:hAnsi="Arial" w:cs="Arial" w:eastAsia="Arial"/>
                <w:sz w:val="16"/>
                <w:szCs w:val="16"/>
              </w:rPr>
              <w:t>Training and competency records</w:t>
            </w:r>
          </w:p>
        </w:tc>
        <w:tc>
          <w:tcPr>
            <w:tcW w:type="dxa" w:w="2256"/>
          </w:tcPr>
          <w:p>
            <w:pPr>
              <w:pStyle w:val="TableContents"/>
              <w:spacing w:before="0" w:after="0" w:line="240" w:lineRule="atLeast"/>
            </w:pPr>
            <w:r>
              <w:rPr>
                <w:rFonts w:ascii="Arial" w:hAnsi="Arial" w:cs="Arial" w:eastAsia="Arial"/>
                <w:sz w:val="16"/>
                <w:szCs w:val="16"/>
              </w:rPr>
              <w:t>Employment period plus 7 years post-employment</w:t>
            </w:r>
          </w:p>
        </w:tc>
        <w:tc>
          <w:tcPr>
            <w:tcW w:type="dxa" w:w="2256"/>
          </w:tcPr>
          <w:p>
            <w:pPr>
              <w:pStyle w:val="TableContents"/>
              <w:spacing w:before="0" w:after="0" w:line="240" w:lineRule="atLeast"/>
            </w:pPr>
            <w:r>
              <w:rPr>
                <w:rFonts w:ascii="Arial" w:hAnsi="Arial" w:cs="Arial" w:eastAsia="Arial"/>
                <w:sz w:val="16"/>
                <w:szCs w:val="16"/>
              </w:rPr>
              <w:t>Date of employment end</w:t>
            </w:r>
          </w:p>
        </w:tc>
        <w:tc>
          <w:tcPr>
            <w:tcW w:type="dxa" w:w="2258"/>
          </w:tcPr>
          <w:p>
            <w:pPr>
              <w:pStyle w:val="TableContents"/>
              <w:spacing w:before="0" w:after="0" w:line="240" w:lineRule="atLeast"/>
            </w:pPr>
            <w:r>
              <w:rPr>
                <w:rFonts w:ascii="Arial" w:hAnsi="Arial" w:cs="Arial" w:eastAsia="Arial"/>
                <w:sz w:val="16"/>
                <w:szCs w:val="16"/>
              </w:rPr>
              <w:t>Includes all training completion records, competency assessments, and certification records for the individual. Retain for the duration of employment and for a defined period after employment ends.</w:t>
            </w:r>
          </w:p>
        </w:tc>
      </w:tr>
      <w:tr>
        <w:tc>
          <w:tcPr>
            <w:tcW w:type="dxa" w:w="2256"/>
          </w:tcPr>
          <w:p>
            <w:pPr>
              <w:pStyle w:val="TableContents"/>
              <w:spacing w:before="0" w:after="0" w:line="240" w:lineRule="atLeast"/>
            </w:pPr>
            <w:r>
              <w:rPr>
                <w:rFonts w:ascii="Arial" w:hAnsi="Arial" w:cs="Arial" w:eastAsia="Arial"/>
                <w:sz w:val="16"/>
                <w:szCs w:val="16"/>
              </w:rPr>
              <w:t>Community engagement records</w:t>
            </w:r>
          </w:p>
        </w:tc>
        <w:tc>
          <w:tcPr>
            <w:tcW w:type="dxa" w:w="2256"/>
          </w:tcPr>
          <w:p>
            <w:pPr>
              <w:pStyle w:val="TableContents"/>
              <w:spacing w:before="0" w:after="0" w:line="240" w:lineRule="atLeast"/>
            </w:pPr>
            <w:r>
              <w:rPr>
                <w:rFonts w:ascii="Arial" w:hAnsi="Arial" w:cs="Arial" w:eastAsia="Arial"/>
                <w:sz w:val="16"/>
                <w:szCs w:val="16"/>
              </w:rPr>
              <w:t>Life of asset plus 10 years</w:t>
            </w:r>
          </w:p>
        </w:tc>
        <w:tc>
          <w:tcPr>
            <w:tcW w:type="dxa" w:w="2256"/>
          </w:tcPr>
          <w:p>
            <w:pPr>
              <w:pStyle w:val="TableContents"/>
              <w:spacing w:before="0" w:after="0" w:line="240" w:lineRule="atLeast"/>
            </w:pPr>
            <w:r>
              <w:rPr>
                <w:rFonts w:ascii="Arial" w:hAnsi="Arial" w:cs="Arial" w:eastAsia="Arial"/>
                <w:sz w:val="16"/>
                <w:szCs w:val="16"/>
              </w:rPr>
              <w:t>Date of record creation</w:t>
            </w:r>
          </w:p>
        </w:tc>
        <w:tc>
          <w:tcPr>
            <w:tcW w:type="dxa" w:w="2258"/>
          </w:tcPr>
          <w:p>
            <w:pPr>
              <w:pStyle w:val="TableContents"/>
              <w:spacing w:before="0" w:after="0" w:line="240" w:lineRule="atLeast"/>
            </w:pPr>
            <w:r>
              <w:rPr>
                <w:rFonts w:ascii="Arial" w:hAnsi="Arial" w:cs="Arial" w:eastAsia="Arial"/>
                <w:sz w:val="16"/>
                <w:szCs w:val="16"/>
              </w:rPr>
              <w:t>Includes grievance records, consultation records, and community data. Retain beyond asset life where legacy community obligations exist.</w:t>
            </w:r>
          </w:p>
        </w:tc>
      </w:tr>
      <w:tr>
        <w:tc>
          <w:tcPr>
            <w:tcW w:type="dxa" w:w="2256"/>
          </w:tcPr>
          <w:p>
            <w:pPr>
              <w:pStyle w:val="TableContents"/>
              <w:spacing w:before="0" w:after="0" w:line="240" w:lineRule="atLeast"/>
            </w:pPr>
            <w:r>
              <w:rPr>
                <w:rFonts w:ascii="Arial" w:hAnsi="Arial" w:cs="Arial" w:eastAsia="Arial"/>
                <w:sz w:val="16"/>
                <w:szCs w:val="16"/>
              </w:rPr>
              <w:t>Geotechnical and tailings monitoring data</w:t>
            </w:r>
          </w:p>
        </w:tc>
        <w:tc>
          <w:tcPr>
            <w:tcW w:type="dxa" w:w="2256"/>
          </w:tcPr>
          <w:p>
            <w:pPr>
              <w:pStyle w:val="TableContents"/>
              <w:spacing w:before="0" w:after="0" w:line="240" w:lineRule="atLeast"/>
            </w:pPr>
            <w:r>
              <w:rPr>
                <w:rFonts w:ascii="Arial" w:hAnsi="Arial" w:cs="Arial" w:eastAsia="Arial"/>
                <w:sz w:val="16"/>
                <w:szCs w:val="16"/>
              </w:rPr>
              <w:t>Life of asset plus 30 years</w:t>
            </w:r>
          </w:p>
        </w:tc>
        <w:tc>
          <w:tcPr>
            <w:tcW w:type="dxa" w:w="2256"/>
          </w:tcPr>
          <w:p>
            <w:pPr>
              <w:pStyle w:val="TableContents"/>
              <w:spacing w:before="0" w:after="0" w:line="240" w:lineRule="atLeast"/>
            </w:pPr>
            <w:r>
              <w:rPr>
                <w:rFonts w:ascii="Arial" w:hAnsi="Arial" w:cs="Arial" w:eastAsia="Arial"/>
                <w:sz w:val="16"/>
                <w:szCs w:val="16"/>
              </w:rPr>
              <w:t>Date of data collection</w:t>
            </w:r>
          </w:p>
        </w:tc>
        <w:tc>
          <w:tcPr>
            <w:tcW w:type="dxa" w:w="2258"/>
          </w:tcPr>
          <w:p>
            <w:pPr>
              <w:pStyle w:val="TableContents"/>
              <w:spacing w:before="0" w:after="0" w:line="240" w:lineRule="atLeast"/>
            </w:pPr>
            <w:r>
              <w:rPr>
                <w:rFonts w:ascii="Arial" w:hAnsi="Arial" w:cs="Arial" w:eastAsia="Arial"/>
                <w:sz w:val="16"/>
                <w:szCs w:val="16"/>
              </w:rPr>
              <w:t>Consistent with TSM Tailings Management Protocol Indicator TM3 long-term accessibility requirement.</w:t>
            </w:r>
          </w:p>
        </w:tc>
      </w:tr>
      <w:tr>
        <w:tc>
          <w:tcPr>
            <w:tcW w:type="dxa" w:w="2256"/>
          </w:tcPr>
          <w:p>
            <w:pPr>
              <w:pStyle w:val="TableContents"/>
              <w:spacing w:before="0" w:after="0" w:line="240" w:lineRule="atLeast"/>
            </w:pPr>
            <w:r>
              <w:rPr>
                <w:rFonts w:ascii="Arial" w:hAnsi="Arial" w:cs="Arial" w:eastAsia="Arial"/>
                <w:b/>
                <w:bCs/>
                <w:color w:val="0059D1"/>
                <w:sz w:val="16"/>
                <w:szCs w:val="16"/>
              </w:rPr>
              <w:t>[INSERT: additional project record category]</w:t>
            </w:r>
          </w:p>
        </w:tc>
        <w:tc>
          <w:tcPr>
            <w:tcW w:type="dxa" w:w="2256"/>
          </w:tcPr>
          <w:p>
            <w:pPr>
              <w:pStyle w:val="TableContents"/>
              <w:spacing w:before="0" w:after="0" w:line="240" w:lineRule="atLeast"/>
            </w:pPr>
            <w:r>
              <w:rPr>
                <w:rFonts w:ascii="Arial" w:hAnsi="Arial" w:cs="Arial" w:eastAsia="Arial"/>
                <w:b/>
                <w:bCs/>
                <w:color w:val="0059D1"/>
                <w:sz w:val="16"/>
                <w:szCs w:val="16"/>
              </w:rPr>
              <w:t>[INSERT: retention period]</w:t>
            </w:r>
          </w:p>
        </w:tc>
        <w:tc>
          <w:tcPr>
            <w:tcW w:type="dxa" w:w="2256"/>
          </w:tcPr>
          <w:p>
            <w:pPr>
              <w:pStyle w:val="TableContents"/>
              <w:spacing w:before="0" w:after="0" w:line="240" w:lineRule="atLeast"/>
            </w:pPr>
            <w:r>
              <w:rPr>
                <w:rFonts w:ascii="Arial" w:hAnsi="Arial" w:cs="Arial" w:eastAsia="Arial"/>
                <w:b/>
                <w:bCs/>
                <w:color w:val="0059D1"/>
                <w:sz w:val="16"/>
                <w:szCs w:val="16"/>
              </w:rPr>
              <w:t>[INSERT: trigger]</w:t>
            </w:r>
          </w:p>
        </w:tc>
        <w:tc>
          <w:tcPr>
            <w:tcW w:type="dxa" w:w="2258"/>
          </w:tcPr>
          <w:p>
            <w:pPr>
              <w:pStyle w:val="TableContents"/>
              <w:spacing w:before="0" w:after="0" w:line="240" w:lineRule="atLeast"/>
            </w:pPr>
            <w:r>
              <w:rPr>
                <w:rFonts w:ascii="Arial" w:hAnsi="Arial" w:cs="Arial" w:eastAsia="Arial"/>
                <w:b/>
                <w:bCs/>
                <w:color w:val="0059D1"/>
                <w:sz w:val="16"/>
                <w:szCs w:val="16"/>
              </w:rPr>
              <w:t>[INSERT: notes]</w:t>
            </w:r>
          </w:p>
        </w:tc>
      </w:tr>
    </w:tbl>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 RETENTION PERIODS: Confirm any project-specific retention requirements that exceed the minimum periods in Table 3, including requirements imposed by the host jurisdiction. Insert these as additional rows in Table 3 or in Table 4 below. The authority for approving early disposal must be confirmed before this procedure is issued.</w:t>
            </w:r>
          </w:p>
        </w:tc>
      </w:tr>
    </w:tbl>
    <w:p>
      <w:pPr>
        <w:pStyle w:val="NormalNumberedtext"/>
      </w:pPr>
    </w:p>
    <w:p>
      <w:pPr>
        <w:pStyle w:val="NormalNumberedtext"/>
      </w:pPr>
      <w:r>
        <w:t>Table 4: Project-Specific Retention Requirements Exceeding Minimum Periods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Record Category</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Minimum Period (Table 3)</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Project-Specific Period</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Basis for Extended Period (legislative or regulatory reference)</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Approved By</w:t>
            </w:r>
          </w:p>
        </w:tc>
      </w:tr>
      <w:tr>
        <w:tc>
          <w:tcPr>
            <w:tcW w:type="dxa" w:w="1805"/>
          </w:tcPr>
          <w:p>
            <w:pPr>
              <w:pStyle w:val="TableContents"/>
              <w:spacing w:before="0" w:after="0" w:line="240" w:lineRule="atLeast"/>
            </w:pPr>
            <w:r>
              <w:rPr>
                <w:rFonts w:ascii="Arial" w:hAnsi="Arial" w:cs="Arial" w:eastAsia="Arial"/>
                <w:b/>
                <w:bCs/>
                <w:color w:val="0059D1"/>
                <w:sz w:val="16"/>
                <w:szCs w:val="16"/>
              </w:rPr>
              <w:t>[INSERT: record category]</w:t>
            </w:r>
          </w:p>
        </w:tc>
        <w:tc>
          <w:tcPr>
            <w:tcW w:type="dxa" w:w="1805"/>
          </w:tcPr>
          <w:p>
            <w:pPr>
              <w:pStyle w:val="TableContents"/>
              <w:spacing w:before="0" w:after="0" w:line="240" w:lineRule="atLeast"/>
            </w:pPr>
            <w:r>
              <w:rPr>
                <w:rFonts w:ascii="Arial" w:hAnsi="Arial" w:cs="Arial" w:eastAsia="Arial"/>
                <w:b/>
                <w:bCs/>
                <w:color w:val="0059D1"/>
                <w:sz w:val="16"/>
                <w:szCs w:val="16"/>
              </w:rPr>
              <w:t>[INSERT: Table 3 minimum]</w:t>
            </w:r>
          </w:p>
        </w:tc>
        <w:tc>
          <w:tcPr>
            <w:tcW w:type="dxa" w:w="1805"/>
          </w:tcPr>
          <w:p>
            <w:pPr>
              <w:pStyle w:val="TableContents"/>
              <w:spacing w:before="0" w:after="0" w:line="240" w:lineRule="atLeast"/>
            </w:pPr>
            <w:r>
              <w:rPr>
                <w:rFonts w:ascii="Arial" w:hAnsi="Arial" w:cs="Arial" w:eastAsia="Arial"/>
                <w:b/>
                <w:bCs/>
                <w:color w:val="0059D1"/>
                <w:sz w:val="16"/>
                <w:szCs w:val="16"/>
              </w:rPr>
              <w:t>[INSERT: extended period]</w:t>
            </w:r>
          </w:p>
        </w:tc>
        <w:tc>
          <w:tcPr>
            <w:tcW w:type="dxa" w:w="1805"/>
          </w:tcPr>
          <w:p>
            <w:pPr>
              <w:pStyle w:val="TableContents"/>
              <w:spacing w:before="0" w:after="0" w:line="240" w:lineRule="atLeast"/>
            </w:pPr>
            <w:r>
              <w:rPr>
                <w:rFonts w:ascii="Arial" w:hAnsi="Arial" w:cs="Arial" w:eastAsia="Arial"/>
                <w:b/>
                <w:bCs/>
                <w:color w:val="0059D1"/>
                <w:sz w:val="16"/>
                <w:szCs w:val="16"/>
              </w:rPr>
              <w:t>[INSERT: legislative or regulatory reference from RTPR-HSE-PRO-0001]</w:t>
            </w:r>
          </w:p>
        </w:tc>
        <w:tc>
          <w:tcPr>
            <w:tcW w:type="dxa" w:w="1806"/>
          </w:tcPr>
          <w:p>
            <w:pPr>
              <w:pStyle w:val="TableContents"/>
              <w:spacing w:before="0" w:after="0" w:line="240" w:lineRule="atLeast"/>
            </w:pPr>
            <w:r>
              <w:rPr>
                <w:rFonts w:ascii="Arial" w:hAnsi="Arial" w:cs="Arial" w:eastAsia="Arial"/>
                <w:b/>
                <w:bCs/>
                <w:color w:val="0059D1"/>
                <w:sz w:val="16"/>
                <w:szCs w:val="16"/>
              </w:rPr>
              <w:t>[INSERT: role]</w:t>
            </w:r>
          </w:p>
        </w:tc>
      </w:tr>
    </w:tbl>
    <w:p>
      <w:pPr>
        <w:pStyle w:val="NormalNumberedtext"/>
      </w:pPr>
    </w:p>
    <w:p>
      <w:pPr>
        <w:pStyle w:val="NormalNumberedtext"/>
      </w:pPr>
      <w:r>
        <w:t>The authority for approving early disposal of any record that has not reached its minimum retention period is the</w:t>
      </w:r>
    </w:p>
    <w:p>
      <w:pPr>
        <w:pStyle w:val="NormalNumberedtext"/>
      </w:pPr>
      <w:r>
        <w:rPr>
          <w:b/>
          <w:bCs/>
          <w:color w:val="0059D1"/>
        </w:rPr>
        <w:t>[INSERT: early_disposal_authority_role] — Insert the role title authorised to approve early disposal of records (e.g., Project HSESC Manager with written concurrence from the Project Manager).</w:t>
      </w:r>
    </w:p>
    <w:p>
      <w:pPr>
        <w:pStyle w:val="NormalNumberedtext"/>
      </w:pPr>
      <w:r>
        <w:t>Early disposal approval must be documented in writing and retained as a permanent record of the disposal decision. Early disposal is not permitted where a legal hold, regulatory investigation, or litigation is in progress.</w:t>
      </w:r>
    </w:p>
    <w:p>
      <w:pPr>
        <w:pStyle w:val="NormalNumberedtext"/>
      </w:pPr>
    </w:p>
    <w:p>
      <w:pPr>
        <w:pStyle w:val="Heading1Numbered"/>
        <w:numPr>
          <w:ilvl w:val="0"/>
          <w:numId w:val="1"/>
        </w:numPr>
      </w:pPr>
      <w:r>
        <w:rPr>
          <w:rFonts w:ascii="Arial" w:hAnsi="Arial" w:cs="Arial" w:eastAsia="Arial"/>
        </w:rPr>
        <w:t>Records Disposal Process</w:t>
      </w:r>
    </w:p>
    <w:p>
      <w:pPr>
        <w:pStyle w:val="NormalNumberedtext"/>
      </w:pPr>
      <w:r>
        <w:t>This section defines the process for disposing of records that have reached the end of their retention period, including documentation, approval, and archiving requirements.</w:t>
      </w:r>
    </w:p>
    <w:p>
      <w:pPr>
        <w:pStyle w:val="NormalNumberedtext"/>
      </w:pPr>
    </w:p>
    <w:p>
      <w:pPr>
        <w:pStyle w:val="Heading2Numbered"/>
        <w:numPr>
          <w:ilvl w:val="1"/>
          <w:numId w:val="1"/>
        </w:numPr>
      </w:pPr>
      <w:r>
        <w:rPr>
          <w:rFonts w:ascii="Arial" w:hAnsi="Arial" w:cs="Arial" w:eastAsia="Arial"/>
        </w:rPr>
        <w:t>Disposal of Records at Retention Expiry</w:t>
      </w:r>
    </w:p>
    <w:p>
      <w:pPr>
        <w:pStyle w:val="NormalNumberedtext"/>
      </w:pPr>
      <w:r>
        <w:t>This section defines the steps, documentation requirements, and authority that apply when project records reach the end of their retention period.</w:t>
      </w:r>
    </w:p>
    <w:p>
      <w:pPr>
        <w:pStyle w:val="NormalNumberedtext"/>
      </w:pPr>
      <w:r>
        <w:t>Records that have reached their minimum retention period are not automatically deleted. The disposal process defined in this section must be followed before any record is destroyed or permanently removed from the project records system. The disposal authority for this project is the</w:t>
      </w:r>
    </w:p>
    <w:p>
      <w:pPr>
        <w:pStyle w:val="NormalNumberedtext"/>
      </w:pPr>
      <w:r>
        <w:rPr>
          <w:b/>
          <w:bCs/>
          <w:color w:val="0059D1"/>
        </w:rPr>
        <w:t>[INSERT: records_disposal_authority_role] — Insert the role title authorised to approve records disposal at retention expiry (e.g., Project HSESC Manager with concurrence from the Project Manager and Records Management function).</w:t>
      </w:r>
    </w:p>
    <w:p>
      <w:pPr>
        <w:pStyle w:val="NormalNumberedtext"/>
      </w:pPr>
      <w:r>
        <w:t>The records disposal process requires the following steps to be completed and documented before any record is destroyed:</w:t>
      </w:r>
    </w:p>
    <w:p>
      <w:pPr>
        <w:pStyle w:val="NumberedBulletL1"/>
      </w:pPr>
      <w:r>
        <w:t>The records custodian identifies records that have reached or exceeded their minimum retention period using the authorised records management system.</w:t>
      </w:r>
    </w:p>
    <w:p>
      <w:pPr>
        <w:pStyle w:val="NumberedBulletL1"/>
      </w:pPr>
      <w:r>
        <w:t>The records custodian confirms no legal hold, active investigation, regulatory inquiry, or litigation applies to the records proposed for disposal.</w:t>
      </w:r>
    </w:p>
    <w:p>
      <w:pPr>
        <w:pStyle w:val="NumberedBulletL1"/>
      </w:pPr>
      <w:r>
        <w:t>The disposal authority reviews and approves the proposed disposal in writing before destruction proceeds.</w:t>
      </w:r>
    </w:p>
    <w:p>
      <w:pPr>
        <w:pStyle w:val="NumberedBulletL1"/>
      </w:pPr>
      <w:r>
        <w:t>Where records are to be transferred to a permanent archive rather than destroyed, the transfer is documented and the archive location is recorded.</w:t>
      </w:r>
    </w:p>
    <w:p>
      <w:pPr>
        <w:pStyle w:val="NumberedBulletL1"/>
      </w:pPr>
      <w:r>
        <w:rPr>
          <w:color w:val="C55A11"/>
        </w:rPr>
        <w:t>The records custodian confirms disposal is completed using a secure method appropriate to the sensitivity of the record, including secure digital deletion for electronic records and secure destruction for physical records.</w:t>
      </w:r>
    </w:p>
    <w:p>
      <w:pPr>
        <w:pStyle w:val="NormalNumberedtext"/>
      </w:pPr>
      <w:r>
        <w:t>A disposal record is created for every disposal event and is retained as a permanent record. The disposal record is maintained even after the destroyed records no longer exist.</w:t>
      </w:r>
    </w:p>
    <w:p>
      <w:pPr>
        <w:pStyle w:val="NormalNumberedtext"/>
      </w:pPr>
      <w:r>
        <w:t>Table 5: Records Disposal Documentation Requirements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Required Documentation Element</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Detail Required</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Retained By</w:t>
            </w:r>
          </w:p>
        </w:tc>
      </w:tr>
      <w:tr>
        <w:tc>
          <w:tcPr>
            <w:tcW w:type="dxa" w:w="3008"/>
          </w:tcPr>
          <w:p>
            <w:pPr>
              <w:pStyle w:val="TableContents"/>
              <w:spacing w:before="0" w:after="0" w:line="240" w:lineRule="atLeast"/>
            </w:pPr>
            <w:r>
              <w:rPr>
                <w:rFonts w:ascii="Arial" w:hAnsi="Arial" w:cs="Arial" w:eastAsia="Arial"/>
                <w:sz w:val="16"/>
                <w:szCs w:val="16"/>
              </w:rPr>
              <w:t>Records destroyed</w:t>
            </w:r>
          </w:p>
        </w:tc>
        <w:tc>
          <w:tcPr>
            <w:tcW w:type="dxa" w:w="3008"/>
          </w:tcPr>
          <w:p>
            <w:pPr>
              <w:pStyle w:val="TableContents"/>
              <w:spacing w:before="0" w:after="0" w:line="240" w:lineRule="atLeast"/>
            </w:pPr>
            <w:r>
              <w:rPr>
                <w:rFonts w:ascii="Arial" w:hAnsi="Arial" w:cs="Arial" w:eastAsia="Arial"/>
                <w:sz w:val="16"/>
                <w:szCs w:val="16"/>
              </w:rPr>
              <w:t>Title, record number or identifier, record category, date range of records, and storage location at time of disposal.</w:t>
            </w:r>
          </w:p>
        </w:tc>
        <w:tc>
          <w:tcPr>
            <w:tcW w:type="dxa" w:w="3010"/>
          </w:tcPr>
          <w:p>
            <w:pPr>
              <w:pStyle w:val="TableContents"/>
              <w:spacing w:before="0" w:after="0" w:line="240" w:lineRule="atLeast"/>
            </w:pPr>
            <w:r>
              <w:rPr>
                <w:rFonts w:ascii="Arial" w:hAnsi="Arial" w:cs="Arial" w:eastAsia="Arial"/>
                <w:b/>
                <w:bCs/>
                <w:color w:val="0059D1"/>
                <w:sz w:val="16"/>
                <w:szCs w:val="16"/>
              </w:rPr>
              <w:t>[INSERT: role or system]</w:t>
            </w:r>
          </w:p>
        </w:tc>
      </w:tr>
      <w:tr>
        <w:tc>
          <w:tcPr>
            <w:tcW w:type="dxa" w:w="3008"/>
          </w:tcPr>
          <w:p>
            <w:pPr>
              <w:pStyle w:val="TableContents"/>
              <w:spacing w:before="0" w:after="0" w:line="240" w:lineRule="atLeast"/>
            </w:pPr>
            <w:r>
              <w:rPr>
                <w:rFonts w:ascii="Arial" w:hAnsi="Arial" w:cs="Arial" w:eastAsia="Arial"/>
                <w:sz w:val="16"/>
                <w:szCs w:val="16"/>
              </w:rPr>
              <w:t>Disposal authority</w:t>
            </w:r>
          </w:p>
        </w:tc>
        <w:tc>
          <w:tcPr>
            <w:tcW w:type="dxa" w:w="3008"/>
          </w:tcPr>
          <w:p>
            <w:pPr>
              <w:pStyle w:val="TableContents"/>
              <w:spacing w:before="0" w:after="0" w:line="240" w:lineRule="atLeast"/>
            </w:pPr>
            <w:r>
              <w:rPr>
                <w:rFonts w:ascii="Arial" w:hAnsi="Arial" w:cs="Arial" w:eastAsia="Arial"/>
                <w:sz w:val="16"/>
                <w:szCs w:val="16"/>
              </w:rPr>
              <w:t>Name and role of the person who approved disposal, and the date approval was given.</w:t>
            </w:r>
          </w:p>
        </w:tc>
        <w:tc>
          <w:tcPr>
            <w:tcW w:type="dxa" w:w="3010"/>
          </w:tcPr>
          <w:p>
            <w:pPr>
              <w:pStyle w:val="TableContents"/>
              <w:spacing w:before="0" w:after="0" w:line="240" w:lineRule="atLeast"/>
            </w:pPr>
            <w:r>
              <w:rPr>
                <w:rFonts w:ascii="Arial" w:hAnsi="Arial" w:cs="Arial" w:eastAsia="Arial"/>
                <w:b/>
                <w:bCs/>
                <w:color w:val="0059D1"/>
                <w:sz w:val="16"/>
                <w:szCs w:val="16"/>
              </w:rPr>
              <w:t>[INSERT: role or system]</w:t>
            </w:r>
          </w:p>
        </w:tc>
      </w:tr>
      <w:tr>
        <w:tc>
          <w:tcPr>
            <w:tcW w:type="dxa" w:w="3008"/>
          </w:tcPr>
          <w:p>
            <w:pPr>
              <w:pStyle w:val="TableContents"/>
              <w:spacing w:before="0" w:after="0" w:line="240" w:lineRule="atLeast"/>
            </w:pPr>
            <w:r>
              <w:rPr>
                <w:rFonts w:ascii="Arial" w:hAnsi="Arial" w:cs="Arial" w:eastAsia="Arial"/>
                <w:sz w:val="16"/>
                <w:szCs w:val="16"/>
              </w:rPr>
              <w:t>Disposal date and method</w:t>
            </w:r>
          </w:p>
        </w:tc>
        <w:tc>
          <w:tcPr>
            <w:tcW w:type="dxa" w:w="3008"/>
          </w:tcPr>
          <w:p>
            <w:pPr>
              <w:pStyle w:val="TableContents"/>
              <w:spacing w:before="0" w:after="0" w:line="240" w:lineRule="atLeast"/>
            </w:pPr>
            <w:r>
              <w:rPr>
                <w:rFonts w:ascii="Arial" w:hAnsi="Arial" w:cs="Arial" w:eastAsia="Arial"/>
                <w:sz w:val="16"/>
                <w:szCs w:val="16"/>
              </w:rPr>
              <w:t>Date disposal was completed and the method used (secure digital deletion; secure physical destruction; transfer to archive).</w:t>
            </w:r>
          </w:p>
        </w:tc>
        <w:tc>
          <w:tcPr>
            <w:tcW w:type="dxa" w:w="3010"/>
          </w:tcPr>
          <w:p>
            <w:pPr>
              <w:pStyle w:val="TableContents"/>
              <w:spacing w:before="0" w:after="0" w:line="240" w:lineRule="atLeast"/>
            </w:pPr>
            <w:r>
              <w:rPr>
                <w:rFonts w:ascii="Arial" w:hAnsi="Arial" w:cs="Arial" w:eastAsia="Arial"/>
                <w:b/>
                <w:bCs/>
                <w:color w:val="0059D1"/>
                <w:sz w:val="16"/>
                <w:szCs w:val="16"/>
              </w:rPr>
              <w:t>[INSERT: role or system]</w:t>
            </w:r>
          </w:p>
        </w:tc>
      </w:tr>
      <w:tr>
        <w:tc>
          <w:tcPr>
            <w:tcW w:type="dxa" w:w="3008"/>
          </w:tcPr>
          <w:p>
            <w:pPr>
              <w:pStyle w:val="TableContents"/>
              <w:spacing w:before="0" w:after="0" w:line="240" w:lineRule="atLeast"/>
            </w:pPr>
            <w:r>
              <w:rPr>
                <w:rFonts w:ascii="Arial" w:hAnsi="Arial" w:cs="Arial" w:eastAsia="Arial"/>
                <w:sz w:val="16"/>
                <w:szCs w:val="16"/>
              </w:rPr>
              <w:t>Records transferred to permanent archive</w:t>
            </w:r>
          </w:p>
        </w:tc>
        <w:tc>
          <w:tcPr>
            <w:tcW w:type="dxa" w:w="3008"/>
          </w:tcPr>
          <w:p>
            <w:pPr>
              <w:pStyle w:val="TableContents"/>
              <w:spacing w:before="0" w:after="0" w:line="240" w:lineRule="atLeast"/>
            </w:pPr>
            <w:r>
              <w:rPr>
                <w:rFonts w:ascii="Arial" w:hAnsi="Arial" w:cs="Arial" w:eastAsia="Arial"/>
                <w:sz w:val="16"/>
                <w:szCs w:val="16"/>
              </w:rPr>
              <w:t>Title, record number or identifier, record category, and the archive location and system to which the record was transferred.</w:t>
            </w:r>
          </w:p>
        </w:tc>
        <w:tc>
          <w:tcPr>
            <w:tcW w:type="dxa" w:w="3010"/>
          </w:tcPr>
          <w:p>
            <w:pPr>
              <w:pStyle w:val="TableContents"/>
              <w:spacing w:before="0" w:after="0" w:line="240" w:lineRule="atLeast"/>
            </w:pPr>
            <w:r>
              <w:rPr>
                <w:rFonts w:ascii="Arial" w:hAnsi="Arial" w:cs="Arial" w:eastAsia="Arial"/>
                <w:b/>
                <w:bCs/>
                <w:color w:val="0059D1"/>
                <w:sz w:val="16"/>
                <w:szCs w:val="16"/>
              </w:rPr>
              <w:t>[INSERT: role or system]</w:t>
            </w:r>
          </w:p>
        </w:tc>
      </w:tr>
      <w:tr>
        <w:tc>
          <w:tcPr>
            <w:tcW w:type="dxa" w:w="3008"/>
          </w:tcPr>
          <w:p>
            <w:pPr>
              <w:pStyle w:val="TableContents"/>
              <w:spacing w:before="0" w:after="0" w:line="240" w:lineRule="atLeast"/>
            </w:pPr>
            <w:r>
              <w:rPr>
                <w:rFonts w:ascii="Arial" w:hAnsi="Arial" w:cs="Arial" w:eastAsia="Arial"/>
                <w:sz w:val="16"/>
                <w:szCs w:val="16"/>
              </w:rPr>
              <w:t>Legal hold confirmation</w:t>
            </w:r>
          </w:p>
        </w:tc>
        <w:tc>
          <w:tcPr>
            <w:tcW w:type="dxa" w:w="3008"/>
          </w:tcPr>
          <w:p>
            <w:pPr>
              <w:pStyle w:val="TableContents"/>
              <w:spacing w:before="0" w:after="0" w:line="240" w:lineRule="atLeast"/>
            </w:pPr>
            <w:r>
              <w:rPr>
                <w:rFonts w:ascii="Arial" w:hAnsi="Arial" w:cs="Arial" w:eastAsia="Arial"/>
                <w:sz w:val="16"/>
                <w:szCs w:val="16"/>
              </w:rPr>
              <w:t>Confirmation that no legal hold, investigation, or litigation applied to the records at the time of disposal.</w:t>
            </w:r>
          </w:p>
        </w:tc>
        <w:tc>
          <w:tcPr>
            <w:tcW w:type="dxa" w:w="3010"/>
          </w:tcPr>
          <w:p>
            <w:pPr>
              <w:pStyle w:val="TableContents"/>
              <w:spacing w:before="0" w:after="0" w:line="240" w:lineRule="atLeast"/>
            </w:pPr>
            <w:r>
              <w:rPr>
                <w:rFonts w:ascii="Arial" w:hAnsi="Arial" w:cs="Arial" w:eastAsia="Arial"/>
                <w:b/>
                <w:bCs/>
                <w:color w:val="0059D1"/>
                <w:sz w:val="16"/>
                <w:szCs w:val="16"/>
              </w:rPr>
              <w:t>[INSERT: role or system]</w:t>
            </w:r>
          </w:p>
        </w:tc>
      </w:tr>
    </w:tbl>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 DISPOSAL AUTHORITY AND DOCUMENTATION: Define who can approve disposal of records at the end of their retention period and what documentation of disposal is required for this project. Confirm the system or register where disposal records will be retained and insert the relevant role titles in Table 5.</w:t>
            </w:r>
          </w:p>
        </w:tc>
      </w:tr>
    </w:tbl>
    <w:p>
      <w:pPr>
        <w:pStyle w:val="NormalNumberedtext"/>
      </w:pPr>
    </w:p>
    <w:p>
      <w:pPr>
        <w:pStyle w:val="NormalNumberedtext"/>
      </w:pPr>
      <w:r>
        <w:t>The records disposal log is reviewed by the HSESC Manager</w:t>
      </w:r>
    </w:p>
    <w:p>
      <w:pPr>
        <w:pStyle w:val="NormalNumberedtext"/>
      </w:pPr>
      <w:r>
        <w:rPr>
          <w:b/>
          <w:bCs/>
          <w:color w:val="0059D1"/>
        </w:rPr>
        <w:t>[INSERT: disposal_log_review_frequency] — Insert the review frequency for the records disposal log (e.g., annually, at each project phase gate, and at project closure).</w:t>
      </w:r>
    </w:p>
    <w:p>
      <w:pPr>
        <w:pStyle w:val="NormalNumberedtext"/>
      </w:pPr>
      <w:r>
        <w:t>At project closure, all remaining records are reviewed against this retention schedule. Records that have not reached their retention expiry are transferred to the nominated post-project custodian or archive system before the project records system is decommissioned.</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data and records management responsibilities for all project roles covering data quality, storage, access control, retention, and disposal.</w:t>
      </w:r>
    </w:p>
    <w:p>
      <w:pPr>
        <w:pStyle w:val="NormalNumberedtext"/>
      </w:pPr>
      <w:r>
        <w:t>Table 6: Data and Records Management Roles and Responsibilities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Role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Responsibility</w:t>
            </w:r>
          </w:p>
        </w:tc>
      </w:tr>
      <w:tr>
        <w:tc>
          <w:tcPr>
            <w:tcW w:type="dxa" w:w="4888"/>
          </w:tcPr>
          <w:p>
            <w:pPr>
              <w:pStyle w:val="TableContents"/>
              <w:spacing w:before="0" w:after="0" w:line="240" w:lineRule="atLeast"/>
            </w:pPr>
            <w:r>
              <w:rPr>
                <w:rFonts w:ascii="Arial" w:hAnsi="Arial" w:cs="Arial" w:eastAsia="Arial"/>
                <w:sz w:val="16"/>
                <w:szCs w:val="16"/>
              </w:rPr>
              <w:t>Project Manager</w:t>
            </w:r>
          </w:p>
        </w:tc>
        <w:tc>
          <w:tcPr>
            <w:tcW w:type="dxa" w:w="4889"/>
          </w:tcPr>
          <w:p>
            <w:pPr>
              <w:pStyle w:val="TableContents"/>
              <w:spacing w:before="0" w:after="0" w:line="240" w:lineRule="atLeast"/>
            </w:pPr>
            <w:r>
              <w:rPr>
                <w:rFonts w:ascii="Arial" w:hAnsi="Arial" w:cs="Arial" w:eastAsia="Arial"/>
                <w:sz w:val="16"/>
                <w:szCs w:val="16"/>
              </w:rPr>
              <w:t>Accountable for the overall integrity of the project records management system. Approves the records disposal authority and confirms resource is available to meet retention obligations through to project closure.</w:t>
            </w:r>
          </w:p>
        </w:tc>
      </w:tr>
      <w:tr>
        <w:tc>
          <w:tcPr>
            <w:tcW w:type="dxa" w:w="4888"/>
          </w:tcPr>
          <w:p>
            <w:pPr>
              <w:pStyle w:val="TableContents"/>
              <w:spacing w:before="0" w:after="0" w:line="240" w:lineRule="atLeast"/>
            </w:pPr>
            <w:r>
              <w:rPr>
                <w:rFonts w:ascii="Arial" w:hAnsi="Arial" w:cs="Arial" w:eastAsia="Arial"/>
                <w:sz w:val="16"/>
                <w:szCs w:val="16"/>
              </w:rPr>
              <w:t>HSESC Manager</w:t>
            </w:r>
          </w:p>
        </w:tc>
        <w:tc>
          <w:tcPr>
            <w:tcW w:type="dxa" w:w="4889"/>
          </w:tcPr>
          <w:p>
            <w:pPr>
              <w:pStyle w:val="TableContents"/>
              <w:spacing w:before="0" w:after="0" w:line="240" w:lineRule="atLeast"/>
            </w:pPr>
            <w:r>
              <w:rPr>
                <w:rFonts w:ascii="Arial" w:hAnsi="Arial" w:cs="Arial" w:eastAsia="Arial"/>
                <w:sz w:val="16"/>
                <w:szCs w:val="16"/>
              </w:rPr>
              <w:t>Responsible for implementing this procedure, maintaining the retention schedule, approving records disposal events, confirming data quality assurance protocols are in place, and reporting data management non-conformances.</w:t>
            </w:r>
          </w:p>
        </w:tc>
      </w:tr>
      <w:tr>
        <w:tc>
          <w:tcPr>
            <w:tcW w:type="dxa" w:w="4888"/>
          </w:tcPr>
          <w:p>
            <w:pPr>
              <w:pStyle w:val="TableContents"/>
              <w:spacing w:before="0" w:after="0" w:line="240" w:lineRule="atLeast"/>
            </w:pPr>
            <w:r>
              <w:rPr>
                <w:rFonts w:ascii="Arial" w:hAnsi="Arial" w:cs="Arial" w:eastAsia="Arial"/>
                <w:b/>
                <w:bCs/>
                <w:color w:val="0059D1"/>
                <w:sz w:val="16"/>
                <w:szCs w:val="16"/>
              </w:rPr>
              <w:t>[INSERT: Records Management role or function]</w:t>
            </w:r>
          </w:p>
        </w:tc>
        <w:tc>
          <w:tcPr>
            <w:tcW w:type="dxa" w:w="4889"/>
          </w:tcPr>
          <w:p>
            <w:pPr>
              <w:pStyle w:val="TableContents"/>
              <w:spacing w:before="0" w:after="0" w:line="240" w:lineRule="atLeast"/>
            </w:pPr>
            <w:r>
              <w:rPr>
                <w:rFonts w:ascii="Arial" w:hAnsi="Arial" w:cs="Arial" w:eastAsia="Arial"/>
                <w:sz w:val="16"/>
                <w:szCs w:val="16"/>
              </w:rPr>
              <w:t>Responsible for administering the authorised records management system, managing access rights in accordance with Table 2, and maintaining the disposal log.</w:t>
            </w:r>
          </w:p>
        </w:tc>
      </w:tr>
      <w:tr>
        <w:tc>
          <w:tcPr>
            <w:tcW w:type="dxa" w:w="4888"/>
          </w:tcPr>
          <w:p>
            <w:pPr>
              <w:pStyle w:val="TableContents"/>
              <w:spacing w:before="0" w:after="0" w:line="240" w:lineRule="atLeast"/>
            </w:pPr>
            <w:r>
              <w:rPr>
                <w:rFonts w:ascii="Arial" w:hAnsi="Arial" w:cs="Arial" w:eastAsia="Arial"/>
                <w:sz w:val="16"/>
                <w:szCs w:val="16"/>
              </w:rPr>
              <w:t>Environmental Lead</w:t>
            </w:r>
          </w:p>
        </w:tc>
        <w:tc>
          <w:tcPr>
            <w:tcW w:type="dxa" w:w="4889"/>
          </w:tcPr>
          <w:p>
            <w:pPr>
              <w:pStyle w:val="TableContents"/>
              <w:spacing w:before="0" w:after="0" w:line="240" w:lineRule="atLeast"/>
            </w:pPr>
            <w:r>
              <w:rPr>
                <w:rFonts w:ascii="Arial" w:hAnsi="Arial" w:cs="Arial" w:eastAsia="Arial"/>
                <w:sz w:val="16"/>
                <w:szCs w:val="16"/>
              </w:rPr>
              <w:t>Responsible for the quality, validation, and storage of all environmental monitoring datasets, and for ensuring annual data analysis is completed and documented.</w:t>
            </w:r>
          </w:p>
        </w:tc>
      </w:tr>
      <w:tr>
        <w:tc>
          <w:tcPr>
            <w:tcW w:type="dxa" w:w="4888"/>
          </w:tcPr>
          <w:p>
            <w:pPr>
              <w:pStyle w:val="TableContents"/>
              <w:spacing w:before="0" w:after="0" w:line="240" w:lineRule="atLeast"/>
            </w:pPr>
            <w:r>
              <w:rPr>
                <w:rFonts w:ascii="Arial" w:hAnsi="Arial" w:cs="Arial" w:eastAsia="Arial"/>
                <w:sz w:val="16"/>
                <w:szCs w:val="16"/>
              </w:rPr>
              <w:t>Community Relations Lead</w:t>
            </w:r>
          </w:p>
        </w:tc>
        <w:tc>
          <w:tcPr>
            <w:tcW w:type="dxa" w:w="4889"/>
          </w:tcPr>
          <w:p>
            <w:pPr>
              <w:pStyle w:val="TableContents"/>
              <w:spacing w:before="0" w:after="0" w:line="240" w:lineRule="atLeast"/>
            </w:pPr>
            <w:r>
              <w:rPr>
                <w:rFonts w:ascii="Arial" w:hAnsi="Arial" w:cs="Arial" w:eastAsia="Arial"/>
                <w:sz w:val="16"/>
                <w:szCs w:val="16"/>
              </w:rPr>
              <w:t>Responsible for ensuring community, stakeholder, and personal data is managed in accordance with the RT Data Privacy Standard and stored in the authorised community engagement records system.</w:t>
            </w:r>
          </w:p>
        </w:tc>
      </w:tr>
      <w:tr>
        <w:tc>
          <w:tcPr>
            <w:tcW w:type="dxa" w:w="4888"/>
          </w:tcPr>
          <w:p>
            <w:pPr>
              <w:pStyle w:val="TableContents"/>
              <w:spacing w:before="0" w:after="0" w:line="240" w:lineRule="atLeast"/>
            </w:pPr>
            <w:r>
              <w:rPr>
                <w:rFonts w:ascii="Arial" w:hAnsi="Arial" w:cs="Arial" w:eastAsia="Arial"/>
                <w:sz w:val="16"/>
                <w:szCs w:val="16"/>
              </w:rPr>
              <w:t>All Project Personnel (Rio Tinto and Contractors)</w:t>
            </w:r>
          </w:p>
        </w:tc>
        <w:tc>
          <w:tcPr>
            <w:tcW w:type="dxa" w:w="4889"/>
          </w:tcPr>
          <w:p>
            <w:pPr>
              <w:pStyle w:val="TableContents"/>
              <w:spacing w:before="0" w:after="0" w:line="240" w:lineRule="atLeast"/>
            </w:pPr>
            <w:r>
              <w:rPr>
                <w:rFonts w:ascii="Arial" w:hAnsi="Arial" w:cs="Arial" w:eastAsia="Arial"/>
                <w:sz w:val="16"/>
                <w:szCs w:val="16"/>
              </w:rPr>
              <w:t>Responsible for storing all project records in the authorised systems defined in Table 1, not holding project data solely on personal or contractor systems, and reporting any data quality issues or unauthorised access to their supervisor.</w:t>
            </w:r>
          </w:p>
        </w:tc>
      </w:tr>
    </w:tbl>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and Security Committee - the governance body responsible for overseeing HSESC management system performance on owner-led projects.</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formal documented instruction that specifies the steps required to carry out a defined activity within the management system.</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Projects - the organisational unit responsible for delivering owner-led capital projects within the Rio Tinto portfolio.</w:t>
            </w:r>
          </w:p>
        </w:tc>
      </w:tr>
      <w:tr>
        <w:tc>
          <w:tcPr>
            <w:tcW w:type="dxa" w:w="4888"/>
          </w:tcPr>
          <w:p>
            <w:pPr>
              <w:pStyle w:val="TableContents"/>
              <w:spacing w:before="0" w:after="0" w:line="240" w:lineRule="atLeast"/>
            </w:pPr>
            <w:r>
              <w:rPr>
                <w:rFonts w:ascii="Arial" w:hAnsi="Arial" w:cs="Arial" w:eastAsia="Arial"/>
                <w:sz w:val="16"/>
                <w:szCs w:val="16"/>
              </w:rPr>
              <w:t>HSE</w:t>
            </w:r>
          </w:p>
        </w:tc>
        <w:tc>
          <w:tcPr>
            <w:tcW w:type="dxa" w:w="4889"/>
          </w:tcPr>
          <w:p>
            <w:pPr>
              <w:pStyle w:val="TableContents"/>
              <w:spacing w:before="0" w:after="0" w:line="240" w:lineRule="atLeast"/>
            </w:pPr>
            <w:r>
              <w:rPr>
                <w:rFonts w:ascii="Arial" w:hAnsi="Arial" w:cs="Arial" w:eastAsia="Arial"/>
                <w:sz w:val="16"/>
                <w:szCs w:val="16"/>
              </w:rPr>
              <w:t>Health, Safety and Environment - the discipline encompassing the identification, assessment and control of risks to people and the natural environment arising from project activities.</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parent company and controlling entity under whose standards, requirements and governance framework all owner-led project activities are conducted.</w:t>
            </w:r>
          </w:p>
        </w:tc>
      </w:tr>
      <w:tr>
        <w:tc>
          <w:tcPr>
            <w:tcW w:type="dxa" w:w="4888"/>
          </w:tcPr>
          <w:p>
            <w:pPr>
              <w:pStyle w:val="TableContents"/>
              <w:spacing w:before="0" w:after="0" w:line="240" w:lineRule="atLeast"/>
            </w:pPr>
            <w:r>
              <w:rPr>
                <w:rFonts w:ascii="Arial" w:hAnsi="Arial" w:cs="Arial" w:eastAsia="Arial"/>
                <w:sz w:val="16"/>
                <w:szCs w:val="16"/>
              </w:rPr>
              <w:t>DMS</w:t>
            </w:r>
          </w:p>
        </w:tc>
        <w:tc>
          <w:tcPr>
            <w:tcW w:type="dxa" w:w="4889"/>
          </w:tcPr>
          <w:p>
            <w:pPr>
              <w:pStyle w:val="TableContents"/>
              <w:spacing w:before="0" w:after="0" w:line="240" w:lineRule="atLeast"/>
            </w:pPr>
            <w:r>
              <w:rPr>
                <w:rFonts w:ascii="Arial" w:hAnsi="Arial" w:cs="Arial" w:eastAsia="Arial"/>
                <w:sz w:val="16"/>
                <w:szCs w:val="16"/>
              </w:rPr>
              <w:t>Document Management System - the authorised electronic platform used to store, version-control, retrieve and manage all project documents and records.</w:t>
            </w:r>
          </w:p>
        </w:tc>
      </w:tr>
      <w:tr>
        <w:tc>
          <w:tcPr>
            <w:tcW w:type="dxa" w:w="4888"/>
          </w:tcPr>
          <w:p>
            <w:pPr>
              <w:pStyle w:val="TableContents"/>
              <w:spacing w:before="0" w:after="0" w:line="240" w:lineRule="atLeast"/>
            </w:pPr>
            <w:r>
              <w:rPr>
                <w:rFonts w:ascii="Arial" w:hAnsi="Arial" w:cs="Arial" w:eastAsia="Arial"/>
                <w:sz w:val="16"/>
                <w:szCs w:val="16"/>
              </w:rPr>
              <w:t>QA</w:t>
            </w:r>
          </w:p>
        </w:tc>
        <w:tc>
          <w:tcPr>
            <w:tcW w:type="dxa" w:w="4889"/>
          </w:tcPr>
          <w:p>
            <w:pPr>
              <w:pStyle w:val="TableContents"/>
              <w:spacing w:before="0" w:after="0" w:line="240" w:lineRule="atLeast"/>
            </w:pPr>
            <w:r>
              <w:rPr>
                <w:rFonts w:ascii="Arial" w:hAnsi="Arial" w:cs="Arial" w:eastAsia="Arial"/>
                <w:sz w:val="16"/>
                <w:szCs w:val="16"/>
              </w:rPr>
              <w:t>Quality Assurance - the planned and systematic activities implemented to provide confidence that records and data meet defined quality and accuracy requirements.</w:t>
            </w:r>
          </w:p>
        </w:tc>
      </w:tr>
      <w:tr>
        <w:tc>
          <w:tcPr>
            <w:tcW w:type="dxa" w:w="4888"/>
          </w:tcPr>
          <w:p>
            <w:pPr>
              <w:pStyle w:val="TableContents"/>
              <w:spacing w:before="0" w:after="0" w:line="240" w:lineRule="atLeast"/>
            </w:pPr>
            <w:r>
              <w:rPr>
                <w:rFonts w:ascii="Arial" w:hAnsi="Arial" w:cs="Arial" w:eastAsia="Arial"/>
                <w:sz w:val="16"/>
                <w:szCs w:val="16"/>
              </w:rPr>
              <w:t>QC</w:t>
            </w:r>
          </w:p>
        </w:tc>
        <w:tc>
          <w:tcPr>
            <w:tcW w:type="dxa" w:w="4889"/>
          </w:tcPr>
          <w:p>
            <w:pPr>
              <w:pStyle w:val="TableContents"/>
              <w:spacing w:before="0" w:after="0" w:line="240" w:lineRule="atLeast"/>
            </w:pPr>
            <w:r>
              <w:rPr>
                <w:rFonts w:ascii="Arial" w:hAnsi="Arial" w:cs="Arial" w:eastAsia="Arial"/>
                <w:sz w:val="16"/>
                <w:szCs w:val="16"/>
              </w:rPr>
              <w:t>Quality Control - the operational techniques and activities used to verify that individual data entries and records satisfy specified criteria before acceptance into the authorised storage system.</w:t>
            </w:r>
          </w:p>
        </w:tc>
      </w:tr>
      <w:tr>
        <w:tc>
          <w:tcPr>
            <w:tcW w:type="dxa" w:w="4888"/>
          </w:tcPr>
          <w:p>
            <w:pPr>
              <w:pStyle w:val="TableContents"/>
              <w:spacing w:before="0" w:after="0" w:line="240" w:lineRule="atLeast"/>
            </w:pPr>
            <w:r>
              <w:rPr>
                <w:rFonts w:ascii="Arial" w:hAnsi="Arial" w:cs="Arial" w:eastAsia="Arial"/>
                <w:sz w:val="16"/>
                <w:szCs w:val="16"/>
              </w:rPr>
              <w:t>EDMS</w:t>
            </w:r>
          </w:p>
        </w:tc>
        <w:tc>
          <w:tcPr>
            <w:tcW w:type="dxa" w:w="4889"/>
          </w:tcPr>
          <w:p>
            <w:pPr>
              <w:pStyle w:val="TableContents"/>
              <w:spacing w:before="0" w:after="0" w:line="240" w:lineRule="atLeast"/>
            </w:pPr>
            <w:r>
              <w:rPr>
                <w:rFonts w:ascii="Arial" w:hAnsi="Arial" w:cs="Arial" w:eastAsia="Arial"/>
                <w:sz w:val="16"/>
                <w:szCs w:val="16"/>
              </w:rPr>
              <w:t>Electronic Document Management System - an IT-based system providing controlled storage, indexing, access management and audit-trail functionality for electronic records.</w:t>
            </w:r>
          </w:p>
        </w:tc>
      </w:tr>
      <w:tr>
        <w:tc>
          <w:tcPr>
            <w:tcW w:type="dxa" w:w="4888"/>
          </w:tcPr>
          <w:p>
            <w:pPr>
              <w:pStyle w:val="TableContents"/>
              <w:spacing w:before="0" w:after="0" w:line="240" w:lineRule="atLeast"/>
            </w:pPr>
            <w:r>
              <w:rPr>
                <w:rFonts w:ascii="Arial" w:hAnsi="Arial" w:cs="Arial" w:eastAsia="Arial"/>
                <w:sz w:val="16"/>
                <w:szCs w:val="16"/>
              </w:rPr>
              <w:t>KPI</w:t>
            </w:r>
          </w:p>
        </w:tc>
        <w:tc>
          <w:tcPr>
            <w:tcW w:type="dxa" w:w="4889"/>
          </w:tcPr>
          <w:p>
            <w:pPr>
              <w:pStyle w:val="TableContents"/>
              <w:spacing w:before="0" w:after="0" w:line="240" w:lineRule="atLeast"/>
            </w:pPr>
            <w:r>
              <w:rPr>
                <w:rFonts w:ascii="Arial" w:hAnsi="Arial" w:cs="Arial" w:eastAsia="Arial"/>
                <w:sz w:val="16"/>
                <w:szCs w:val="16"/>
              </w:rPr>
              <w:t>Key Performance Indicator - a measurable value used to evaluate the effectiveness of data quality, record completeness and management system performance against defined targets.</w:t>
            </w:r>
          </w:p>
        </w:tc>
      </w:tr>
      <w:tr>
        <w:tc>
          <w:tcPr>
            <w:tcW w:type="dxa" w:w="4888"/>
          </w:tcPr>
          <w:p>
            <w:pPr>
              <w:pStyle w:val="TableContents"/>
              <w:spacing w:before="0" w:after="0" w:line="240" w:lineRule="atLeast"/>
            </w:pPr>
            <w:r>
              <w:rPr>
                <w:rFonts w:ascii="Arial" w:hAnsi="Arial" w:cs="Arial" w:eastAsia="Arial"/>
                <w:sz w:val="16"/>
                <w:szCs w:val="16"/>
              </w:rPr>
              <w:t>SME</w:t>
            </w:r>
          </w:p>
        </w:tc>
        <w:tc>
          <w:tcPr>
            <w:tcW w:type="dxa" w:w="4889"/>
          </w:tcPr>
          <w:p>
            <w:pPr>
              <w:pStyle w:val="TableContents"/>
              <w:spacing w:before="0" w:after="0" w:line="240" w:lineRule="atLeast"/>
            </w:pPr>
            <w:r>
              <w:rPr>
                <w:rFonts w:ascii="Arial" w:hAnsi="Arial" w:cs="Arial" w:eastAsia="Arial"/>
                <w:sz w:val="16"/>
                <w:szCs w:val="16"/>
              </w:rPr>
              <w:t>Subject Matter Expert - an individual with specialist knowledge in a specific technical or regulatory domain who provides authoritative guidance on data classification, quality or retention requirements.</w:t>
            </w:r>
          </w:p>
        </w:tc>
      </w:tr>
      <w:tr>
        <w:tc>
          <w:tcPr>
            <w:tcW w:type="dxa" w:w="4888"/>
          </w:tcPr>
          <w:p>
            <w:pPr>
              <w:pStyle w:val="TableContents"/>
              <w:spacing w:before="0" w:after="0" w:line="240" w:lineRule="atLeast"/>
            </w:pPr>
            <w:r>
              <w:rPr>
                <w:rFonts w:ascii="Arial" w:hAnsi="Arial" w:cs="Arial" w:eastAsia="Arial"/>
                <w:sz w:val="16"/>
                <w:szCs w:val="16"/>
              </w:rPr>
              <w:t>IM</w:t>
            </w:r>
          </w:p>
        </w:tc>
        <w:tc>
          <w:tcPr>
            <w:tcW w:type="dxa" w:w="4889"/>
          </w:tcPr>
          <w:p>
            <w:pPr>
              <w:pStyle w:val="TableContents"/>
              <w:spacing w:before="0" w:after="0" w:line="240" w:lineRule="atLeast"/>
            </w:pPr>
            <w:r>
              <w:rPr>
                <w:rFonts w:ascii="Arial" w:hAnsi="Arial" w:cs="Arial" w:eastAsia="Arial"/>
                <w:sz w:val="16"/>
                <w:szCs w:val="16"/>
              </w:rPr>
              <w:t>Information Management - the discipline concerned with the collection, organisation, storage, maintenance, retrieval and distribution of information and records across the project lifecycle.</w:t>
            </w:r>
          </w:p>
        </w:tc>
      </w:tr>
      <w:tr>
        <w:tc>
          <w:tcPr>
            <w:tcW w:type="dxa" w:w="4888"/>
          </w:tcPr>
          <w:p>
            <w:pPr>
              <w:pStyle w:val="TableContents"/>
              <w:spacing w:before="0" w:after="0" w:line="240" w:lineRule="atLeast"/>
            </w:pPr>
            <w:r>
              <w:rPr>
                <w:rFonts w:ascii="Arial" w:hAnsi="Arial" w:cs="Arial" w:eastAsia="Arial"/>
                <w:sz w:val="16"/>
                <w:szCs w:val="16"/>
              </w:rPr>
              <w:t>RRS</w:t>
            </w:r>
          </w:p>
        </w:tc>
        <w:tc>
          <w:tcPr>
            <w:tcW w:type="dxa" w:w="4889"/>
          </w:tcPr>
          <w:p>
            <w:pPr>
              <w:pStyle w:val="TableContents"/>
              <w:spacing w:before="0" w:after="0" w:line="240" w:lineRule="atLeast"/>
            </w:pPr>
            <w:r>
              <w:rPr>
                <w:rFonts w:ascii="Arial" w:hAnsi="Arial" w:cs="Arial" w:eastAsia="Arial"/>
                <w:sz w:val="16"/>
                <w:szCs w:val="16"/>
              </w:rPr>
              <w:t>Record Retention Schedule - a formal register that specifies the minimum retention period, storage location and disposal authority for each category of project record.</w:t>
            </w:r>
          </w:p>
        </w:tc>
      </w:tr>
      <w:tr>
        <w:tc>
          <w:tcPr>
            <w:tcW w:type="dxa" w:w="4888"/>
          </w:tcPr>
          <w:p>
            <w:pPr>
              <w:pStyle w:val="TableContents"/>
              <w:spacing w:before="0" w:after="0" w:line="240" w:lineRule="atLeast"/>
            </w:pPr>
            <w:r>
              <w:rPr>
                <w:rFonts w:ascii="Arial" w:hAnsi="Arial" w:cs="Arial" w:eastAsia="Arial"/>
                <w:sz w:val="16"/>
                <w:szCs w:val="16"/>
              </w:rPr>
              <w:t>GDA</w:t>
            </w:r>
          </w:p>
        </w:tc>
        <w:tc>
          <w:tcPr>
            <w:tcW w:type="dxa" w:w="4889"/>
          </w:tcPr>
          <w:p>
            <w:pPr>
              <w:pStyle w:val="TableContents"/>
              <w:spacing w:before="0" w:after="0" w:line="240" w:lineRule="atLeast"/>
            </w:pPr>
            <w:r>
              <w:rPr>
                <w:rFonts w:ascii="Arial" w:hAnsi="Arial" w:cs="Arial" w:eastAsia="Arial"/>
                <w:sz w:val="16"/>
                <w:szCs w:val="16"/>
              </w:rPr>
              <w:t>Governance and Data Assurance - the function responsible for reviewing data integrity, verifying compliance with authorised storage requirements and reporting non-conformances to project leadership.</w:t>
            </w:r>
          </w:p>
        </w:tc>
      </w:tr>
      <w:tr>
        <w:tc>
          <w:tcPr>
            <w:tcW w:type="dxa" w:w="4888"/>
          </w:tcPr>
          <w:p>
            <w:pPr>
              <w:pStyle w:val="TableContents"/>
              <w:spacing w:before="0" w:after="0" w:line="240" w:lineRule="atLeast"/>
            </w:pPr>
            <w:r>
              <w:rPr>
                <w:rFonts w:ascii="Arial" w:hAnsi="Arial" w:cs="Arial" w:eastAsia="Arial"/>
                <w:sz w:val="16"/>
                <w:szCs w:val="16"/>
              </w:rPr>
              <w:t>PMT</w:t>
            </w:r>
          </w:p>
        </w:tc>
        <w:tc>
          <w:tcPr>
            <w:tcW w:type="dxa" w:w="4889"/>
          </w:tcPr>
          <w:p>
            <w:pPr>
              <w:pStyle w:val="TableContents"/>
              <w:spacing w:before="0" w:after="0" w:line="240" w:lineRule="atLeast"/>
            </w:pPr>
            <w:r>
              <w:rPr>
                <w:rFonts w:ascii="Arial" w:hAnsi="Arial" w:cs="Arial" w:eastAsia="Arial"/>
                <w:sz w:val="16"/>
                <w:szCs w:val="16"/>
              </w:rPr>
              <w:t>Project Management Team - the collective group of Rio Tinto owner-led project personnel accountable for project delivery, including compliance with data and records management obligations.</w:t>
            </w:r>
          </w:p>
        </w:tc>
      </w:tr>
      <w:tr>
        <w:tc>
          <w:tcPr>
            <w:tcW w:type="dxa" w:w="4888"/>
          </w:tcPr>
          <w:p>
            <w:pPr>
              <w:pStyle w:val="TableContents"/>
              <w:spacing w:before="0" w:after="0" w:line="240" w:lineRule="atLeast"/>
            </w:pPr>
            <w:r>
              <w:rPr>
                <w:rFonts w:ascii="Arial" w:hAnsi="Arial" w:cs="Arial" w:eastAsia="Arial"/>
                <w:sz w:val="16"/>
                <w:szCs w:val="16"/>
              </w:rPr>
              <w:t>WHS</w:t>
            </w:r>
          </w:p>
        </w:tc>
        <w:tc>
          <w:tcPr>
            <w:tcW w:type="dxa" w:w="4889"/>
          </w:tcPr>
          <w:p>
            <w:pPr>
              <w:pStyle w:val="TableContents"/>
              <w:spacing w:before="0" w:after="0" w:line="240" w:lineRule="atLeast"/>
            </w:pPr>
            <w:r>
              <w:rPr>
                <w:rFonts w:ascii="Arial" w:hAnsi="Arial" w:cs="Arial" w:eastAsia="Arial"/>
                <w:sz w:val="16"/>
                <w:szCs w:val="16"/>
              </w:rPr>
              <w:t>Work Health and Safety - the legislative and regulatory framework governing the health and safety of workers, the obligations of which may generate records subject to mandatory retention periods.</w:t>
            </w:r>
          </w:p>
        </w:tc>
      </w:tr>
      <w:tr>
        <w:tc>
          <w:tcPr>
            <w:tcW w:type="dxa" w:w="4888"/>
          </w:tcPr>
          <w:p>
            <w:pPr>
              <w:pStyle w:val="TableContents"/>
              <w:spacing w:before="0" w:after="0" w:line="240" w:lineRule="atLeast"/>
            </w:pPr>
            <w:r>
              <w:rPr>
                <w:rFonts w:ascii="Arial" w:hAnsi="Arial" w:cs="Arial" w:eastAsia="Arial"/>
                <w:sz w:val="16"/>
                <w:szCs w:val="16"/>
              </w:rPr>
              <w:t>ISO</w:t>
            </w:r>
          </w:p>
        </w:tc>
        <w:tc>
          <w:tcPr>
            <w:tcW w:type="dxa" w:w="4889"/>
          </w:tcPr>
          <w:p>
            <w:pPr>
              <w:pStyle w:val="TableContents"/>
              <w:spacing w:before="0" w:after="0" w:line="240" w:lineRule="atLeast"/>
            </w:pPr>
            <w:r>
              <w:rPr>
                <w:rFonts w:ascii="Arial" w:hAnsi="Arial" w:cs="Arial" w:eastAsia="Arial"/>
                <w:sz w:val="16"/>
                <w:szCs w:val="16"/>
              </w:rPr>
              <w:t>International Organisation for Standardisation - the independent international body that publishes consensus-based standards, including those applicable to information management and records management systems.</w:t>
            </w:r>
          </w:p>
        </w:tc>
      </w:tr>
      <w:tr>
        <w:tc>
          <w:tcPr>
            <w:tcW w:type="dxa" w:w="4888"/>
          </w:tcPr>
          <w:p>
            <w:pPr>
              <w:pStyle w:val="TableContents"/>
              <w:spacing w:before="0" w:after="0" w:line="240" w:lineRule="atLeast"/>
            </w:pPr>
            <w:r>
              <w:rPr>
                <w:rFonts w:ascii="Arial" w:hAnsi="Arial" w:cs="Arial" w:eastAsia="Arial"/>
                <w:sz w:val="16"/>
                <w:szCs w:val="16"/>
              </w:rPr>
              <w:t>PII</w:t>
            </w:r>
          </w:p>
        </w:tc>
        <w:tc>
          <w:tcPr>
            <w:tcW w:type="dxa" w:w="4889"/>
          </w:tcPr>
          <w:p>
            <w:pPr>
              <w:pStyle w:val="TableContents"/>
              <w:spacing w:before="0" w:after="0" w:line="240" w:lineRule="atLeast"/>
            </w:pPr>
            <w:r>
              <w:rPr>
                <w:rFonts w:ascii="Arial" w:hAnsi="Arial" w:cs="Arial" w:eastAsia="Arial"/>
                <w:sz w:val="16"/>
                <w:szCs w:val="16"/>
              </w:rPr>
              <w:t>Personally Identifiable Information - any data that can be used to identify an individual, subject to specific access, storage and disposal controls under applicable privacy legislation.</w:t>
            </w:r>
          </w:p>
        </w:tc>
      </w:tr>
      <w:tr>
        <w:tc>
          <w:tcPr>
            <w:tcW w:type="dxa" w:w="4888"/>
          </w:tcPr>
          <w:p>
            <w:pPr>
              <w:pStyle w:val="TableContents"/>
              <w:spacing w:before="0" w:after="0" w:line="240" w:lineRule="atLeast"/>
            </w:pPr>
            <w:r>
              <w:rPr>
                <w:rFonts w:ascii="Arial" w:hAnsi="Arial" w:cs="Arial" w:eastAsia="Arial"/>
                <w:sz w:val="16"/>
                <w:szCs w:val="16"/>
              </w:rPr>
              <w:t>RACI</w:t>
            </w:r>
          </w:p>
        </w:tc>
        <w:tc>
          <w:tcPr>
            <w:tcW w:type="dxa" w:w="4889"/>
          </w:tcPr>
          <w:p>
            <w:pPr>
              <w:pStyle w:val="TableContents"/>
              <w:spacing w:before="0" w:after="0" w:line="240" w:lineRule="atLeast"/>
            </w:pPr>
            <w:r>
              <w:rPr>
                <w:rFonts w:ascii="Arial" w:hAnsi="Arial" w:cs="Arial" w:eastAsia="Arial"/>
                <w:sz w:val="16"/>
                <w:szCs w:val="16"/>
              </w:rPr>
              <w:t>Responsible, Accountable, Consulted, Informed - a matrix framework used to define and communicate the roles and responsibilities of personnel in relation to data and records management activities.</w:t>
            </w:r>
          </w:p>
        </w:tc>
      </w:tr>
      <w:tr>
        <w:tc>
          <w:tcPr>
            <w:tcW w:type="dxa" w:w="4888"/>
          </w:tcPr>
          <w:p>
            <w:pPr>
              <w:pStyle w:val="TableContents"/>
              <w:spacing w:before="0" w:after="0" w:line="240" w:lineRule="atLeast"/>
            </w:pPr>
            <w:r>
              <w:rPr>
                <w:rFonts w:ascii="Arial" w:hAnsi="Arial" w:cs="Arial" w:eastAsia="Arial"/>
                <w:sz w:val="16"/>
                <w:szCs w:val="16"/>
              </w:rPr>
              <w:t>NCR</w:t>
            </w:r>
          </w:p>
        </w:tc>
        <w:tc>
          <w:tcPr>
            <w:tcW w:type="dxa" w:w="4889"/>
          </w:tcPr>
          <w:p>
            <w:pPr>
              <w:pStyle w:val="TableContents"/>
              <w:spacing w:before="0" w:after="0" w:line="240" w:lineRule="atLeast"/>
            </w:pPr>
            <w:r>
              <w:rPr>
                <w:rFonts w:ascii="Arial" w:hAnsi="Arial" w:cs="Arial" w:eastAsia="Arial"/>
                <w:sz w:val="16"/>
                <w:szCs w:val="16"/>
              </w:rPr>
              <w:t>Non-Conformance Report - a formal record documenting any deviation from specified data quality, storage or retention requirements, triggering corrective action under the management system.</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Document Control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Legal Requirements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w:t>
            </w:r>
          </w:p>
        </w:tc>
        <w:tc>
          <w:tcPr>
            <w:tcW w:type="dxa" w:w="3259"/>
          </w:tcPr>
          <w:p>
            <w:pPr>
              <w:pStyle w:val="TableContents"/>
              <w:spacing w:before="0" w:after="0" w:line="240" w:lineRule="atLeast"/>
            </w:pPr>
            <w:r>
              <w:rPr>
                <w:rFonts w:ascii="Arial" w:hAnsi="Arial" w:cs="Arial" w:eastAsia="Arial"/>
                <w:sz w:val="16"/>
                <w:szCs w:val="16"/>
              </w:rPr>
              <w:t>RT Risk Management Standard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Records Management - Concepts and Principles</w:t>
            </w:r>
          </w:p>
        </w:tc>
        <w:tc>
          <w:tcPr>
            <w:tcW w:type="dxa" w:w="3259"/>
          </w:tcPr>
          <w:p>
            <w:pPr>
              <w:pStyle w:val="TableContents"/>
              <w:spacing w:before="0" w:after="0" w:line="240" w:lineRule="atLeast"/>
            </w:pPr>
            <w:r>
              <w:rPr>
                <w:rFonts w:ascii="Arial" w:hAnsi="Arial" w:cs="Arial" w:eastAsia="Arial"/>
                <w:sz w:val="16"/>
                <w:szCs w:val="16"/>
              </w:rPr>
              <w:t>ISO 15489-1:2016</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Information and Documentation - Document Management</w:t>
            </w:r>
          </w:p>
        </w:tc>
        <w:tc>
          <w:tcPr>
            <w:tcW w:type="dxa" w:w="3259"/>
          </w:tcPr>
          <w:p>
            <w:pPr>
              <w:pStyle w:val="TableContents"/>
              <w:spacing w:before="0" w:after="0" w:line="240" w:lineRule="atLeast"/>
            </w:pPr>
            <w:r>
              <w:rPr>
                <w:rFonts w:ascii="Arial" w:hAnsi="Arial" w:cs="Arial" w:eastAsia="Arial"/>
                <w:sz w:val="16"/>
                <w:szCs w:val="16"/>
              </w:rPr>
              <w:t>ISO 30300:2011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Rio Tinto Information Management and Technology Standard</w:t>
            </w:r>
          </w:p>
        </w:tc>
        <w:tc>
          <w:tcPr>
            <w:tcW w:type="dxa" w:w="3259"/>
          </w:tcPr>
          <w:p>
            <w:pPr>
              <w:pStyle w:val="TableContents"/>
              <w:spacing w:before="0" w:after="0" w:line="240" w:lineRule="atLeast"/>
            </w:pPr>
            <w:r>
              <w:rPr>
                <w:rFonts w:ascii="Arial" w:hAnsi="Arial" w:cs="Arial" w:eastAsia="Arial"/>
                <w:sz w:val="16"/>
                <w:szCs w:val="16"/>
              </w:rPr>
              <w:t>RT IM&amp;T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Data Governance Framework</w:t>
            </w:r>
          </w:p>
        </w:tc>
        <w:tc>
          <w:tcPr>
            <w:tcW w:type="dxa" w:w="3259"/>
          </w:tcPr>
          <w:p>
            <w:pPr>
              <w:pStyle w:val="TableContents"/>
              <w:spacing w:before="0" w:after="0" w:line="240" w:lineRule="atLeast"/>
            </w:pPr>
            <w:r>
              <w:rPr>
                <w:rFonts w:ascii="Arial" w:hAnsi="Arial" w:cs="Arial" w:eastAsia="Arial"/>
                <w:sz w:val="16"/>
                <w:szCs w:val="16"/>
              </w:rPr>
              <w:t>RT Data Governance Framework</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Privacy Standard</w:t>
            </w:r>
          </w:p>
        </w:tc>
        <w:tc>
          <w:tcPr>
            <w:tcW w:type="dxa" w:w="3259"/>
          </w:tcPr>
          <w:p>
            <w:pPr>
              <w:pStyle w:val="TableContents"/>
              <w:spacing w:before="0" w:after="0" w:line="240" w:lineRule="atLeast"/>
            </w:pPr>
            <w:r>
              <w:rPr>
                <w:rFonts w:ascii="Arial" w:hAnsi="Arial" w:cs="Arial" w:eastAsia="Arial"/>
                <w:sz w:val="16"/>
                <w:szCs w:val="16"/>
              </w:rPr>
              <w:t>RT Privacy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Projects HSESC Management System Manual</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Work Health and Safety Act</w:t>
            </w:r>
          </w:p>
        </w:tc>
        <w:tc>
          <w:tcPr>
            <w:tcW w:type="dxa" w:w="3259"/>
          </w:tcPr>
          <w:p>
            <w:pPr>
              <w:pStyle w:val="TableContents"/>
              <w:spacing w:before="0" w:after="0" w:line="240" w:lineRule="atLeast"/>
            </w:pPr>
            <w:r>
              <w:rPr>
                <w:rFonts w:ascii="Arial" w:hAnsi="Arial" w:cs="Arial" w:eastAsia="Arial"/>
                <w:sz w:val="16"/>
                <w:szCs w:val="16"/>
              </w:rPr>
              <w:t>WHS Act (jurisdiction-applicable)</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Rio Tinto Group Standard - Internal Controls and Compliance</w:t>
            </w:r>
          </w:p>
        </w:tc>
        <w:tc>
          <w:tcPr>
            <w:tcW w:type="dxa" w:w="3259"/>
          </w:tcPr>
          <w:p>
            <w:pPr>
              <w:pStyle w:val="TableContents"/>
              <w:spacing w:before="0" w:after="0" w:line="240" w:lineRule="atLeast"/>
            </w:pPr>
            <w:r>
              <w:rPr>
                <w:rFonts w:ascii="Arial" w:hAnsi="Arial" w:cs="Arial" w:eastAsia="Arial"/>
                <w:sz w:val="16"/>
                <w:szCs w:val="16"/>
              </w:rPr>
              <w:t>RT Internal Controls and Compliance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Environment and Nature - General Requirements Standard</w:t>
            </w:r>
          </w:p>
        </w:tc>
        <w:tc>
          <w:tcPr>
            <w:tcW w:type="dxa" w:w="2256"/>
          </w:tcPr>
          <w:p>
            <w:pPr>
              <w:pStyle w:val="TableContents"/>
              <w:spacing w:before="0" w:after="0" w:line="240" w:lineRule="atLeast"/>
            </w:pPr>
            <w:r>
              <w:rPr>
                <w:rFonts w:ascii="Arial" w:hAnsi="Arial" w:cs="Arial" w:eastAsia="Arial"/>
                <w:sz w:val="16"/>
                <w:szCs w:val="16"/>
              </w:rPr>
              <w:t>Requires all environmental and HSESC data to be validated, owned by RT, stored on authorised systems, with annual analysis and documented assumptions.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CSP Standard - Data Privacy</w:t>
            </w:r>
          </w:p>
        </w:tc>
        <w:tc>
          <w:tcPr>
            <w:tcW w:type="dxa" w:w="2256"/>
          </w:tcPr>
          <w:p>
            <w:pPr>
              <w:pStyle w:val="TableContents"/>
              <w:spacing w:before="0" w:after="0" w:line="240" w:lineRule="atLeast"/>
            </w:pPr>
            <w:r>
              <w:rPr>
                <w:rFonts w:ascii="Arial" w:hAnsi="Arial" w:cs="Arial" w:eastAsia="Arial"/>
                <w:sz w:val="16"/>
                <w:szCs w:val="16"/>
              </w:rPr>
              <w:t>Requires community, stakeholder, and personal data to be managed in compliance with the RT Data Privacy Standard with appropriate access controls.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 Multiple Standards</w:t>
            </w:r>
          </w:p>
        </w:tc>
        <w:tc>
          <w:tcPr>
            <w:tcW w:type="dxa" w:w="2256"/>
          </w:tcPr>
          <w:p>
            <w:pPr>
              <w:pStyle w:val="TableContents"/>
              <w:spacing w:before="0" w:after="0" w:line="240" w:lineRule="atLeast"/>
            </w:pPr>
            <w:r>
              <w:rPr>
                <w:rFonts w:ascii="Arial" w:hAnsi="Arial" w:cs="Arial" w:eastAsia="Arial"/>
                <w:sz w:val="16"/>
                <w:szCs w:val="16"/>
              </w:rPr>
              <w:t>Defines minimum record retention periods by category including electrical inspection records, incident investigation records, explosives records, environmental monitoring datasets, and training records.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PS1 §22</w:t>
            </w:r>
          </w:p>
        </w:tc>
        <w:tc>
          <w:tcPr>
            <w:tcW w:type="dxa" w:w="2256"/>
          </w:tcPr>
          <w:p>
            <w:pPr>
              <w:pStyle w:val="TableContents"/>
              <w:spacing w:before="0" w:after="0" w:line="240" w:lineRule="atLeast"/>
            </w:pPr>
            <w:r>
              <w:rPr>
                <w:rFonts w:ascii="Arial" w:hAnsi="Arial" w:cs="Arial" w:eastAsia="Arial"/>
                <w:sz w:val="16"/>
                <w:szCs w:val="16"/>
              </w:rPr>
              <w:t>Requires a data quality assurance programme with QA/QC protocols, retention of monitoring data and management records for the life of the project, and proportionate validation steps.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PS1 §35</w:t>
            </w:r>
          </w:p>
        </w:tc>
        <w:tc>
          <w:tcPr>
            <w:tcW w:type="dxa" w:w="2256"/>
          </w:tcPr>
          <w:p>
            <w:pPr>
              <w:pStyle w:val="TableContents"/>
              <w:spacing w:before="0" w:after="0" w:line="240" w:lineRule="atLeast"/>
            </w:pPr>
            <w:r>
              <w:rPr>
                <w:rFonts w:ascii="Arial" w:hAnsi="Arial" w:cs="Arial" w:eastAsia="Arial"/>
                <w:sz w:val="16"/>
                <w:szCs w:val="16"/>
              </w:rPr>
              <w:t>Requires disclosure of environmental and social monitoring reports to affected communities in an accessible and understandable manner consistent with applicable performance standard obligations.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TSM Tailings Management Protocol, Indicator TM3</w:t>
            </w:r>
          </w:p>
        </w:tc>
        <w:tc>
          <w:tcPr>
            <w:tcW w:type="dxa" w:w="2256"/>
          </w:tcPr>
          <w:p>
            <w:pPr>
              <w:pStyle w:val="TableContents"/>
              <w:spacing w:before="0" w:after="0" w:line="240" w:lineRule="atLeast"/>
            </w:pPr>
            <w:r>
              <w:rPr>
                <w:rFonts w:ascii="Arial" w:hAnsi="Arial" w:cs="Arial" w:eastAsia="Arial"/>
                <w:sz w:val="16"/>
                <w:szCs w:val="16"/>
              </w:rPr>
              <w:t>Requires that data used for tailings and geotechnical monitoring is collected, validated, and stored to support independent verification and long-term accessibility.</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C-4 §96.0.3</w:t>
            </w:r>
          </w:p>
        </w:tc>
        <w:tc>
          <w:tcPr>
            <w:tcW w:type="dxa" w:w="2256"/>
          </w:tcPr>
          <w:p>
            <w:pPr>
              <w:pStyle w:val="TableContents"/>
              <w:spacing w:before="0" w:after="0" w:line="240" w:lineRule="atLeast"/>
            </w:pPr>
            <w:r>
              <w:rPr>
                <w:rFonts w:ascii="Arial" w:hAnsi="Arial" w:cs="Arial" w:eastAsia="Arial"/>
                <w:sz w:val="16"/>
                <w:szCs w:val="16"/>
              </w:rPr>
              <w:t>Requires data records to be maintained, reviewed, and interpreted to a level of rigour that defends business reputation and meets external reporting commitments.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C-4 §96.0.5</w:t>
            </w:r>
          </w:p>
        </w:tc>
        <w:tc>
          <w:tcPr>
            <w:tcW w:type="dxa" w:w="2256"/>
          </w:tcPr>
          <w:p>
            <w:pPr>
              <w:pStyle w:val="TableContents"/>
              <w:spacing w:before="0" w:after="0" w:line="240" w:lineRule="atLeast"/>
            </w:pPr>
            <w:r>
              <w:rPr>
                <w:rFonts w:ascii="Arial" w:hAnsi="Arial" w:cs="Arial" w:eastAsia="Arial"/>
                <w:sz w:val="16"/>
                <w:szCs w:val="16"/>
              </w:rPr>
              <w:t>Requires environmental information, communications, and system documents to be accessible by the project workforce in a format and location accessible to implementing personnel.</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C-4 §96.0.6</w:t>
            </w:r>
          </w:p>
        </w:tc>
        <w:tc>
          <w:tcPr>
            <w:tcW w:type="dxa" w:w="2256"/>
          </w:tcPr>
          <w:p>
            <w:pPr>
              <w:pStyle w:val="TableContents"/>
              <w:spacing w:before="0" w:after="0" w:line="240" w:lineRule="atLeast"/>
            </w:pPr>
            <w:r>
              <w:rPr>
                <w:rFonts w:ascii="Arial" w:hAnsi="Arial" w:cs="Arial" w:eastAsia="Arial"/>
                <w:sz w:val="16"/>
                <w:szCs w:val="16"/>
              </w:rPr>
              <w:t>Requires all geospatial and monitoring data to be provided in the correct local grid reference and in a format importable into Company spatial data management systems.</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