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Communities and Social Performance</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Communities and Social Performance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the owner-led project identifies, manages, monitors, and reports on social and human rights risks, impacts, and opportunities associated with the Works. The Company is singularly accountable for interfacing with external stakeholders and government authorities. Contractors operate within the boundaries and commitments established by the Company and must not engage directly with external stakeholders or make commitments to communities without prior Company approval.</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communities and social performance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CSP domains it governs, and the project lifecycle phases within scope from Execution through to Handover.</w:t>
      </w:r>
    </w:p>
    <w:p>
      <w:pPr>
        <w:pStyle w:val="Heading2Numbered"/>
      </w:pPr>
      <w:r>
        <w:t>3.1  Purpose of This Document</w:t>
      </w:r>
    </w:p>
    <w:p>
      <w:pPr>
        <w:pStyle w:val="NormalNumberedtext"/>
      </w:pPr>
      <w:r>
        <w:t>This section defines what this procedure establishes, the framework it operationalises, and the obligations it places on the project.</w:t>
      </w:r>
    </w:p>
    <w:p>
      <w:pPr>
        <w:pStyle w:val="NormalNumberedtext"/>
      </w:pPr>
      <w:r>
        <w:t>This procedure meets the following purpose requirements:</w:t>
      </w:r>
    </w:p>
    <w:p>
      <w:pPr>
        <w:pStyle w:val="NormalNumberedtext"/>
      </w:pPr>
      <w:r>
        <w:t>This procedure governs Communities and Social Performance (CSP) obligations for:</w:t>
      </w:r>
    </w:p>
    <w:p>
      <w:pPr>
        <w:pStyle w:val="NumberedBulletL1"/>
      </w:pPr>
      <w:r>
        <w:t>This procedure applies to all Works undertaken under the contract and governs CSP risk and impact management, stakeholder engagement, land access, community health and safety, cultural heritage management, human rights due diligence, and local and Indigenous participation.</w:t>
      </w:r>
    </w:p>
    <w:p>
      <w:pPr>
        <w:pStyle w:val="NumberedBulletL1"/>
      </w:pPr>
      <w:r>
        <w:t>This procedure operationalises Rio Tinto Group CSP requirements into a documented, project-specific process that applies from project Execution through to Handover.</w:t>
      </w:r>
    </w:p>
    <w:p>
      <w:pPr>
        <w:pStyle w:val="NumberedBulletL1"/>
      </w:pPr>
      <w:r>
        <w:t>This procedure defines the minimum requirements the Contractor must meet and report against to the Company at agreed intervals throughout the delivery of the Works.</w:t>
      </w:r>
    </w:p>
    <w:p>
      <w:pPr>
        <w:pStyle w:val="Heading2Numbered"/>
      </w:pPr>
      <w:r>
        <w:t>3.2  Scope of This Document</w:t>
      </w:r>
    </w:p>
    <w:p>
      <w:pPr>
        <w:pStyle w:val="NormalNumberedtext"/>
      </w:pPr>
      <w:r>
        <w:t>This section defines which CSP activities and lifecycle phases are governed by this document and how it connects to related project procedures.</w:t>
      </w:r>
    </w:p>
    <w:p>
      <w:pPr>
        <w:pStyle w:val="NormalNumberedtext"/>
      </w:pPr>
      <w:r>
        <w:t>This procedure applies the following scope requirements:</w:t>
      </w:r>
    </w:p>
    <w:p>
      <w:pPr>
        <w:pStyle w:val="NormalNumberedtext"/>
      </w:pPr>
      <w:r>
        <w:t>The scope of this procedure encompasses:</w:t>
      </w:r>
    </w:p>
    <w:p>
      <w:pPr>
        <w:pStyle w:val="NumberedBulletL1"/>
      </w:pPr>
      <w:r>
        <w:t>This procedure governs all CSP activities from the point the project enters Execution through to Handover or closure.</w:t>
      </w:r>
    </w:p>
    <w:p>
      <w:pPr>
        <w:pStyle w:val="NumberedBulletL1"/>
      </w:pPr>
      <w:r>
        <w:t>This procedure applies to the Contractor and all subcontractors engaged in the delivery of the Works.</w:t>
      </w:r>
    </w:p>
    <w:p>
      <w:pPr>
        <w:pStyle w:val="NumberedBulletL1"/>
      </w:pPr>
      <w:r>
        <w:t>Social risk assessment activities are integrated with the project risk management process — refer RTPR-HSE-PRO-0002.</w:t>
      </w:r>
    </w:p>
    <w:p>
      <w:pPr>
        <w:pStyle w:val="NumberedBulletL1"/>
      </w:pPr>
      <w:r>
        <w:t>Regulatory obligations relevant to CSP, including native title obligations, are governed by RTPR-HSE-PRO-0001.</w:t>
      </w:r>
    </w:p>
    <w:p>
      <w:pPr>
        <w:pStyle w:val="NumberedBulletL1"/>
      </w:pPr>
      <w:r>
        <w:t>Incident reporting timelines applicable to CSP incidents and grievances are governed by RTPR-HSE-PRO-0009.</w:t>
      </w:r>
    </w:p>
    <w:p>
      <w:pPr>
        <w:pStyle w:val="NumberedBulletL1"/>
      </w:pPr>
      <w:r>
        <w:t>Security management interactions with community and human rights obligations are governed by RTPR-HSE-PRO-0033.</w:t>
      </w:r>
    </w:p>
    <w:p>
      <w:pPr>
        <w:pStyle w:val="NumberedBulletL1"/>
      </w:pPr>
      <w:r>
        <w:t>Ground disturbance requirements relevant to cultural heritage site protection are governed by RTPR-HSE-PRO-0037.</w:t>
      </w:r>
    </w:p>
    <w:p>
      <w:pPr>
        <w:pStyle w:val="NumberedBulletL1"/>
      </w:pPr>
      <w:r>
        <w:t>Emergency response planning that incorporates community-impacting scenarios is governed by RTPR-HSE-PRO-0041.</w:t>
      </w:r>
    </w:p>
    <w:p>
      <w:pPr>
        <w:pStyle w:val="Heading1Numbered"/>
      </w:pPr>
      <w:r>
        <w:t>4  Roles and Responsibilities</w:t>
      </w:r>
    </w:p>
    <w:p>
      <w:pPr>
        <w:pStyle w:val="NormalNumberedtext"/>
      </w:pPr>
      <w:r>
        <w:t>This section defines CSP responsibilities for all project roles, covering the Rio Tinto project team and all Contractor organisations across every sub-element of this procedure.</w:t>
      </w:r>
    </w:p>
    <w:p>
      <w:pPr>
        <w:pStyle w:val="NormalNumberedtext"/>
      </w:pPr>
      <w:r>
        <w:t>The following table defines the minimum CSP responsibilities assigned to each project role. Role titles must reflect the project organisational chart before this document is issued.</w:t>
      </w:r>
    </w:p>
    <w:p>
      <w:pPr>
        <w:pStyle w:val="NormalNumberedtext"/>
      </w:pPr>
      <w:r>
        <w:t>Table 1: CSP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Company CSP Representative</w:t>
            </w:r>
          </w:p>
        </w:tc>
        <w:tc>
          <w:tcPr/>
          <w:p>
            <w:pPr>
              <w:pStyle w:val="TableContents"/>
            </w:pPr>
            <w:r>
              <w:t>Approves the CSP Management Plan, all stakeholder engagement, land access requests outside the authorised project area, cultural heritage authorisations, and local and Indigenous participation targets. Receives all CSP incident and grievance reports. Acts as the sole authorised point of contact for external stakeholders.</w:t>
            </w:r>
          </w:p>
        </w:tc>
      </w:tr>
      <w:tr>
        <w:tc>
          <w:tcPr/>
          <w:p>
            <w:pPr>
              <w:pStyle w:val="TableContents"/>
            </w:pPr>
            <w:r>
              <w:t>Project Manager (Contractor)</w:t>
            </w:r>
          </w:p>
        </w:tc>
        <w:tc>
          <w:tcPr/>
          <w:p>
            <w:pPr>
              <w:pStyle w:val="TableContents"/>
            </w:pPr>
            <w:r>
              <w:t>Accountable for Contractor compliance with this procedure across all sub-elements. Ensures the CSP Management Plan is submitted for Company review before project mobilisation. Ensures the CSP Lead is appointed and documented in the project organisational chart.</w:t>
            </w:r>
          </w:p>
        </w:tc>
      </w:tr>
      <w:tr>
        <w:tc>
          <w:tcPr/>
          <w:p>
            <w:pPr>
              <w:pStyle w:val="TableContents"/>
            </w:pPr>
            <w:r>
              <w:rPr>
                <w:b/>
                <w:bCs/>
                <w:color w:val="0059D1"/>
              </w:rPr>
              <w:t>[INSERT: CSP Lead title]</w:t>
            </w:r>
          </w:p>
        </w:tc>
        <w:tc>
          <w:tcPr/>
          <w:p>
            <w:pPr>
              <w:pStyle w:val="TableContents"/>
            </w:pPr>
            <w:r>
              <w:t>Manages day-to-day CSP obligations for the Works. Maintains the stakeholder approach register. Coordinates cultural heritage training delivery. Tracks and reports local and Indigenous participation performance data. Prepares and submits CSP reports to the Company at agreed intervals.</w:t>
            </w:r>
          </w:p>
        </w:tc>
      </w:tr>
      <w:tr>
        <w:tc>
          <w:tcPr/>
          <w:p>
            <w:pPr>
              <w:pStyle w:val="TableContents"/>
            </w:pPr>
            <w:r>
              <w:rPr>
                <w:b/>
                <w:bCs/>
                <w:color w:val="0059D1"/>
              </w:rPr>
              <w:t>[INSERT: Site Supervisor title]</w:t>
            </w:r>
          </w:p>
        </w:tc>
        <w:tc>
          <w:tcPr/>
          <w:p>
            <w:pPr>
              <w:pStyle w:val="TableContents"/>
            </w:pPr>
            <w:r>
              <w:t>Ensures work stops immediately upon identification of a potential chance find or cultural heritage item. Ensures all personnel under supervision have completed required CSP and cultural heritage training before commencing ground disturbance. Reports CSP incidents and grievances to the CSP Lead without delay.</w:t>
            </w:r>
          </w:p>
        </w:tc>
      </w:tr>
      <w:tr>
        <w:tc>
          <w:tcPr/>
          <w:p>
            <w:pPr>
              <w:pStyle w:val="TableContents"/>
            </w:pPr>
            <w:r>
              <w:t>All Contractor Personnel and Subcontractors</w:t>
            </w:r>
          </w:p>
        </w:tc>
        <w:tc>
          <w:tcPr/>
          <w:p>
            <w:pPr>
              <w:pStyle w:val="TableContents"/>
            </w:pPr>
            <w:r>
              <w:t>Comply with all requirements of this procedure, including the media restriction, social media protocol, and Chance Find Procedure. Complete required CSP and cultural heritage training before commencing ground disturbance activities. Report CSP incidents, potential chance finds, and stakeholder approaches to their supervisor immediately.</w:t>
            </w:r>
          </w:p>
        </w:tc>
      </w:tr>
    </w:tbl>
    <w:p>
      <w:pPr>
        <w:pStyle w:val="Default"/>
      </w:pPr>
    </w:p>
    <w:tbl>
      <w:tblPr>
        <w:tblStyle w:val="TableOption1"/>
        <w:tblW w:type="pct" w:w="5000"/>
      </w:tblPr>
      <w:tr>
        <w:tc>
          <w:tcPr>
            <w:shd w:val="clear" w:color="auto" w:fill="FFF2CC"/>
          </w:tcPr>
          <w:p>
            <w:pPr>
              <w:pStyle w:val="Instructions"/>
            </w:pPr>
            <w:r>
              <w:rPr>
                <w:b/>
                <w:bCs/>
                <w:color w:val="C55A11"/>
              </w:rPr>
              <w:t>INSERT PLACEHOLDER 2: Appoint a trained and competent professional to manage CSP issues for this project, with the right level of authority and skills relevant to the socio-economic context and scope. Document the appointment in the project organisational chart and confirm the role title in Table 1 above before this document is issued.</w:t>
            </w:r>
          </w:p>
        </w:tc>
      </w:tr>
    </w:tbl>
    <w:p>
      <w:pPr>
        <w:pStyle w:val="Default"/>
      </w:pPr>
    </w:p>
    <w:p>
      <w:pPr>
        <w:pStyle w:val="NormalNumberedtext"/>
      </w:pPr>
      <w:r>
        <w:rPr>
          <w:b/>
          <w:bCs/>
          <w:color w:val="0059D1"/>
        </w:rPr>
        <w:t>[INSERT: CSP Lead appointment reference] — Insert name, title, and organisational chart reference for the appointed CSP Lead before issue.</w:t>
      </w:r>
    </w:p>
    <w:p>
      <w:pPr>
        <w:pStyle w:val="Heading1Numbered"/>
      </w:pPr>
      <w:r>
        <w:t>5  Risk and Impact Management</w:t>
      </w:r>
    </w:p>
    <w:p>
      <w:pPr>
        <w:pStyle w:val="NormalNumberedtext"/>
      </w:pPr>
      <w:r>
        <w:t>This section defines the requirements for identifying, managing, monitoring, and reporting social and human rights risks and impacts associated with the Works.</w:t>
      </w:r>
    </w:p>
    <w:p>
      <w:pPr>
        <w:pStyle w:val="Heading2Numbered"/>
      </w:pPr>
      <w:r>
        <w:t>5.1  Host Community and Socio-Economic Context</w:t>
      </w:r>
    </w:p>
    <w:p>
      <w:pPr>
        <w:pStyle w:val="NormalNumberedtext"/>
      </w:pPr>
      <w:r>
        <w:t>This section requires development and maintenance of an understanding of the host community context to inform all CSP activities.</w:t>
      </w:r>
    </w:p>
    <w:p>
      <w:pPr>
        <w:pStyle w:val="NormalNumberedtext"/>
      </w:pPr>
      <w:r>
        <w:t>The Contractor must develop and maintain an understanding of the host community and socio-economic context in which the Works will be undertaken, consistent with [[APPC – Appendix C, C-5 §101.1.1]]. This understanding must inform the CSP Management Plan and all community-facing activities throughout the project.</w:t>
      </w:r>
    </w:p>
    <w:p>
      <w:pPr>
        <w:pStyle w:val="NormalNumberedtext"/>
      </w:pPr>
      <w:r>
        <w:t>The host community and socio-economic context assessment must address:</w:t>
      </w:r>
    </w:p>
    <w:p>
      <w:pPr>
        <w:pStyle w:val="NumberedBulletL1"/>
      </w:pPr>
      <w:r>
        <w:t>The demographics, livelihoods, and land-use patterns of communities in the project area of influence.</w:t>
      </w:r>
    </w:p>
    <w:p>
      <w:pPr>
        <w:pStyle w:val="NumberedBulletL1"/>
      </w:pPr>
      <w:r>
        <w:t>The presence and rights of Indigenous or land-connected peoples within or adjacent to the project footprint.</w:t>
      </w:r>
    </w:p>
    <w:p>
      <w:pPr>
        <w:pStyle w:val="NumberedBulletL1"/>
      </w:pPr>
      <w:r>
        <w:t>Existing community health, safety, and security conditions that may be affected by the Works.</w:t>
      </w:r>
    </w:p>
    <w:p>
      <w:pPr>
        <w:pStyle w:val="NumberedBulletL1"/>
      </w:pPr>
      <w:r>
        <w:rPr>
          <w:color w:val="C55A11"/>
        </w:rPr>
        <w:t>Existing social tensions, displacement histories, or prior project-community grievances that may affect the risk profile of the Works.</w:t>
      </w:r>
    </w:p>
    <w:tbl>
      <w:tblPr>
        <w:tblStyle w:val="TableOption1"/>
        <w:tblW w:type="pct" w:w="5000"/>
      </w:tblPr>
      <w:tr>
        <w:tc>
          <w:tcPr>
            <w:shd w:val="clear" w:color="auto" w:fill="FFF2CC"/>
          </w:tcPr>
          <w:p>
            <w:pPr>
              <w:pStyle w:val="Instructions"/>
            </w:pPr>
            <w:r>
              <w:rPr>
                <w:b/>
                <w:bCs/>
                <w:color w:val="C55A11"/>
              </w:rPr>
              <w:t>INSERT PLACEHOLDER 1: Define the CSP risk profile for this project based on the specific host community context, socio-economic environment, and presence of Indigenous or land-connected peoples. This assessment must be completed before mobilisation and incorporated into the CSP Management Plan.</w:t>
            </w:r>
          </w:p>
        </w:tc>
      </w:tr>
    </w:tbl>
    <w:p>
      <w:pPr>
        <w:pStyle w:val="Default"/>
      </w:pPr>
    </w:p>
    <w:p>
      <w:pPr>
        <w:pStyle w:val="NormalNumberedtext"/>
      </w:pPr>
      <w:r>
        <w:rPr>
          <w:b/>
          <w:bCs/>
          <w:color w:val="0059D1"/>
        </w:rPr>
        <w:t>[INSERT: Host community and socio-economic context summary] — Insert a summary of the host community context, socio-economic environment, and any identified Indigenous or land-connected peoples present within the project area of influence.</w:t>
      </w:r>
    </w:p>
    <w:p>
      <w:pPr>
        <w:pStyle w:val="Heading2Numbered"/>
      </w:pPr>
      <w:r>
        <w:t>5.2  Social and Human Rights Risk Identification and Management</w:t>
      </w:r>
    </w:p>
    <w:p>
      <w:pPr>
        <w:pStyle w:val="NormalNumberedtext"/>
      </w:pPr>
      <w:r>
        <w:t>This section defines the processes required to identify, manage, monitor, and report social and human rights risks and opportunities.</w:t>
      </w:r>
    </w:p>
    <w:p>
      <w:pPr>
        <w:pStyle w:val="NormalNumberedtext"/>
      </w:pPr>
      <w:r>
        <w:t>The Contractor must implement processes and systems to identify, manage, monitor, and report to the Company on social and human rights risks, impacts, and opportunities associated with the Works, consistent with [[APPC – Appendix C, C-5 §101.1.2]]. Social risks must be integrated into the project risk register — refer RTPR-HSE-PRO-0002.</w:t>
      </w:r>
    </w:p>
    <w:p>
      <w:pPr>
        <w:pStyle w:val="NormalNumberedtext"/>
      </w:pPr>
      <w:r>
        <w:t>The Contractor must apply appropriate mitigations to manage material social risks and impacts caused by or directly linked to the Works, consistent with [[APPC – Appendix C, C-5 §101.1.3]]. The Contractor must track and report on the implementation of these mitigations to the Company at agreed intervals.</w:t>
      </w:r>
    </w:p>
    <w:p>
      <w:pPr>
        <w:pStyle w:val="NormalNumberedtext"/>
      </w:pPr>
      <w:r>
        <w:t>The social risk identification and management process must:</w:t>
      </w:r>
    </w:p>
    <w:p>
      <w:pPr>
        <w:pStyle w:val="NumberedBulletL1"/>
      </w:pPr>
      <w:r>
        <w:t>Be conducted before mobilisation and reviewed at each project phase gate or whenever a material change to scope, design, or community context occurs.</w:t>
      </w:r>
    </w:p>
    <w:p>
      <w:pPr>
        <w:pStyle w:val="NumberedBulletL1"/>
      </w:pPr>
      <w:r>
        <w:t>Record all identified social risks, associated impacts, assigned mitigations, control owners, and review dates in the project risk register.</w:t>
      </w:r>
    </w:p>
    <w:p>
      <w:pPr>
        <w:pStyle w:val="NumberedBulletL1"/>
      </w:pPr>
      <w:r>
        <w:t>Include reporting to the Company on mitigation status at agreed intervals.</w:t>
      </w:r>
    </w:p>
    <w:p>
      <w:pPr>
        <w:pStyle w:val="NumberedBulletL1"/>
      </w:pPr>
      <w:r>
        <w:rPr>
          <w:color w:val="C55A11"/>
        </w:rPr>
        <w:t>Use a consistent risk rating methodology aligned to the project 5x5 Risk Matrix so that social risks are assessed on the same basis as safety and environmental risks.</w:t>
      </w:r>
    </w:p>
    <w:p>
      <w:pPr>
        <w:pStyle w:val="Heading2Numbered"/>
      </w:pPr>
      <w:r>
        <w:t>5.3  CSP Management Plan</w:t>
      </w:r>
    </w:p>
    <w:p>
      <w:pPr>
        <w:pStyle w:val="NormalNumberedtext"/>
      </w:pPr>
      <w:r>
        <w:t>This section defines the requirement for a CSP Management Plan that covers all sub-elements of this procedure.</w:t>
      </w:r>
    </w:p>
    <w:p>
      <w:pPr>
        <w:pStyle w:val="NormalNumberedtext"/>
      </w:pPr>
      <w:r>
        <w:t>The Contractor must develop a CSP Management Plan covering all sub-elements of this procedure. The plan must be submitted to the Company for review before project mobilisation.</w:t>
      </w:r>
    </w:p>
    <w:tbl>
      <w:tblPr>
        <w:tblStyle w:val="TableOption1"/>
        <w:tblW w:type="pct" w:w="5000"/>
      </w:tblPr>
      <w:tr>
        <w:tc>
          <w:tcPr>
            <w:shd w:val="clear" w:color="auto" w:fill="FFF2CC"/>
          </w:tcPr>
          <w:p>
            <w:pPr>
              <w:pStyle w:val="Instructions"/>
            </w:pPr>
            <w:r>
              <w:rPr>
                <w:b/>
                <w:bCs/>
                <w:color w:val="C55A11"/>
              </w:rPr>
              <w:t>INSERT PLACEHOLDER 3: Develop the CSP Management Plan for this project, covering all sub-elements of this procedure. Submit to the Company for review before project mobilisation. Insert the document reference and review status below once the plan has been submitted.</w:t>
            </w:r>
          </w:p>
        </w:tc>
      </w:tr>
    </w:tbl>
    <w:p>
      <w:pPr>
        <w:pStyle w:val="Default"/>
      </w:pPr>
    </w:p>
    <w:p>
      <w:pPr>
        <w:pStyle w:val="NormalNumberedtext"/>
      </w:pPr>
      <w:r>
        <w:rPr>
          <w:b/>
          <w:bCs/>
          <w:color w:val="0059D1"/>
        </w:rPr>
        <w:t>[INSERT: CSP Management Plan document reference] — Insert the document number, title, version, and submission date of the project CSP Management Plan.</w:t>
      </w:r>
    </w:p>
    <w:p>
      <w:pPr>
        <w:pStyle w:val="Heading1Numbered"/>
      </w:pPr>
      <w:r>
        <w:t>6  Consultation and Engagement</w:t>
      </w:r>
    </w:p>
    <w:p>
      <w:pPr>
        <w:pStyle w:val="NormalNumberedtext"/>
      </w:pPr>
      <w:r>
        <w:t>This section defines the engagement restrictions, approval requirements, and communication protocols that apply to all Contractor personnel and subcontractors throughout the Works.</w:t>
      </w:r>
    </w:p>
    <w:p>
      <w:pPr>
        <w:pStyle w:val="Heading2Numbered"/>
      </w:pPr>
      <w:r>
        <w:t>6.1  Media and External Stakeholder Restrictions</w:t>
      </w:r>
    </w:p>
    <w:p>
      <w:pPr>
        <w:pStyle w:val="NormalNumberedtext"/>
      </w:pPr>
      <w:r>
        <w:t>This section prohibits independent Contractor engagement with the media and external stakeholders and defines the referral process.</w:t>
      </w:r>
    </w:p>
    <w:p>
      <w:pPr>
        <w:pStyle w:val="NormalNumberedtext"/>
      </w:pPr>
      <w:r>
        <w:t>The Contractor must not engage with the media under any circumstances, consistent with [[APPC – Appendix C, C-5 §101.2.1]]. All media requests received by any Contractor personnel or subcontractor must be forwarded directly to the Company without response.</w:t>
      </w:r>
    </w:p>
    <w:p>
      <w:pPr>
        <w:pStyle w:val="NormalNumberedtext"/>
      </w:pPr>
      <w:r>
        <w:t>No project-related information may be disclosed to third parties and no direct engagement may occur with external stakeholders without prior approval from the Company, consistent with [[APPC – Appendix C, C-5 §101.2.2]]. This restriction applies to all Contractor personnel and subcontractors at all times during the Works.</w:t>
      </w:r>
    </w:p>
    <w:p>
      <w:pPr>
        <w:pStyle w:val="NormalNumberedtext"/>
      </w:pPr>
      <w:r>
        <w:rPr>
          <w:b/>
          <w:bCs/>
          <w:color w:val="0059D1"/>
        </w:rPr>
        <w:t>[INSERT: Company CSP contact details for media and stakeholder referrals] — Insert the name, title, and contact details of the Company representative to whom all media enquiries and external stakeholder approaches must be referred.</w:t>
      </w:r>
    </w:p>
    <w:p>
      <w:pPr>
        <w:pStyle w:val="Heading2Numbered"/>
      </w:pPr>
      <w:r>
        <w:t>6.2  Stakeholder Approach Register</w:t>
      </w:r>
    </w:p>
    <w:p>
      <w:pPr>
        <w:pStyle w:val="NormalNumberedtext"/>
      </w:pPr>
      <w:r>
        <w:t>This section requires capture of all external stakeholder approaches and communication of the register to the Company.</w:t>
      </w:r>
    </w:p>
    <w:p>
      <w:pPr>
        <w:pStyle w:val="NormalNumberedtext"/>
      </w:pPr>
      <w:r>
        <w:t>The Contractor must capture all approaches by external stakeholders in a register and communicate the register to the Company, consistent with [[APPC – Appendix C, C-5 §101.2.3]]. The register must record the date, nature of approach, organisation or individual making contact, and the referral action taken.</w:t>
      </w:r>
    </w:p>
    <w:p>
      <w:pPr>
        <w:pStyle w:val="NormalNumberedtext"/>
      </w:pPr>
      <w:r>
        <w:t>Table 2: Stakeholder Approach Register — Minimum Required Fields</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Description</w:t>
            </w:r>
          </w:p>
        </w:tc>
      </w:tr>
      <w:tr>
        <w:tc>
          <w:tcPr/>
          <w:p>
            <w:pPr>
              <w:pStyle w:val="TableContents"/>
            </w:pPr>
            <w:r>
              <w:t>Date of approach</w:t>
            </w:r>
          </w:p>
        </w:tc>
        <w:tc>
          <w:tcPr/>
          <w:p>
            <w:pPr>
              <w:pStyle w:val="TableContents"/>
            </w:pPr>
            <w:r>
              <w:t>Date the approach was received by Contractor personnel.</w:t>
            </w:r>
          </w:p>
        </w:tc>
      </w:tr>
      <w:tr>
        <w:tc>
          <w:tcPr/>
          <w:p>
            <w:pPr>
              <w:pStyle w:val="TableContents"/>
            </w:pPr>
            <w:r>
              <w:t>Nature of approach</w:t>
            </w:r>
          </w:p>
        </w:tc>
        <w:tc>
          <w:tcPr/>
          <w:p>
            <w:pPr>
              <w:pStyle w:val="TableContents"/>
            </w:pPr>
            <w:r>
              <w:t>Summary of the subject matter or request raised by the external party.</w:t>
            </w:r>
          </w:p>
        </w:tc>
      </w:tr>
      <w:tr>
        <w:tc>
          <w:tcPr/>
          <w:p>
            <w:pPr>
              <w:pStyle w:val="TableContents"/>
            </w:pPr>
            <w:r>
              <w:t>Organisation or individual</w:t>
            </w:r>
          </w:p>
        </w:tc>
        <w:tc>
          <w:tcPr/>
          <w:p>
            <w:pPr>
              <w:pStyle w:val="TableContents"/>
            </w:pPr>
            <w:r>
              <w:t>Name and organisation of the party making contact, where identifiable.</w:t>
            </w:r>
          </w:p>
        </w:tc>
      </w:tr>
      <w:tr>
        <w:tc>
          <w:tcPr/>
          <w:p>
            <w:pPr>
              <w:pStyle w:val="TableContents"/>
            </w:pPr>
            <w:r>
              <w:t>Referral action taken</w:t>
            </w:r>
          </w:p>
        </w:tc>
        <w:tc>
          <w:tcPr/>
          <w:p>
            <w:pPr>
              <w:pStyle w:val="TableContents"/>
            </w:pPr>
            <w:r>
              <w:t>Action taken by the Contractor, including the date and method of referral to the Company.</w:t>
            </w:r>
          </w:p>
        </w:tc>
      </w:tr>
      <w:tr>
        <w:tc>
          <w:tcPr/>
          <w:p>
            <w:pPr>
              <w:pStyle w:val="TableContents"/>
            </w:pPr>
            <w:r>
              <w:t>Company acknowledgement</w:t>
            </w:r>
          </w:p>
        </w:tc>
        <w:tc>
          <w:tcPr/>
          <w:p>
            <w:pPr>
              <w:pStyle w:val="TableContents"/>
            </w:pPr>
            <w:r>
              <w:t>Confirmation received from the Company that the referral has been received.</w:t>
            </w:r>
          </w:p>
        </w:tc>
      </w:tr>
      <w:tr>
        <w:tc>
          <w:tcPr/>
          <w:p>
            <w:pPr>
              <w:pStyle w:val="TableContents"/>
            </w:pPr>
            <w:r>
              <w:rPr>
                <w:b/>
                <w:bCs/>
                <w:color w:val="0059D1"/>
              </w:rPr>
              <w:t>[INSERT: additional fields]</w:t>
            </w:r>
          </w:p>
        </w:tc>
        <w:tc>
          <w:tcPr/>
          <w:p>
            <w:pPr>
              <w:pStyle w:val="TableContents"/>
            </w:pPr>
            <w:r>
              <w:rPr>
                <w:b/>
                <w:bCs/>
                <w:color w:val="0059D1"/>
              </w:rPr>
              <w:t>[INSERT: any project-specific fields required by the Company]</w:t>
            </w:r>
          </w:p>
        </w:tc>
      </w:tr>
    </w:tbl>
    <w:p>
      <w:pPr>
        <w:pStyle w:val="Default"/>
      </w:pPr>
    </w:p>
    <w:p>
      <w:pPr>
        <w:pStyle w:val="NormalNumberedtext"/>
      </w:pPr>
      <w:r>
        <w:rPr>
          <w:b/>
          <w:bCs/>
          <w:color w:val="0059D1"/>
        </w:rPr>
        <w:t>[INSERT: Stakeholder Approach Register location] — Insert the document management system location or template reference for the Stakeholder Approach Register.</w:t>
      </w:r>
    </w:p>
    <w:p>
      <w:pPr>
        <w:pStyle w:val="Heading2Numbered"/>
      </w:pPr>
      <w:r>
        <w:t>6.3  Commitments Restriction</w:t>
      </w:r>
    </w:p>
    <w:p>
      <w:pPr>
        <w:pStyle w:val="NormalNumberedtext"/>
      </w:pPr>
      <w:r>
        <w:t>This section prohibits verbal, written, or implied commitments to communities or authorities without prior Company approval.</w:t>
      </w:r>
    </w:p>
    <w:p>
      <w:pPr>
        <w:pStyle w:val="NormalNumberedtext"/>
      </w:pPr>
      <w:r>
        <w:t>No verbal or written commitments, or implied commitments, may be made to local communities or authorities without prior consultation with and approval from the Company, consistent with [[APPC – Appendix C, C-5 §101.2.4]]. This restriction applies to all Contractor personnel and subcontractors in all interactions with community members and local authorities.</w:t>
      </w:r>
    </w:p>
    <w:p>
      <w:pPr>
        <w:pStyle w:val="NormalNumberedtext"/>
      </w:pPr>
      <w:r>
        <w:t>Examples of commitments that require prior Company approval include:</w:t>
      </w:r>
    </w:p>
    <w:p>
      <w:pPr>
        <w:pStyle w:val="NumberedBulletL1"/>
      </w:pPr>
      <w:r>
        <w:t>Any statement about project timelines, access routes, or operational changes that may affect community land use or movement.</w:t>
      </w:r>
    </w:p>
    <w:p>
      <w:pPr>
        <w:pStyle w:val="NumberedBulletL1"/>
      </w:pPr>
      <w:r>
        <w:t>Any offer of employment, training, procurement, or social investment to a community member or local business.</w:t>
      </w:r>
    </w:p>
    <w:p>
      <w:pPr>
        <w:pStyle w:val="NumberedBulletL1"/>
      </w:pPr>
      <w:r>
        <w:t>Any representation about compensation, access restoration, or community benefit.</w:t>
      </w:r>
    </w:p>
    <w:p>
      <w:pPr>
        <w:pStyle w:val="NumberedBulletL1"/>
      </w:pPr>
      <w:r>
        <w:rPr>
          <w:color w:val="C55A11"/>
        </w:rPr>
        <w:t>Any undertaking given at a community meeting, whether formal or informal, regarding project activities or outcomes.</w:t>
      </w:r>
    </w:p>
    <w:p>
      <w:pPr>
        <w:pStyle w:val="Heading2Numbered"/>
      </w:pPr>
      <w:r>
        <w:t>6.4  Social Media Protocol</w:t>
      </w:r>
    </w:p>
    <w:p>
      <w:pPr>
        <w:pStyle w:val="NormalNumberedtext"/>
      </w:pPr>
      <w:r>
        <w:t>This section establishes the social media protocol applicable to all Contractor personnel and subcontractors.</w:t>
      </w:r>
    </w:p>
    <w:p>
      <w:pPr>
        <w:pStyle w:val="NormalNumberedtext"/>
      </w:pPr>
      <w:r>
        <w:t>The Contractor must maintain a clear protocol on the use of social media that expressly forbids disclosure of sensitive or confidential project information by all Contractor personnel and subcontractors, consistent with [[APPC – Appendix C, C-5 §101.2.6]]. The protocol must be communicated to all personnel before mobilisation and at induction.</w:t>
      </w:r>
    </w:p>
    <w:p>
      <w:pPr>
        <w:pStyle w:val="NormalNumberedtext"/>
      </w:pPr>
      <w:r>
        <w:t>The social media protocol must expressly prohibit:</w:t>
      </w:r>
    </w:p>
    <w:p>
      <w:pPr>
        <w:pStyle w:val="NumberedBulletL1"/>
      </w:pPr>
      <w:r>
        <w:t>Posting photographs, video, or commentary that identifies the project location, site activities, or community interactions.</w:t>
      </w:r>
    </w:p>
    <w:p>
      <w:pPr>
        <w:pStyle w:val="NumberedBulletL1"/>
      </w:pPr>
      <w:r>
        <w:t>Sharing project documents, reports, maps, or design information through personal or professional social media accounts.</w:t>
      </w:r>
    </w:p>
    <w:p>
      <w:pPr>
        <w:pStyle w:val="NumberedBulletL1"/>
      </w:pPr>
      <w:r>
        <w:t>Publishing any statement that could be interpreted as a commitment, position, or representation on behalf of the Contractor or Rio Tinto.</w:t>
      </w:r>
    </w:p>
    <w:p>
      <w:pPr>
        <w:pStyle w:val="NumberedBulletL1"/>
      </w:pPr>
      <w:r>
        <w:rPr>
          <w:color w:val="C55A11"/>
        </w:rPr>
        <w:t>Tagging project locations, naming community members, or disclosing the identity of Indigenous groups associated with the project area.</w:t>
      </w:r>
    </w:p>
    <w:p>
      <w:pPr>
        <w:pStyle w:val="NormalNumberedtext"/>
      </w:pPr>
      <w:r>
        <w:rPr>
          <w:b/>
          <w:bCs/>
          <w:color w:val="0059D1"/>
        </w:rPr>
        <w:t>[INSERT: Social media protocol document reference] — Insert the document number or title of the project social media protocol, or confirm it is embedded in the site induction materials.</w:t>
      </w:r>
    </w:p>
    <w:p>
      <w:pPr>
        <w:pStyle w:val="Heading1Numbered"/>
      </w:pPr>
      <w:r>
        <w:t>7  Land Access</w:t>
      </w:r>
    </w:p>
    <w:p>
      <w:pPr>
        <w:pStyle w:val="NormalNumberedtext"/>
      </w:pPr>
      <w:r>
        <w:t>This section defines the controls that apply to all land access activities associated with the Works, including restrictions on work outside authorised areas and acquisition prohibitions.</w:t>
      </w:r>
    </w:p>
    <w:p>
      <w:pPr>
        <w:pStyle w:val="Heading2Numbered"/>
      </w:pPr>
      <w:r>
        <w:t>7.1  Authorised Project Area</w:t>
      </w:r>
    </w:p>
    <w:p>
      <w:pPr>
        <w:pStyle w:val="NormalNumberedtext"/>
      </w:pPr>
      <w:r>
        <w:t>This section restricts all Works to the written authorised project area and prohibits work outside that boundary.</w:t>
      </w:r>
    </w:p>
    <w:p>
      <w:pPr>
        <w:pStyle w:val="NormalNumberedtext"/>
      </w:pPr>
      <w:r>
        <w:t>All Works must be limited to the project area that the Company has, in writing, authorised for Contractor use, consistent with [[APPC – Appendix C, C-5 §101.3.1]]. Work outside the authorised area is prohibited.</w:t>
      </w:r>
    </w:p>
    <w:p>
      <w:pPr>
        <w:pStyle w:val="NormalNumberedtext"/>
      </w:pPr>
      <w:r>
        <w:rPr>
          <w:b/>
          <w:bCs/>
          <w:color w:val="0059D1"/>
        </w:rPr>
        <w:t>[INSERT: Authorised project area description or reference] — Insert the description, boundary reference, or document reference that defines the written authorised project area for this project.</w:t>
      </w:r>
    </w:p>
    <w:p>
      <w:pPr>
        <w:pStyle w:val="Heading2Numbered"/>
      </w:pPr>
      <w:r>
        <w:t>7.2  Access Outside the Authorised Project Area</w:t>
      </w:r>
    </w:p>
    <w:p>
      <w:pPr>
        <w:pStyle w:val="NormalNumberedtext"/>
      </w:pPr>
      <w:r>
        <w:t>This section defines the formal request process required before any work outside the authorised project area may commence.</w:t>
      </w:r>
    </w:p>
    <w:p>
      <w:pPr>
        <w:pStyle w:val="NormalNumberedtext"/>
      </w:pPr>
      <w:r>
        <w:t>Where access to land outside the project area becomes necessary, the Contractor must submit a formal written request to the Company before commencing any work in that area, consistent with [[APPC – Appendix C, C-5 §101.3.3]]. Work outside the project area may not commence without written Company approval.</w:t>
      </w:r>
    </w:p>
    <w:p>
      <w:pPr>
        <w:pStyle w:val="NormalNumberedtext"/>
      </w:pPr>
      <w:r>
        <w:t>The formal written request must include:</w:t>
      </w:r>
    </w:p>
    <w:p>
      <w:pPr>
        <w:pStyle w:val="NumberedBulletL1"/>
      </w:pPr>
      <w:r>
        <w:t>A clear rationale for the requirement to access land outside the authorised project area.</w:t>
      </w:r>
    </w:p>
    <w:p>
      <w:pPr>
        <w:pStyle w:val="NumberedBulletL1"/>
      </w:pPr>
      <w:r>
        <w:t>Confirmation of alternatives considered and the reasons they were not practicable.</w:t>
      </w:r>
    </w:p>
    <w:p>
      <w:pPr>
        <w:pStyle w:val="NumberedBulletL1"/>
      </w:pPr>
      <w:r>
        <w:t>Identification of social, cultural heritage, and environmental risks and impacts associated with the proposed access.</w:t>
      </w:r>
    </w:p>
    <w:p>
      <w:pPr>
        <w:pStyle w:val="NumberedBulletL1"/>
      </w:pPr>
      <w:r>
        <w:rPr>
          <w:color w:val="C55A11"/>
        </w:rPr>
        <w:t>A proposed access duration, geographic extent, and reinstatement commitment for the additional area.</w:t>
      </w:r>
    </w:p>
    <w:p>
      <w:pPr>
        <w:pStyle w:val="Heading2Numbered"/>
      </w:pPr>
      <w:r>
        <w:t>7.3  Land Acquisition and Resettlement Prohibition</w:t>
      </w:r>
    </w:p>
    <w:p>
      <w:pPr>
        <w:pStyle w:val="NormalNumberedtext"/>
      </w:pPr>
      <w:r>
        <w:t>This section prohibits any independent land acquisition, compensation, or resettlement without written Company consent.</w:t>
      </w:r>
    </w:p>
    <w:p>
      <w:pPr>
        <w:pStyle w:val="NormalNumberedtext"/>
      </w:pPr>
      <w:r>
        <w:t>No independent voluntary or compulsory land acquisition, compensation, or resettlement may be undertaken by the Contractor without the written consent of the Company, consistent with [[APPC – Appendix C, C-5 §101.3.5]]. This prohibition applies regardless of whether the acquisition or resettlement is initiated by the Contractor or proposed by a third party.</w:t>
      </w:r>
    </w:p>
    <w:p>
      <w:pPr>
        <w:pStyle w:val="Heading2Numbered"/>
      </w:pPr>
      <w:r>
        <w:t>7.4  Community Access to Lands and Assets</w:t>
      </w:r>
    </w:p>
    <w:p>
      <w:pPr>
        <w:pStyle w:val="NormalNumberedtext"/>
      </w:pPr>
      <w:r>
        <w:t>This section requires that communities retain safe access to their lands and assets during the Works.</w:t>
      </w:r>
    </w:p>
    <w:p>
      <w:pPr>
        <w:pStyle w:val="NormalNumberedtext"/>
      </w:pPr>
      <w:r>
        <w:t>Communities must retain safe access to their lands and assets during the Works, consistent with [[APPC – Appendix C, C-5 §101.3.7]]. Any proposed loss of or change to community access must be approved by the Company and communicated to affected communities in advance of any change taking effect.</w:t>
      </w:r>
    </w:p>
    <w:p>
      <w:pPr>
        <w:pStyle w:val="NormalNumberedtext"/>
      </w:pPr>
      <w:r>
        <w:t>Where a temporary or permanent change to community access is proposed, the Contractor must:</w:t>
      </w:r>
    </w:p>
    <w:p>
      <w:pPr>
        <w:pStyle w:val="NumberedBulletL1"/>
      </w:pPr>
      <w:r>
        <w:t>Identify the affected communities and document the nature and duration of the access change.</w:t>
      </w:r>
    </w:p>
    <w:p>
      <w:pPr>
        <w:pStyle w:val="NumberedBulletL1"/>
      </w:pPr>
      <w:r>
        <w:t>Submit the access change proposal to the Company for approval before any change takes effect.</w:t>
      </w:r>
    </w:p>
    <w:p>
      <w:pPr>
        <w:pStyle w:val="NumberedBulletL1"/>
      </w:pPr>
      <w:r>
        <w:t>Confirm that affected communities have been informed of the change and any alternative access arrangements before the change takes effect.</w:t>
      </w:r>
    </w:p>
    <w:p>
      <w:pPr>
        <w:pStyle w:val="NumberedBulletL1"/>
      </w:pPr>
      <w:r>
        <w:rPr>
          <w:color w:val="C55A11"/>
        </w:rPr>
        <w:t>Restore community access to at least its pre-Works condition upon completion of the relevant Works activity.</w:t>
      </w:r>
    </w:p>
    <w:p>
      <w:pPr>
        <w:pStyle w:val="Heading1Numbered"/>
      </w:pPr>
      <w:r>
        <w:t>8  Community Health, Safety, and Security</w:t>
      </w:r>
    </w:p>
    <w:p>
      <w:pPr>
        <w:pStyle w:val="NormalNumberedtext"/>
      </w:pPr>
      <w:r>
        <w:t>This section defines the requirements for assessing and managing community health, safety, and security risks arising from the Works, including emergency scenario planning.</w:t>
      </w:r>
    </w:p>
    <w:p>
      <w:pPr>
        <w:pStyle w:val="Heading2Numbered"/>
      </w:pPr>
      <w:r>
        <w:t>8.1  Community Health, Safety, and Security Risk Assessment</w:t>
      </w:r>
    </w:p>
    <w:p>
      <w:pPr>
        <w:pStyle w:val="NormalNumberedtext"/>
      </w:pPr>
      <w:r>
        <w:t>This section requires formal assessment of community health, safety, and security risks before Works commence.</w:t>
      </w:r>
    </w:p>
    <w:p>
      <w:pPr>
        <w:pStyle w:val="NormalNumberedtext"/>
      </w:pPr>
      <w:r>
        <w:t>The Contractor must conduct an assessment of potential community health, safety, and security risks arising from the Works before commencement, consistent with [[APPC – Appendix C, C-5 §101.4.2]]. The assessment must be reviewed whenever the scope of Works changes materially.</w:t>
      </w:r>
    </w:p>
    <w:p>
      <w:pPr>
        <w:pStyle w:val="NormalNumberedtext"/>
      </w:pPr>
      <w:r>
        <w:t>The community health, safety, and security risk assessment must consider, at minimum:</w:t>
      </w:r>
    </w:p>
    <w:p>
      <w:pPr>
        <w:pStyle w:val="NumberedBulletL1"/>
      </w:pPr>
      <w:r>
        <w:t>Increased traffic or vehicle exposure in community areas resulting from project transport movements.</w:t>
      </w:r>
    </w:p>
    <w:p>
      <w:pPr>
        <w:pStyle w:val="NumberedBulletL1"/>
      </w:pPr>
      <w:r>
        <w:t>Dust, noise, vibration, and light impacts on communities adjacent to or downwind of the Works.</w:t>
      </w:r>
    </w:p>
    <w:p>
      <w:pPr>
        <w:pStyle w:val="NumberedBulletL1"/>
      </w:pPr>
      <w:r>
        <w:t>Access restrictions that affect community movements, including to water sources, health facilities, schools, and cultural sites.</w:t>
      </w:r>
    </w:p>
    <w:p>
      <w:pPr>
        <w:pStyle w:val="NumberedBulletL1"/>
      </w:pPr>
      <w:r>
        <w:t>Activities that could create physical hazards for community members, including open excavations, stored materials, and project infrastructure.</w:t>
      </w:r>
    </w:p>
    <w:p>
      <w:pPr>
        <w:pStyle w:val="NumberedBulletL1"/>
      </w:pPr>
      <w:r>
        <w:rPr>
          <w:color w:val="C55A11"/>
        </w:rPr>
        <w:t>Vector-borne disease risks associated with water accumulation, vegetation clearing, or workforce movement into communities.</w:t>
      </w:r>
    </w:p>
    <w:p>
      <w:pPr>
        <w:pStyle w:val="NormalNumberedtext"/>
      </w:pPr>
      <w:r>
        <w:t>Security management interactions with communities are governed by RTPR-HSE-PRO-0033 and must be considered alongside this assessment.</w:t>
      </w:r>
    </w:p>
    <w:p>
      <w:pPr>
        <w:pStyle w:val="Heading2Numbered"/>
      </w:pPr>
      <w:r>
        <w:t>8.2  Emergency Planning for Community-Impacting Scenarios</w:t>
      </w:r>
    </w:p>
    <w:p>
      <w:pPr>
        <w:pStyle w:val="NormalNumberedtext"/>
      </w:pPr>
      <w:r>
        <w:t>This section requires identification of community-impacting emergency scenarios and coordination with local disaster response entities.</w:t>
      </w:r>
    </w:p>
    <w:p>
      <w:pPr>
        <w:pStyle w:val="NormalNumberedtext"/>
      </w:pPr>
      <w:r>
        <w:t>The Contractor must identify emergency event scenarios that have the potential to impact host communities and must incorporate community-impacting scenarios into the project Emergency Response Plan in coordination with local disaster response entities, consistent with [[APPC – Appendix C, C-5 §101.4.4]]. Emergency response planning is governed by RTPR-HSE-PRO-0041.</w:t>
      </w:r>
    </w:p>
    <w:p>
      <w:pPr>
        <w:pStyle w:val="NormalNumberedtext"/>
      </w:pPr>
      <w:r>
        <w:t>Community-impacting emergency scenarios that must be considered include:</w:t>
      </w:r>
    </w:p>
    <w:p>
      <w:pPr>
        <w:pStyle w:val="NumberedBulletL1"/>
      </w:pPr>
      <w:r>
        <w:t>Fire events that could affect community land, property, or safety.</w:t>
      </w:r>
    </w:p>
    <w:p>
      <w:pPr>
        <w:pStyle w:val="NumberedBulletL1"/>
      </w:pPr>
      <w:r>
        <w:t>Hazardous material spills that could contaminate community water sources or land.</w:t>
      </w:r>
    </w:p>
    <w:p>
      <w:pPr>
        <w:pStyle w:val="NumberedBulletL1"/>
      </w:pPr>
      <w:r>
        <w:t>Traffic incidents on community roads or access routes used by project vehicles.</w:t>
      </w:r>
    </w:p>
    <w:p>
      <w:pPr>
        <w:pStyle w:val="NumberedBulletL1"/>
      </w:pPr>
      <w:r>
        <w:rPr>
          <w:color w:val="C55A11"/>
        </w:rPr>
        <w:t>Dust or noise exceedance events that require community notification and short-term protective action.</w:t>
      </w:r>
    </w:p>
    <w:p>
      <w:pPr>
        <w:pStyle w:val="NumberedBulletL1"/>
      </w:pPr>
      <w:r>
        <w:rPr>
          <w:b/>
          <w:bCs/>
          <w:color w:val="0059D1"/>
        </w:rPr>
        <w:t>[INSERT: Project-specific community emergency scenarios]</w:t>
      </w:r>
    </w:p>
    <w:p>
      <w:pPr>
        <w:pStyle w:val="Heading1Numbered"/>
      </w:pPr>
      <w:r>
        <w:t>9  CSP Incidents and Complaints</w:t>
      </w:r>
    </w:p>
    <w:p>
      <w:pPr>
        <w:pStyle w:val="NormalNumberedtext"/>
      </w:pPr>
      <w:r>
        <w:t>This section defines the immediate reporting, grievance recording, and document retention requirements for CSP incidents and complaints arising from the Works.</w:t>
      </w:r>
    </w:p>
    <w:p>
      <w:pPr>
        <w:pStyle w:val="Heading2Numbered"/>
      </w:pPr>
      <w:r>
        <w:t>9.1  Immediate Reporting of CSP Incidents</w:t>
      </w:r>
    </w:p>
    <w:p>
      <w:pPr>
        <w:pStyle w:val="NormalNumberedtext"/>
      </w:pPr>
      <w:r>
        <w:t>This section requires immediate reporting of all unplanned social impacts and incidents to the Company.</w:t>
      </w:r>
    </w:p>
    <w:p>
      <w:pPr>
        <w:pStyle w:val="NormalNumberedtext"/>
      </w:pPr>
      <w:r>
        <w:t>The Contractor must immediately report to the Company any unplanned social impacts or incidents arising from the Works, consistent with [[APPC – Appendix C, C-5 §101.5.1]]. All incidents and near misses must be reported per project requirements — refer RTPR-HSE-PRO-0009.</w:t>
      </w:r>
    </w:p>
    <w:p>
      <w:pPr>
        <w:pStyle w:val="NormalNumberedtext"/>
      </w:pPr>
      <w:r>
        <w:t>CSP incidents requiring immediate reporting to the Company include, but are not limited to:</w:t>
      </w:r>
    </w:p>
    <w:p>
      <w:pPr>
        <w:pStyle w:val="NumberedBulletL1"/>
      </w:pPr>
      <w:r>
        <w:t>Dust or noise exceedances affecting communities.</w:t>
      </w:r>
    </w:p>
    <w:p>
      <w:pPr>
        <w:pStyle w:val="NumberedBulletL1"/>
      </w:pPr>
      <w:r>
        <w:t>Disturbance to community land, assets, or cultural heritage sites.</w:t>
      </w:r>
    </w:p>
    <w:p>
      <w:pPr>
        <w:pStyle w:val="NumberedBulletL1"/>
      </w:pPr>
      <w:r>
        <w:t>Any conflict, altercation, or grievance involving community members and project personnel.</w:t>
      </w:r>
    </w:p>
    <w:p>
      <w:pPr>
        <w:pStyle w:val="NumberedBulletL1"/>
      </w:pPr>
      <w:r>
        <w:t>Unauthorised access to land outside the approved project area.</w:t>
      </w:r>
    </w:p>
    <w:p>
      <w:pPr>
        <w:pStyle w:val="NumberedBulletL1"/>
      </w:pPr>
      <w:r>
        <w:rPr>
          <w:color w:val="C55A11"/>
        </w:rPr>
        <w:t>Any media or social media publication involving project activities that has not been approved by the Company.</w:t>
      </w:r>
    </w:p>
    <w:p>
      <w:pPr>
        <w:pStyle w:val="Heading2Numbered"/>
      </w:pPr>
      <w:r>
        <w:t>9.2  Grievance Reporting and Record Retention</w:t>
      </w:r>
    </w:p>
    <w:p>
      <w:pPr>
        <w:pStyle w:val="NormalNumberedtext"/>
      </w:pPr>
      <w:r>
        <w:t>This section requires formal recording and reporting of all grievances received in line with Company timelines and templates.</w:t>
      </w:r>
    </w:p>
    <w:p>
      <w:pPr>
        <w:pStyle w:val="NormalNumberedtext"/>
      </w:pPr>
      <w:r>
        <w:t>The Contractor must report to the Company all grievances received, in line with the timing requirements of RTPR-HSE-PRO-0009 and on approved Company templates for capture in the Company business solution, consistent with [[APPC – Appendix C, C-5 §101.5.2]]. Grievance records must be retained and made available for review.</w:t>
      </w:r>
    </w:p>
    <w:p>
      <w:pPr>
        <w:pStyle w:val="NormalNumberedtext"/>
      </w:pPr>
      <w:r>
        <w:t>Table 3: CSP Grievance Record — Minimum Required Fields</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Description</w:t>
            </w:r>
          </w:p>
        </w:tc>
      </w:tr>
      <w:tr>
        <w:tc>
          <w:tcPr/>
          <w:p>
            <w:pPr>
              <w:pStyle w:val="TableContents"/>
            </w:pPr>
            <w:r>
              <w:t>Date received</w:t>
            </w:r>
          </w:p>
        </w:tc>
        <w:tc>
          <w:tcPr/>
          <w:p>
            <w:pPr>
              <w:pStyle w:val="TableContents"/>
            </w:pPr>
            <w:r>
              <w:t>Date the grievance was received by Contractor personnel.</w:t>
            </w:r>
          </w:p>
        </w:tc>
      </w:tr>
      <w:tr>
        <w:tc>
          <w:tcPr/>
          <w:p>
            <w:pPr>
              <w:pStyle w:val="TableContents"/>
            </w:pPr>
            <w:r>
              <w:t>Grievance description</w:t>
            </w:r>
          </w:p>
        </w:tc>
        <w:tc>
          <w:tcPr/>
          <w:p>
            <w:pPr>
              <w:pStyle w:val="TableContents"/>
            </w:pPr>
            <w:r>
              <w:t>Summary of the nature of the complaint or grievance raised.</w:t>
            </w:r>
          </w:p>
        </w:tc>
      </w:tr>
      <w:tr>
        <w:tc>
          <w:tcPr/>
          <w:p>
            <w:pPr>
              <w:pStyle w:val="TableContents"/>
            </w:pPr>
            <w:r>
              <w:t>Complainant details</w:t>
            </w:r>
          </w:p>
        </w:tc>
        <w:tc>
          <w:tcPr/>
          <w:p>
            <w:pPr>
              <w:pStyle w:val="TableContents"/>
            </w:pPr>
            <w:r>
              <w:t>Name, contact, and community affiliation of the complainant, where provided.</w:t>
            </w:r>
          </w:p>
        </w:tc>
      </w:tr>
      <w:tr>
        <w:tc>
          <w:tcPr/>
          <w:p>
            <w:pPr>
              <w:pStyle w:val="TableContents"/>
            </w:pPr>
            <w:r>
              <w:t>Referral to Company</w:t>
            </w:r>
          </w:p>
        </w:tc>
        <w:tc>
          <w:tcPr/>
          <w:p>
            <w:pPr>
              <w:pStyle w:val="TableContents"/>
            </w:pPr>
            <w:r>
              <w:t>Date and method of referral to the Company.</w:t>
            </w:r>
          </w:p>
        </w:tc>
      </w:tr>
      <w:tr>
        <w:tc>
          <w:tcPr/>
          <w:p>
            <w:pPr>
              <w:pStyle w:val="TableContents"/>
            </w:pPr>
            <w:r>
              <w:t>Response action</w:t>
            </w:r>
          </w:p>
        </w:tc>
        <w:tc>
          <w:tcPr/>
          <w:p>
            <w:pPr>
              <w:pStyle w:val="TableContents"/>
            </w:pPr>
            <w:r>
              <w:t>Actions taken or proposed to address the grievance.</w:t>
            </w:r>
          </w:p>
        </w:tc>
      </w:tr>
      <w:tr>
        <w:tc>
          <w:tcPr/>
          <w:p>
            <w:pPr>
              <w:pStyle w:val="TableContents"/>
            </w:pPr>
            <w:r>
              <w:t>Resolution status</w:t>
            </w:r>
          </w:p>
        </w:tc>
        <w:tc>
          <w:tcPr/>
          <w:p>
            <w:pPr>
              <w:pStyle w:val="TableContents"/>
            </w:pPr>
            <w:r>
              <w:t>Open, in progress, or resolved, with resolution date where applicable.</w:t>
            </w:r>
          </w:p>
        </w:tc>
      </w:tr>
      <w:tr>
        <w:tc>
          <w:tcPr/>
          <w:p>
            <w:pPr>
              <w:pStyle w:val="TableContents"/>
            </w:pPr>
            <w:r>
              <w:rPr>
                <w:b/>
                <w:bCs/>
                <w:color w:val="0059D1"/>
              </w:rPr>
              <w:t>[INSERT: additional fields]</w:t>
            </w:r>
          </w:p>
        </w:tc>
        <w:tc>
          <w:tcPr/>
          <w:p>
            <w:pPr>
              <w:pStyle w:val="TableContents"/>
            </w:pPr>
            <w:r>
              <w:rPr>
                <w:b/>
                <w:bCs/>
                <w:color w:val="0059D1"/>
              </w:rPr>
              <w:t>[INSERT: any additional fields required by the Company business solution or template]</w:t>
            </w:r>
          </w:p>
        </w:tc>
      </w:tr>
    </w:tbl>
    <w:p>
      <w:pPr>
        <w:pStyle w:val="Default"/>
      </w:pPr>
    </w:p>
    <w:p>
      <w:pPr>
        <w:pStyle w:val="NormalNumberedtext"/>
      </w:pPr>
      <w:r>
        <w:rPr>
          <w:b/>
          <w:bCs/>
          <w:color w:val="0059D1"/>
        </w:rPr>
        <w:t>[INSERT: Company grievance template reference] — Insert the document number or title of the approved Company grievance recording template.</w:t>
      </w:r>
    </w:p>
    <w:p>
      <w:pPr>
        <w:pStyle w:val="Heading1Numbered"/>
      </w:pPr>
      <w:r>
        <w:t>10  Human Rights</w:t>
      </w:r>
    </w:p>
    <w:p>
      <w:pPr>
        <w:pStyle w:val="NormalNumberedtext"/>
      </w:pPr>
      <w:r>
        <w:t>This section defines the human rights obligations applicable to the Contractor, including modern slavery requirements, UN Guiding Principles compliance, and remediation obligations.</w:t>
      </w:r>
    </w:p>
    <w:p>
      <w:pPr>
        <w:pStyle w:val="Heading2Numbered"/>
      </w:pPr>
      <w:r>
        <w:t>10.1  Modern Slavery and Supplier Code of Conduct</w:t>
      </w:r>
    </w:p>
    <w:p>
      <w:pPr>
        <w:pStyle w:val="NormalNumberedtext"/>
      </w:pPr>
      <w:r>
        <w:t>This section requires compliance with the Company Supplier Code of Conduct and all laws directed to preventing modern slavery.</w:t>
      </w:r>
    </w:p>
    <w:p>
      <w:pPr>
        <w:pStyle w:val="NormalNumberedtext"/>
      </w:pPr>
      <w:r>
        <w:t>The Contractor must comply with the Company Supplier Code of Conduct and all applicable laws directed to criminalising, regulating, or preventing modern slavery, consistent with [[APPC – Appendix C, C-5 §101.6.1]]. The Contractor must take active steps to identify and address modern slavery risks in its own operations and supply chain.</w:t>
      </w:r>
    </w:p>
    <w:p>
      <w:pPr>
        <w:pStyle w:val="NormalNumberedtext"/>
      </w:pPr>
      <w:r>
        <w:t>Active steps to identify and address modern slavery risks must include:</w:t>
      </w:r>
    </w:p>
    <w:p>
      <w:pPr>
        <w:pStyle w:val="NumberedBulletL1"/>
      </w:pPr>
      <w:r>
        <w:t>Screening of subcontractors and suppliers for modern slavery risks before engagement.</w:t>
      </w:r>
    </w:p>
    <w:p>
      <w:pPr>
        <w:pStyle w:val="NumberedBulletL1"/>
      </w:pPr>
      <w:r>
        <w:t>Inclusion of modern slavery obligations in subcontract agreements.</w:t>
      </w:r>
    </w:p>
    <w:p>
      <w:pPr>
        <w:pStyle w:val="NumberedBulletL1"/>
      </w:pPr>
      <w:r>
        <w:t>Reporting of any identified modern slavery risks or incidents to the Company without delay.</w:t>
      </w:r>
    </w:p>
    <w:p>
      <w:pPr>
        <w:pStyle w:val="NumberedBulletL1"/>
      </w:pPr>
      <w:r>
        <w:rPr>
          <w:color w:val="C55A11"/>
        </w:rPr>
        <w:t>Annual review of modern slavery risks in the supply chain and reporting of outcomes to the Company.</w:t>
      </w:r>
    </w:p>
    <w:p>
      <w:pPr>
        <w:pStyle w:val="Heading2Numbered"/>
      </w:pPr>
      <w:r>
        <w:t>10.2  United Nations Guiding Principles on Business and Human Rights</w:t>
      </w:r>
    </w:p>
    <w:p>
      <w:pPr>
        <w:pStyle w:val="NormalNumberedtext"/>
      </w:pPr>
      <w:r>
        <w:t>This section requires respect for internationally recognised human rights consistent with the UN Guiding Principles.</w:t>
      </w:r>
    </w:p>
    <w:p>
      <w:pPr>
        <w:pStyle w:val="NormalNumberedtext"/>
      </w:pPr>
      <w:r>
        <w:t>The Contractor must respect human rights and take reasonable steps to prevent and address involvement in abuses of internationally recognised human rights, consistent with [[APPC – Appendix C, C-5 §101.6.2]] and the United Nations Guiding Principles on Business and Human Rights.</w:t>
      </w:r>
    </w:p>
    <w:p>
      <w:pPr>
        <w:pStyle w:val="NormalNumberedtext"/>
      </w:pPr>
      <w:r>
        <w:t>The Contractor must provide for, or cooperate in, remediation for any adverse human rights impacts the Contractor is deemed to have caused or contributed to, consistent with [[APPC – Appendix C, C-5 §101.6.4]] and the UN Guiding Principles on Business and Human Rights. Social risk assessment processes supporting human rights due diligence are integrated with the project risk register — refer RTPR-HSE-PRO-0002.</w:t>
      </w:r>
    </w:p>
    <w:p>
      <w:pPr>
        <w:pStyle w:val="Heading1Numbered"/>
      </w:pPr>
      <w:r>
        <w:t>11  Cultural Heritage Management</w:t>
      </w:r>
    </w:p>
    <w:p>
      <w:pPr>
        <w:pStyle w:val="NormalNumberedtext"/>
      </w:pPr>
      <w:r>
        <w:t>This section defines the cultural heritage management obligations applicable to all Works, including authorisation requirements, training, and the Chance Find Procedure.</w:t>
      </w:r>
    </w:p>
    <w:p>
      <w:pPr>
        <w:pStyle w:val="Heading2Numbered"/>
      </w:pPr>
      <w:r>
        <w:t>11.1  Cultural Heritage Management Plans and Authorisation</w:t>
      </w:r>
    </w:p>
    <w:p>
      <w:pPr>
        <w:pStyle w:val="NormalNumberedtext"/>
      </w:pPr>
      <w:r>
        <w:t>This section requires the Contractor to operate within Company-provided cultural heritage management plans.</w:t>
      </w:r>
    </w:p>
    <w:p>
      <w:pPr>
        <w:pStyle w:val="NormalNumberedtext"/>
      </w:pPr>
      <w:r>
        <w:t>The Contractor must operate within the bounds of any cultural heritage management plans provided by the Company, consistent with [[APPC – Appendix C, C-5 §101.7.1]]. Works must not proceed in areas of cultural heritage significance without written Company authorisation.</w:t>
      </w:r>
    </w:p>
    <w:tbl>
      <w:tblPr>
        <w:tblStyle w:val="TableOption1"/>
        <w:tblW w:type="pct" w:w="5000"/>
      </w:tblPr>
      <w:tr>
        <w:tc>
          <w:tcPr>
            <w:shd w:val="clear" w:color="auto" w:fill="FFF2CC"/>
          </w:tcPr>
          <w:p>
            <w:pPr>
              <w:pStyle w:val="Instructions"/>
            </w:pPr>
            <w:r>
              <w:rPr>
                <w:b/>
                <w:bCs/>
                <w:color w:val="C55A11"/>
              </w:rPr>
              <w:t>INSERT PLACEHOLDER 5: Define the cultural heritage management approach for this project based on Company-provided cultural heritage clearances, heritage surveys, and any applicable heritage management plans. Insert or reference the project Chance Find Procedure in Section 8.3 below.</w:t>
            </w:r>
          </w:p>
        </w:tc>
      </w:tr>
    </w:tbl>
    <w:p>
      <w:pPr>
        <w:pStyle w:val="Default"/>
      </w:pPr>
    </w:p>
    <w:p>
      <w:pPr>
        <w:pStyle w:val="NormalNumberedtext"/>
      </w:pPr>
      <w:r>
        <w:rPr>
          <w:b/>
          <w:bCs/>
          <w:color w:val="0059D1"/>
        </w:rPr>
        <w:t>[INSERT: Cultural heritage management plan reference] — Insert the document number and title of the Company-provided cultural heritage management plan or heritage clearance applicable to this project.</w:t>
      </w:r>
    </w:p>
    <w:p>
      <w:pPr>
        <w:pStyle w:val="NormalNumberedtext"/>
      </w:pPr>
      <w:r>
        <w:t>Ground disturbance controls relevant to cultural heritage site protection are governed by RTPR-HSE-PRO-0037.</w:t>
      </w:r>
    </w:p>
    <w:p>
      <w:pPr>
        <w:pStyle w:val="Heading2Numbered"/>
      </w:pPr>
      <w:r>
        <w:t>11.2  Cultural Heritage Training</w:t>
      </w:r>
    </w:p>
    <w:p>
      <w:pPr>
        <w:pStyle w:val="NormalNumberedtext"/>
      </w:pPr>
      <w:r>
        <w:t>This section requires delivery of cultural heritage training to all personnel, subcontractors, and visitors before commencing ground disturbance.</w:t>
      </w:r>
    </w:p>
    <w:p>
      <w:pPr>
        <w:pStyle w:val="NormalNumberedtext"/>
      </w:pPr>
      <w:r>
        <w:t>The Contractor must provide relevant cultural heritage training to all personnel, subcontractors, and visitors to ensure the Works are managed in a culturally responsible manner, consistent with [[APPC – Appendix C, C-5 §101.7.3]]. Training must prevent harm to cultural values, heritage sites, and community relationships.</w:t>
      </w:r>
    </w:p>
    <w:p>
      <w:pPr>
        <w:pStyle w:val="NormalNumberedtext"/>
      </w:pPr>
      <w:r>
        <w:t>Cultural heritage training must be delivered before personnel commence any ground disturbance activity and must cover:</w:t>
      </w:r>
    </w:p>
    <w:p>
      <w:pPr>
        <w:pStyle w:val="NumberedBulletL1"/>
      </w:pPr>
      <w:r>
        <w:t>The significance of cultural heritage to Indigenous and land-connected peoples in the project area.</w:t>
      </w:r>
    </w:p>
    <w:p>
      <w:pPr>
        <w:pStyle w:val="NumberedBulletL1"/>
      </w:pPr>
      <w:r>
        <w:t>The types of cultural heritage items and sites that may be encountered during the Works.</w:t>
      </w:r>
    </w:p>
    <w:p>
      <w:pPr>
        <w:pStyle w:val="NumberedBulletL1"/>
      </w:pPr>
      <w:r>
        <w:t>The obligations of all personnel when a potential cultural heritage item is identified.</w:t>
      </w:r>
    </w:p>
    <w:p>
      <w:pPr>
        <w:pStyle w:val="NumberedBulletL1"/>
      </w:pPr>
      <w:r>
        <w:t>The Chance Find Procedure, including the work stop requirement and Company notification process.</w:t>
      </w:r>
    </w:p>
    <w:p>
      <w:pPr>
        <w:pStyle w:val="NumberedBulletL1"/>
      </w:pPr>
      <w:r>
        <w:rPr>
          <w:color w:val="C55A11"/>
        </w:rPr>
        <w:t>The consequences for individuals and the project of non-compliance with cultural heritage obligations.</w:t>
      </w:r>
    </w:p>
    <w:p>
      <w:pPr>
        <w:pStyle w:val="NormalNumberedtext"/>
      </w:pPr>
      <w:r>
        <w:rPr>
          <w:b/>
          <w:bCs/>
          <w:color w:val="0059D1"/>
        </w:rPr>
        <w:t>[INSERT: Cultural heritage training record location] — Insert the document management system location or template reference for cultural heritage training records.</w:t>
      </w:r>
    </w:p>
    <w:p>
      <w:pPr>
        <w:pStyle w:val="Heading2Numbered"/>
      </w:pPr>
      <w:r>
        <w:t>11.3  Chance Find Procedure</w:t>
      </w:r>
    </w:p>
    <w:p>
      <w:pPr>
        <w:pStyle w:val="NormalNumberedtext"/>
      </w:pPr>
      <w:r>
        <w:t>This section requires adherence to the Company Chance Find Procedure and defines the work stop and notification requirements.</w:t>
      </w:r>
    </w:p>
    <w:p>
      <w:pPr>
        <w:pStyle w:val="NormalNumberedtext"/>
      </w:pPr>
      <w:r>
        <w:t>The Contractor must adhere to the Company Chance Find Procedure, consistent with [[APPC – Appendix C, C-5 §101.7.6]]. The Chance Find Procedure must be communicated regularly to all personnel and subcontractors, and all personnel must be trained in the procedure before commencing any ground disturbance activities.</w:t>
      </w:r>
    </w:p>
    <w:p>
      <w:pPr>
        <w:pStyle w:val="NormalNumberedtext"/>
      </w:pPr>
      <w:r>
        <w:t>Work must stop and the Company must be notified immediately upon locating any item of potential cultural significance, including artefacts, fossils, objects of antiquity, or items of anthropological or archaeological interest, consistent with [[APPC – Appendix C, C-5 §101.7.7]]. Ground disturbance requirements are governed by RTPR-HSE-PRO-0037.</w:t>
      </w:r>
    </w:p>
    <w:p>
      <w:pPr>
        <w:pStyle w:val="NormalNumberedtext"/>
      </w:pPr>
      <w:r>
        <w:t>Upon identifying a potential chance find, the following immediate actions apply:</w:t>
      </w:r>
    </w:p>
    <w:p>
      <w:pPr>
        <w:pStyle w:val="NumberedBulletL1"/>
      </w:pPr>
      <w:r>
        <w:t>All work in the immediate vicinity stops immediately.</w:t>
      </w:r>
    </w:p>
    <w:p>
      <w:pPr>
        <w:pStyle w:val="NumberedBulletL1"/>
      </w:pPr>
      <w:r>
        <w:t>The site supervisor is notified without delay.</w:t>
      </w:r>
    </w:p>
    <w:p>
      <w:pPr>
        <w:pStyle w:val="NumberedBulletL1"/>
      </w:pPr>
      <w:r>
        <w:t>The area is cordoned off and the find is not disturbed, moved, or removed.</w:t>
      </w:r>
    </w:p>
    <w:p>
      <w:pPr>
        <w:pStyle w:val="NumberedBulletL1"/>
      </w:pPr>
      <w:r>
        <w:t>The Company is notified and no work resumes in the affected area until written Company authorisation is received.</w:t>
      </w:r>
    </w:p>
    <w:p>
      <w:pPr>
        <w:pStyle w:val="NumberedBulletL1"/>
      </w:pPr>
      <w:r>
        <w:rPr>
          <w:color w:val="C55A11"/>
        </w:rPr>
        <w:t>Photographs and a location description are recorded by the site supervisor and provided to the Company with the initial notification.</w:t>
      </w:r>
    </w:p>
    <w:p>
      <w:pPr>
        <w:pStyle w:val="NormalNumberedtext"/>
      </w:pPr>
      <w:r>
        <w:rPr>
          <w:b/>
          <w:bCs/>
          <w:color w:val="0059D1"/>
        </w:rPr>
        <w:t>[INSERT: Chance Find Procedure document reference] — Insert the document number and title of the Company Chance Find Procedure applicable to this project, or confirm it is embedded in this section.</w:t>
      </w:r>
    </w:p>
    <w:p>
      <w:pPr>
        <w:pStyle w:val="Heading1Numbered"/>
      </w:pPr>
      <w:r>
        <w:t>12  Local and Indigenous Participation</w:t>
      </w:r>
    </w:p>
    <w:p>
      <w:pPr>
        <w:pStyle w:val="NormalNumberedtext"/>
      </w:pPr>
      <w:r>
        <w:t>This section defines the requirements for local and Indigenous participation in employment, training, and procurement, including target setting, performance reporting, and the social investment restriction.</w:t>
      </w:r>
    </w:p>
    <w:p>
      <w:pPr>
        <w:pStyle w:val="Heading2Numbered"/>
      </w:pPr>
      <w:r>
        <w:t>12.1  Local and Indigenous Participation Policy</w:t>
      </w:r>
    </w:p>
    <w:p>
      <w:pPr>
        <w:pStyle w:val="NormalNumberedtext"/>
      </w:pPr>
      <w:r>
        <w:t>This section requires a proactive participation policy to be developed, documented in the CSP Management Plan, and submitted before mobilisation.</w:t>
      </w:r>
    </w:p>
    <w:p>
      <w:pPr>
        <w:pStyle w:val="NormalNumberedtext"/>
      </w:pPr>
      <w:r>
        <w:t>The Contractor must develop and implement a proactive policy for opportunities for local and Indigenous peoples in delivering the Works, consistent with [[APPC – Appendix C, C-5 §101.9.1]]. Details of this policy must be included in the CSP Management Plan and submitted to the Company for review before project mobilisation.</w:t>
      </w:r>
    </w:p>
    <w:p>
      <w:pPr>
        <w:pStyle w:val="NormalNumberedtext"/>
      </w:pPr>
      <w:r>
        <w:t>The local and Indigenous participation policy must address:</w:t>
      </w:r>
    </w:p>
    <w:p>
      <w:pPr>
        <w:pStyle w:val="NumberedBulletL1"/>
      </w:pPr>
      <w:r>
        <w:t>The approach to identifying and engaging local and Indigenous suppliers and subcontractors during procurement.</w:t>
      </w:r>
    </w:p>
    <w:p>
      <w:pPr>
        <w:pStyle w:val="NumberedBulletL1"/>
      </w:pPr>
      <w:r>
        <w:t>The approach to recruiting local and Indigenous workers into project employment roles.</w:t>
      </w:r>
    </w:p>
    <w:p>
      <w:pPr>
        <w:pStyle w:val="NumberedBulletL1"/>
      </w:pPr>
      <w:r>
        <w:t>The training and development pathways available to local and Indigenous participants in the Works.</w:t>
      </w:r>
    </w:p>
    <w:p>
      <w:pPr>
        <w:pStyle w:val="NumberedBulletL1"/>
      </w:pPr>
      <w:r>
        <w:rPr>
          <w:color w:val="C55A11"/>
        </w:rPr>
        <w:t>The internal governance process for tracking participation outcomes and escalating barriers to the Company.</w:t>
      </w:r>
    </w:p>
    <w:p>
      <w:pPr>
        <w:pStyle w:val="Heading2Numbered"/>
      </w:pPr>
      <w:r>
        <w:t>12.2  Participation Targets</w:t>
      </w:r>
    </w:p>
    <w:p>
      <w:pPr>
        <w:pStyle w:val="NormalNumberedtext"/>
      </w:pPr>
      <w:r>
        <w:t>This section requires setting of measurable participation targets in agreement with the Company and reporting against them at agreed intervals.</w:t>
      </w:r>
    </w:p>
    <w:p>
      <w:pPr>
        <w:pStyle w:val="NormalNumberedtext"/>
      </w:pPr>
      <w:r>
        <w:t>The Contractor must set targets, in agreement with the Company and appropriate to the socio-economic context, for local and Indigenous participation in employment, training, and procurement opportunities, consistent with [[APPC – Appendix C, C-5 §101.9.2]]. Targets must be measurable and reported on at agreed intervals.</w:t>
      </w:r>
    </w:p>
    <w:tbl>
      <w:tblPr>
        <w:tblStyle w:val="TableOption1"/>
        <w:tblW w:type="pct" w:w="5000"/>
      </w:tblPr>
      <w:tr>
        <w:tc>
          <w:tcPr>
            <w:shd w:val="clear" w:color="auto" w:fill="FFF2CC"/>
          </w:tcPr>
          <w:p>
            <w:pPr>
              <w:pStyle w:val="Instructions"/>
            </w:pPr>
            <w:r>
              <w:rPr>
                <w:b/>
                <w:bCs/>
                <w:color w:val="C55A11"/>
              </w:rPr>
              <w:t>INSERT PLACEHOLDER 4: Confirm the local and Indigenous participation targets for this project in agreement with the Company. Insert the agreed targets into Table 4 below and into the CSP Management Plan before this document is issued.</w:t>
            </w:r>
          </w:p>
        </w:tc>
      </w:tr>
    </w:tbl>
    <w:p>
      <w:pPr>
        <w:pStyle w:val="Default"/>
      </w:pPr>
    </w:p>
    <w:p>
      <w:pPr>
        <w:pStyle w:val="NormalNumberedtext"/>
      </w:pPr>
      <w:r>
        <w:t>Table 4: Local and Indigenous Participation Targets</w:t>
      </w:r>
    </w:p>
    <w:tbl>
      <w:tblPr>
        <w:tblStyle w:val="TableOption2"/>
        <w:tblW w:type="pct" w:w="5000"/>
      </w:tblPr>
      <w:tr>
        <w:trPr>
          <w:tblHeader/>
        </w:trPr>
        <w:tc>
          <w:tcPr>
            <w:shd w:val="clear" w:color="auto" w:fill="1F3864"/>
          </w:tcPr>
          <w:p>
            <w:pPr>
              <w:pStyle w:val="TableContents"/>
            </w:pPr>
            <w:r>
              <w:rPr>
                <w:b/>
                <w:bCs/>
                <w:color w:val="FFFFFF"/>
              </w:rPr>
              <w:t>Participation Category</w:t>
            </w:r>
          </w:p>
        </w:tc>
        <w:tc>
          <w:tcPr>
            <w:shd w:val="clear" w:color="auto" w:fill="1F3864"/>
          </w:tcPr>
          <w:p>
            <w:pPr>
              <w:pStyle w:val="TableContents"/>
            </w:pPr>
            <w:r>
              <w:rPr>
                <w:b/>
                <w:bCs/>
                <w:color w:val="FFFFFF"/>
              </w:rPr>
              <w:t>Target</w:t>
            </w:r>
          </w:p>
        </w:tc>
        <w:tc>
          <w:tcPr>
            <w:shd w:val="clear" w:color="auto" w:fill="1F3864"/>
          </w:tcPr>
          <w:p>
            <w:pPr>
              <w:pStyle w:val="TableContents"/>
            </w:pPr>
            <w:r>
              <w:rPr>
                <w:b/>
                <w:bCs/>
                <w:color w:val="FFFFFF"/>
              </w:rPr>
              <w:t>Measurement Basis</w:t>
            </w:r>
          </w:p>
        </w:tc>
        <w:tc>
          <w:tcPr>
            <w:shd w:val="clear" w:color="auto" w:fill="1F3864"/>
          </w:tcPr>
          <w:p>
            <w:pPr>
              <w:pStyle w:val="TableContents"/>
            </w:pPr>
            <w:r>
              <w:rPr>
                <w:b/>
                <w:bCs/>
                <w:color w:val="FFFFFF"/>
              </w:rPr>
              <w:t>Reporting Frequency</w:t>
            </w:r>
          </w:p>
        </w:tc>
      </w:tr>
      <w:tr>
        <w:tc>
          <w:tcPr/>
          <w:p>
            <w:pPr>
              <w:pStyle w:val="TableContents"/>
            </w:pPr>
            <w:r>
              <w:t>Local employment</w:t>
            </w:r>
          </w:p>
        </w:tc>
        <w:tc>
          <w:tcPr/>
          <w:p>
            <w:pPr>
              <w:pStyle w:val="TableContents"/>
            </w:pPr>
            <w:r>
              <w:rPr>
                <w:b/>
                <w:bCs/>
                <w:color w:val="0059D1"/>
              </w:rPr>
              <w:t>[INSERT: agreed target %]</w:t>
            </w:r>
          </w:p>
        </w:tc>
        <w:tc>
          <w:tcPr/>
          <w:p>
            <w:pPr>
              <w:pStyle w:val="TableContents"/>
            </w:pPr>
            <w:r>
              <w:rPr>
                <w:b/>
                <w:bCs/>
                <w:color w:val="0059D1"/>
              </w:rPr>
              <w:t>[INSERT: % of total project workforce hours]</w:t>
            </w:r>
          </w:p>
        </w:tc>
        <w:tc>
          <w:tcPr/>
          <w:p>
            <w:pPr>
              <w:pStyle w:val="TableContents"/>
            </w:pPr>
            <w:r>
              <w:rPr>
                <w:b/>
                <w:bCs/>
                <w:color w:val="0059D1"/>
              </w:rPr>
              <w:t>[INSERT: agreed reporting interval]</w:t>
            </w:r>
          </w:p>
        </w:tc>
      </w:tr>
      <w:tr>
        <w:tc>
          <w:tcPr/>
          <w:p>
            <w:pPr>
              <w:pStyle w:val="TableContents"/>
            </w:pPr>
            <w:r>
              <w:t>Indigenous employment</w:t>
            </w:r>
          </w:p>
        </w:tc>
        <w:tc>
          <w:tcPr/>
          <w:p>
            <w:pPr>
              <w:pStyle w:val="TableContents"/>
            </w:pPr>
            <w:r>
              <w:rPr>
                <w:b/>
                <w:bCs/>
                <w:color w:val="0059D1"/>
              </w:rPr>
              <w:t>[INSERT: agreed target %]</w:t>
            </w:r>
          </w:p>
        </w:tc>
        <w:tc>
          <w:tcPr/>
          <w:p>
            <w:pPr>
              <w:pStyle w:val="TableContents"/>
            </w:pPr>
            <w:r>
              <w:rPr>
                <w:b/>
                <w:bCs/>
                <w:color w:val="0059D1"/>
              </w:rPr>
              <w:t>[INSERT: % of total project workforce hours]</w:t>
            </w:r>
          </w:p>
        </w:tc>
        <w:tc>
          <w:tcPr/>
          <w:p>
            <w:pPr>
              <w:pStyle w:val="TableContents"/>
            </w:pPr>
            <w:r>
              <w:rPr>
                <w:b/>
                <w:bCs/>
                <w:color w:val="0059D1"/>
              </w:rPr>
              <w:t>[INSERT: agreed reporting interval]</w:t>
            </w:r>
          </w:p>
        </w:tc>
      </w:tr>
      <w:tr>
        <w:tc>
          <w:tcPr/>
          <w:p>
            <w:pPr>
              <w:pStyle w:val="TableContents"/>
            </w:pPr>
            <w:r>
              <w:t>Local procurement</w:t>
            </w:r>
          </w:p>
        </w:tc>
        <w:tc>
          <w:tcPr/>
          <w:p>
            <w:pPr>
              <w:pStyle w:val="TableContents"/>
            </w:pPr>
            <w:r>
              <w:rPr>
                <w:b/>
                <w:bCs/>
                <w:color w:val="0059D1"/>
              </w:rPr>
              <w:t>[INSERT: agreed target %]</w:t>
            </w:r>
          </w:p>
        </w:tc>
        <w:tc>
          <w:tcPr/>
          <w:p>
            <w:pPr>
              <w:pStyle w:val="TableContents"/>
            </w:pPr>
            <w:r>
              <w:rPr>
                <w:b/>
                <w:bCs/>
                <w:color w:val="0059D1"/>
              </w:rPr>
              <w:t>[INSERT: % of total project procurement spend]</w:t>
            </w:r>
          </w:p>
        </w:tc>
        <w:tc>
          <w:tcPr/>
          <w:p>
            <w:pPr>
              <w:pStyle w:val="TableContents"/>
            </w:pPr>
            <w:r>
              <w:rPr>
                <w:b/>
                <w:bCs/>
                <w:color w:val="0059D1"/>
              </w:rPr>
              <w:t>[INSERT: agreed reporting interval]</w:t>
            </w:r>
          </w:p>
        </w:tc>
      </w:tr>
      <w:tr>
        <w:tc>
          <w:tcPr/>
          <w:p>
            <w:pPr>
              <w:pStyle w:val="TableContents"/>
            </w:pPr>
            <w:r>
              <w:t>Indigenous procurement</w:t>
            </w:r>
          </w:p>
        </w:tc>
        <w:tc>
          <w:tcPr/>
          <w:p>
            <w:pPr>
              <w:pStyle w:val="TableContents"/>
            </w:pPr>
            <w:r>
              <w:rPr>
                <w:b/>
                <w:bCs/>
                <w:color w:val="0059D1"/>
              </w:rPr>
              <w:t>[INSERT: agreed target %]</w:t>
            </w:r>
          </w:p>
        </w:tc>
        <w:tc>
          <w:tcPr/>
          <w:p>
            <w:pPr>
              <w:pStyle w:val="TableContents"/>
            </w:pPr>
            <w:r>
              <w:rPr>
                <w:b/>
                <w:bCs/>
                <w:color w:val="0059D1"/>
              </w:rPr>
              <w:t>[INSERT: % of total project procurement spend]</w:t>
            </w:r>
          </w:p>
        </w:tc>
        <w:tc>
          <w:tcPr/>
          <w:p>
            <w:pPr>
              <w:pStyle w:val="TableContents"/>
            </w:pPr>
            <w:r>
              <w:rPr>
                <w:b/>
                <w:bCs/>
                <w:color w:val="0059D1"/>
              </w:rPr>
              <w:t>[INSERT: agreed reporting interval]</w:t>
            </w:r>
          </w:p>
        </w:tc>
      </w:tr>
      <w:tr>
        <w:tc>
          <w:tcPr/>
          <w:p>
            <w:pPr>
              <w:pStyle w:val="TableContents"/>
            </w:pPr>
            <w:r>
              <w:t>Training and development</w:t>
            </w:r>
          </w:p>
        </w:tc>
        <w:tc>
          <w:tcPr/>
          <w:p>
            <w:pPr>
              <w:pStyle w:val="TableContents"/>
            </w:pPr>
            <w:r>
              <w:rPr>
                <w:b/>
                <w:bCs/>
                <w:color w:val="0059D1"/>
              </w:rPr>
              <w:t>[INSERT: agreed target]</w:t>
            </w:r>
          </w:p>
        </w:tc>
        <w:tc>
          <w:tcPr/>
          <w:p>
            <w:pPr>
              <w:pStyle w:val="TableContents"/>
            </w:pPr>
            <w:r>
              <w:rPr>
                <w:b/>
                <w:bCs/>
                <w:color w:val="0059D1"/>
              </w:rPr>
              <w:t>[INSERT: number of training hours or placements]</w:t>
            </w:r>
          </w:p>
        </w:tc>
        <w:tc>
          <w:tcPr/>
          <w:p>
            <w:pPr>
              <w:pStyle w:val="TableContents"/>
            </w:pPr>
            <w:r>
              <w:rPr>
                <w:b/>
                <w:bCs/>
                <w:color w:val="0059D1"/>
              </w:rPr>
              <w:t>[INSERT: agreed reporting interval]</w:t>
            </w:r>
          </w:p>
        </w:tc>
      </w:tr>
    </w:tbl>
    <w:p>
      <w:pPr>
        <w:pStyle w:val="Default"/>
      </w:pPr>
    </w:p>
    <w:p>
      <w:pPr>
        <w:pStyle w:val="Heading2Numbered"/>
      </w:pPr>
      <w:r>
        <w:t>12.3  Participation Performance Reporting</w:t>
      </w:r>
    </w:p>
    <w:p>
      <w:pPr>
        <w:pStyle w:val="NormalNumberedtext"/>
      </w:pPr>
      <w:r>
        <w:t>This section requires tracking and reporting of participation performance data, including identification of barriers and remediation actions.</w:t>
      </w:r>
    </w:p>
    <w:p>
      <w:pPr>
        <w:pStyle w:val="NormalNumberedtext"/>
      </w:pPr>
      <w:r>
        <w:t>The Contractor must track and report participation performance data to the Company at agreed intervals, consistent with [[APPC – Appendix C, C-5 §101.9.5]]. Reporting must include identification of any barriers to achieving targets or objectives and proposed remediation actions.</w:t>
      </w:r>
    </w:p>
    <w:p>
      <w:pPr>
        <w:pStyle w:val="NormalNumberedtext"/>
      </w:pPr>
      <w:r>
        <w:t>Participation performance reports submitted to the Company must include:</w:t>
      </w:r>
    </w:p>
    <w:p>
      <w:pPr>
        <w:pStyle w:val="NumberedBulletL1"/>
      </w:pPr>
      <w:r>
        <w:t>Actual performance data against each target in Table 4 for the reporting period.</w:t>
      </w:r>
    </w:p>
    <w:p>
      <w:pPr>
        <w:pStyle w:val="NumberedBulletL1"/>
      </w:pPr>
      <w:r>
        <w:t>Cumulative performance data against each target from project commencement.</w:t>
      </w:r>
    </w:p>
    <w:p>
      <w:pPr>
        <w:pStyle w:val="NumberedBulletL1"/>
      </w:pPr>
      <w:r>
        <w:t>Identification of any barriers preventing achievement of targets, with proposed remediation actions and timelines.</w:t>
      </w:r>
    </w:p>
    <w:p>
      <w:pPr>
        <w:pStyle w:val="NumberedBulletL1"/>
      </w:pPr>
      <w:r>
        <w:rPr>
          <w:color w:val="C55A11"/>
        </w:rPr>
        <w:t>Case studies or examples of successful local and Indigenous participation outcomes during the reporting period.</w:t>
      </w:r>
    </w:p>
    <w:p>
      <w:pPr>
        <w:pStyle w:val="NormalNumberedtext"/>
      </w:pPr>
      <w:r>
        <w:rPr>
          <w:b/>
          <w:bCs/>
          <w:color w:val="0059D1"/>
        </w:rPr>
        <w:t>[INSERT: Participation performance reporting schedule] — Insert the agreed reporting intervals and submission dates for local and Indigenous participation performance reports.</w:t>
      </w:r>
    </w:p>
    <w:p>
      <w:pPr>
        <w:pStyle w:val="Heading2Numbered"/>
      </w:pPr>
      <w:r>
        <w:t>12.4  Social Investment Restriction</w:t>
      </w:r>
    </w:p>
    <w:p>
      <w:pPr>
        <w:pStyle w:val="NormalNumberedtext"/>
      </w:pPr>
      <w:r>
        <w:t>This section prohibits independent donations, sponsorships, or community programmes without prior Company approval.</w:t>
      </w:r>
    </w:p>
    <w:p>
      <w:pPr>
        <w:pStyle w:val="NormalNumberedtext"/>
      </w:pPr>
      <w:r>
        <w:t>No independent donations, sponsorships, projects, or programmes with host communities or local businesses may be committed to or initiated by the Contractor without prior approval from the Company, consistent with [[APPC – Appendix C, C-5 §101.10.1]].</w:t>
      </w:r>
    </w:p>
    <w:p>
      <w:pPr>
        <w:pStyle w:val="NormalNumberedtext"/>
      </w:pPr>
      <w:r>
        <w:t>Examples of activities requiring prior Company approval before commitment or initiation include:</w:t>
      </w:r>
    </w:p>
    <w:p>
      <w:pPr>
        <w:pStyle w:val="NumberedBulletL1"/>
      </w:pPr>
      <w:r>
        <w:t>Monetary or in-kind donations to community groups, schools, or cultural organisations.</w:t>
      </w:r>
    </w:p>
    <w:p>
      <w:pPr>
        <w:pStyle w:val="NumberedBulletL1"/>
      </w:pPr>
      <w:r>
        <w:t>Sponsorship of community events, sporting activities, or cultural programmes.</w:t>
      </w:r>
    </w:p>
    <w:p>
      <w:pPr>
        <w:pStyle w:val="NumberedBulletL1"/>
      </w:pPr>
      <w:r>
        <w:t>Funding or resourcing of infrastructure, facilities, or services for community benefit.</w:t>
      </w:r>
    </w:p>
    <w:p>
      <w:pPr>
        <w:pStyle w:val="NumberedBulletL1"/>
      </w:pPr>
      <w:r>
        <w:rPr>
          <w:color w:val="C55A11"/>
        </w:rPr>
        <w:t>Provision of surplus project materials, equipment, or resources to local communities or organisations.</w:t>
      </w:r>
    </w:p>
    <w:p>
      <w:pPr>
        <w:pStyle w:val="Heading1Numbered"/>
      </w:pPr>
      <w:r>
        <w:t>13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CSP</w:t>
            </w:r>
          </w:p>
        </w:tc>
        <w:tc>
          <w:tcPr/>
          <w:p>
            <w:pPr>
              <w:pStyle w:val="TableContents"/>
            </w:pPr>
            <w:r>
              <w:t>Communities and Social Performance — the discipline concerned with managing relationships, impacts, and obligations between the project and affected communities, stakeholders, and rightsholders.</w:t>
            </w:r>
          </w:p>
        </w:tc>
      </w:tr>
      <w:tr>
        <w:tc>
          <w:tcPr/>
          <w:p>
            <w:pPr>
              <w:pStyle w:val="TableContents"/>
            </w:pPr>
            <w:r>
              <w:t>FPIC</w:t>
            </w:r>
          </w:p>
        </w:tc>
        <w:tc>
          <w:tcPr/>
          <w:p>
            <w:pPr>
              <w:pStyle w:val="TableContents"/>
            </w:pPr>
            <w:r>
              <w:t>Free, Prior and Informed Consent — the right of Indigenous Peoples to give or withhold consent to proposed projects that may affect their lands, territories, and resources, prior to project approval and free from coercion or manipulation.</w:t>
            </w:r>
          </w:p>
        </w:tc>
      </w:tr>
      <w:tr>
        <w:tc>
          <w:tcPr/>
          <w:p>
            <w:pPr>
              <w:pStyle w:val="TableContents"/>
            </w:pPr>
            <w:r>
              <w:t>CHMP</w:t>
            </w:r>
          </w:p>
        </w:tc>
        <w:tc>
          <w:tcPr/>
          <w:p>
            <w:pPr>
              <w:pStyle w:val="TableContents"/>
            </w:pPr>
            <w:r>
              <w:t>Cultural Heritage Management Plan — a documented plan that identifies, assesses, and establishes controls for the protection and management of cultural heritage sites and values within the project area.</w:t>
            </w:r>
          </w:p>
        </w:tc>
      </w:tr>
      <w:tr>
        <w:tc>
          <w:tcPr/>
          <w:p>
            <w:pPr>
              <w:pStyle w:val="TableContents"/>
            </w:pPr>
            <w:r>
              <w:t>ESIA</w:t>
            </w:r>
          </w:p>
        </w:tc>
        <w:tc>
          <w:tcPr/>
          <w:p>
            <w:pPr>
              <w:pStyle w:val="TableContents"/>
            </w:pPr>
            <w:r>
              <w:t>Environmental and Social Impact Assessment — a systematic process for identifying, predicting, evaluating, and mitigating the biophysical, social, and other relevant effects of a proposed project prior to major decisions being taken.</w:t>
            </w:r>
          </w:p>
        </w:tc>
      </w:tr>
      <w:tr>
        <w:tc>
          <w:tcPr/>
          <w:p>
            <w:pPr>
              <w:pStyle w:val="TableContents"/>
            </w:pPr>
            <w:r>
              <w:t>ESMP</w:t>
            </w:r>
          </w:p>
        </w:tc>
        <w:tc>
          <w:tcPr/>
          <w:p>
            <w:pPr>
              <w:pStyle w:val="TableContents"/>
            </w:pPr>
            <w:r>
              <w:t>Environmental and Social Management Plan — a plan that sets out the measures to be taken to avoid, minimise, mitigate, or compensate for adverse environmental and social impacts identified through the ESIA process.</w:t>
            </w:r>
          </w:p>
        </w:tc>
      </w:tr>
      <w:tr>
        <w:tc>
          <w:tcPr/>
          <w:p>
            <w:pPr>
              <w:pStyle w:val="TableContents"/>
            </w:pPr>
            <w:r>
              <w:t>GRM</w:t>
            </w:r>
          </w:p>
        </w:tc>
        <w:tc>
          <w:tcPr/>
          <w:p>
            <w:pPr>
              <w:pStyle w:val="TableContents"/>
            </w:pPr>
            <w:r>
              <w:t>Grievance and Redress Mechanism — a formalised process through which affected community members and stakeholders can raise concerns, complaints, or disputes about project activities and receive timely, transparent, and fair responses.</w:t>
            </w:r>
          </w:p>
        </w:tc>
      </w:tr>
      <w:tr>
        <w:tc>
          <w:tcPr/>
          <w:p>
            <w:pPr>
              <w:pStyle w:val="TableContents"/>
            </w:pPr>
            <w:r>
              <w:t>IFC</w:t>
            </w:r>
          </w:p>
        </w:tc>
        <w:tc>
          <w:tcPr/>
          <w:p>
            <w:pPr>
              <w:pStyle w:val="TableContents"/>
            </w:pPr>
            <w:r>
              <w:t>International Finance Corporation — a member of the World Bank Group whose Performance Standards on Environmental and Social Sustainability provide a globally recognised framework for managing social and environmental risk.</w:t>
            </w:r>
          </w:p>
        </w:tc>
      </w:tr>
      <w:tr>
        <w:tc>
          <w:tcPr/>
          <w:p>
            <w:pPr>
              <w:pStyle w:val="TableContents"/>
            </w:pPr>
            <w:r>
              <w:t>IFC PS</w:t>
            </w:r>
          </w:p>
        </w:tc>
        <w:tc>
          <w:tcPr/>
          <w:p>
            <w:pPr>
              <w:pStyle w:val="TableContents"/>
            </w:pPr>
            <w:r>
              <w:t>IFC Performance Standards — the eight Performance Standards on Environmental and Social Sustainability published by the International Finance Corporation, which set out requirements for managing risks related to communities, labour, biodiversity, cultural heritage, and human rights, among others.</w:t>
            </w:r>
          </w:p>
        </w:tc>
      </w:tr>
      <w:tr>
        <w:tc>
          <w:tcPr/>
          <w:p>
            <w:pPr>
              <w:pStyle w:val="TableContents"/>
            </w:pPr>
            <w:r>
              <w:t>IP</w:t>
            </w:r>
          </w:p>
        </w:tc>
        <w:tc>
          <w:tcPr/>
          <w:p>
            <w:pPr>
              <w:pStyle w:val="TableContents"/>
            </w:pPr>
            <w:r>
              <w:t>Indigenous Peoples — distinct social and cultural groups sharing collective ancestral ties to the lands and natural resources where they live, as defined under IFC Performance Standard 7 and applicable national legislation.</w:t>
            </w:r>
          </w:p>
        </w:tc>
      </w:tr>
      <w:tr>
        <w:tc>
          <w:tcPr/>
          <w:p>
            <w:pPr>
              <w:pStyle w:val="TableContents"/>
            </w:pPr>
            <w:r>
              <w:t>ICMM</w:t>
            </w:r>
          </w:p>
        </w:tc>
        <w:tc>
          <w:tcPr/>
          <w:p>
            <w:pPr>
              <w:pStyle w:val="TableContents"/>
            </w:pPr>
            <w:r>
              <w:t>International Council on Mining and Metals — an industry organisation whose principles and position statements on sustainable development, Indigenous Peoples, and community relationships guide Rio Tinto's social performance commitments.</w:t>
            </w:r>
          </w:p>
        </w:tc>
      </w:tr>
      <w:tr>
        <w:tc>
          <w:tcPr/>
          <w:p>
            <w:pPr>
              <w:pStyle w:val="TableContents"/>
            </w:pPr>
            <w:r>
              <w:t>LAA</w:t>
            </w:r>
          </w:p>
        </w:tc>
        <w:tc>
          <w:tcPr/>
          <w:p>
            <w:pPr>
              <w:pStyle w:val="TableContents"/>
            </w:pPr>
            <w:r>
              <w:t>Land Access Agreement — a legally or contractually binding agreement between the project and landholders or rightsholders that establishes the terms, conditions, compensation, and obligations associated with accessing and using land for project activities.</w:t>
            </w:r>
          </w:p>
        </w:tc>
      </w:tr>
      <w:tr>
        <w:tc>
          <w:tcPr/>
          <w:p>
            <w:pPr>
              <w:pStyle w:val="TableContents"/>
            </w:pPr>
            <w:r>
              <w:t>LIP</w:t>
            </w:r>
          </w:p>
        </w:tc>
        <w:tc>
          <w:tcPr/>
          <w:p>
            <w:pPr>
              <w:pStyle w:val="TableContents"/>
            </w:pPr>
            <w:r>
              <w:t>Local and Indigenous Participation — programmes and commitments directed at maximising employment, procurement, business development, and capacity-building opportunities for local and Indigenous community members.</w:t>
            </w:r>
          </w:p>
        </w:tc>
      </w:tr>
      <w:tr>
        <w:tc>
          <w:tcPr/>
          <w:p>
            <w:pPr>
              <w:pStyle w:val="TableContents"/>
            </w:pPr>
            <w:r>
              <w:t>RAP</w:t>
            </w:r>
          </w:p>
        </w:tc>
        <w:tc>
          <w:tcPr/>
          <w:p>
            <w:pPr>
              <w:pStyle w:val="TableContents"/>
            </w:pPr>
            <w:r>
              <w:t>Resettlement Action Plan — a document that outlines the policies, entitlements, procedures, organisational arrangements, and implementation schedule for the resettlement and compensation of persons displaced by project activities.</w:t>
            </w:r>
          </w:p>
        </w:tc>
      </w:tr>
      <w:tr>
        <w:tc>
          <w:tcPr/>
          <w:p>
            <w:pPr>
              <w:pStyle w:val="TableContents"/>
            </w:pPr>
            <w:r>
              <w:t>RTPR</w:t>
            </w:r>
          </w:p>
        </w:tc>
        <w:tc>
          <w:tcPr/>
          <w:p>
            <w:pPr>
              <w:pStyle w:val="TableContents"/>
            </w:pPr>
            <w:r>
              <w:t>Rio Tinto Projects — the owner-led project delivery function of Rio Tinto responsible for executing capital projects, and the prefix used to identify project-level HSESC management system procedures.</w:t>
            </w:r>
          </w:p>
        </w:tc>
      </w:tr>
      <w:tr>
        <w:tc>
          <w:tcPr/>
          <w:p>
            <w:pPr>
              <w:pStyle w:val="TableContents"/>
            </w:pPr>
            <w:r>
              <w:t>RT</w:t>
            </w:r>
          </w:p>
        </w:tc>
        <w:tc>
          <w:tcPr/>
          <w:p>
            <w:pPr>
              <w:pStyle w:val="TableContents"/>
            </w:pPr>
            <w:r>
              <w:t>Rio Tinto — the global mining and metals company whose corporate standards, policies, and frameworks govern the conduct of all operations and projects.</w:t>
            </w:r>
          </w:p>
        </w:tc>
      </w:tr>
      <w:tr>
        <w:tc>
          <w:tcPr/>
          <w:p>
            <w:pPr>
              <w:pStyle w:val="TableContents"/>
            </w:pPr>
            <w:r>
              <w:t>HSESC</w:t>
            </w:r>
          </w:p>
        </w:tc>
        <w:tc>
          <w:tcPr/>
          <w:p>
            <w:pPr>
              <w:pStyle w:val="TableContents"/>
            </w:pPr>
            <w:r>
              <w:t>Health, Safety, Environment, Security, and Communities — the integrated management discipline encompassing all aspects of worker and community wellbeing, environmental protection, physical security, and social performance on Rio Tinto projects.</w:t>
            </w:r>
          </w:p>
        </w:tc>
      </w:tr>
      <w:tr>
        <w:tc>
          <w:tcPr/>
          <w:p>
            <w:pPr>
              <w:pStyle w:val="TableContents"/>
            </w:pPr>
            <w:r>
              <w:t>CSR</w:t>
            </w:r>
          </w:p>
        </w:tc>
        <w:tc>
          <w:tcPr/>
          <w:p>
            <w:pPr>
              <w:pStyle w:val="TableContents"/>
            </w:pPr>
            <w:r>
              <w:t>Corporate Social Responsibility — the broad commitment of the project and Rio Tinto to conduct business ethically and contribute to the economic and social development of communities in which they operate.</w:t>
            </w:r>
          </w:p>
        </w:tc>
      </w:tr>
      <w:tr>
        <w:tc>
          <w:tcPr/>
          <w:p>
            <w:pPr>
              <w:pStyle w:val="TableContents"/>
            </w:pPr>
            <w:r>
              <w:t>SEP</w:t>
            </w:r>
          </w:p>
        </w:tc>
        <w:tc>
          <w:tcPr/>
          <w:p>
            <w:pPr>
              <w:pStyle w:val="TableContents"/>
            </w:pPr>
            <w:r>
              <w:t>Stakeholder Engagement Plan — a documented plan that identifies project stakeholders, describes the methods and schedule for consultation and disclosure, and outlines how stakeholder concerns will be tracked and responded to.</w:t>
            </w:r>
          </w:p>
        </w:tc>
      </w:tr>
      <w:tr>
        <w:tc>
          <w:tcPr/>
          <w:p>
            <w:pPr>
              <w:pStyle w:val="TableContents"/>
            </w:pPr>
            <w:r>
              <w:t>UNDRIP</w:t>
            </w:r>
          </w:p>
        </w:tc>
        <w:tc>
          <w:tcPr/>
          <w:p>
            <w:pPr>
              <w:pStyle w:val="TableContents"/>
            </w:pPr>
            <w:r>
              <w:t>United Nations Declaration on the Rights of Indigenous Peoples — the international instrument adopted by the UN General Assembly in 2007 that establishes minimum standards for the survival, dignity, and well-being of Indigenous Peoples, including rights to land, culture, and self-determination.</w:t>
            </w:r>
          </w:p>
        </w:tc>
      </w:tr>
      <w:tr>
        <w:tc>
          <w:tcPr/>
          <w:p>
            <w:pPr>
              <w:pStyle w:val="TableContents"/>
            </w:pPr>
            <w:r>
              <w:t>VPSHR</w:t>
            </w:r>
          </w:p>
        </w:tc>
        <w:tc>
          <w:tcPr/>
          <w:p>
            <w:pPr>
              <w:pStyle w:val="TableContents"/>
            </w:pPr>
            <w:r>
              <w:t>Voluntary Principles on Security and Human Rights — a multi-stakeholder initiative providing guidance to extractive companies on maintaining the safety and security of their operations in a manner that respects human rights.</w:t>
            </w:r>
          </w:p>
        </w:tc>
      </w:tr>
      <w:tr>
        <w:tc>
          <w:tcPr/>
          <w:p>
            <w:pPr>
              <w:pStyle w:val="TableContents"/>
            </w:pPr>
            <w:r>
              <w:t>PMT</w:t>
            </w:r>
          </w:p>
        </w:tc>
        <w:tc>
          <w:tcPr/>
          <w:p>
            <w:pPr>
              <w:pStyle w:val="TableContents"/>
            </w:pPr>
            <w:r>
              <w:t>Project Management Team — the group of Rio Tinto employees and secondees responsible for directing and overseeing the delivery of a capital project, including accountability for social performance outcomes.</w:t>
            </w:r>
          </w:p>
        </w:tc>
      </w:tr>
      <w:tr>
        <w:tc>
          <w:tcPr/>
          <w:p>
            <w:pPr>
              <w:pStyle w:val="TableContents"/>
            </w:pPr>
            <w:r>
              <w:t>HSE</w:t>
            </w:r>
          </w:p>
        </w:tc>
        <w:tc>
          <w:tcPr/>
          <w:p>
            <w:pPr>
              <w:pStyle w:val="TableContents"/>
            </w:pPr>
            <w:r>
              <w:t>Health, Safety and Environment — the functional discipline within Rio Tinto Projects responsible for setting and assuring compliance with health, safety, and environmental standards across project activities.</w:t>
            </w:r>
          </w:p>
        </w:tc>
      </w:tr>
      <w:tr>
        <w:tc>
          <w:tcPr/>
          <w:p>
            <w:pPr>
              <w:pStyle w:val="TableContents"/>
            </w:pPr>
            <w:r>
              <w:t>KPI</w:t>
            </w:r>
          </w:p>
        </w:tc>
        <w:tc>
          <w:tcPr/>
          <w:p>
            <w:pPr>
              <w:pStyle w:val="TableContents"/>
            </w:pPr>
            <w:r>
              <w:t>Key Performance Indicator — a measurable value used to evaluate the effectiveness of social performance activities, engagement commitments, and community investment programmes against defined targets.</w:t>
            </w:r>
          </w:p>
        </w:tc>
      </w:tr>
      <w:tr>
        <w:tc>
          <w:tcPr/>
          <w:p>
            <w:pPr>
              <w:pStyle w:val="TableContents"/>
            </w:pPr>
            <w:r>
              <w:t>NCR</w:t>
            </w:r>
          </w:p>
        </w:tc>
        <w:tc>
          <w:tcPr/>
          <w:p>
            <w:pPr>
              <w:pStyle w:val="TableContents"/>
            </w:pPr>
            <w:r>
              <w:t>Non-Conformance Report — a formal record raised when project activities, contractor behaviours, or management system implementation deviate from specified requirements, including those established in this procedure.</w:t>
            </w:r>
          </w:p>
        </w:tc>
      </w:tr>
      <w:tr>
        <w:tc>
          <w:tcPr/>
          <w:p>
            <w:pPr>
              <w:pStyle w:val="TableContents"/>
            </w:pPr>
            <w:r>
              <w:t>WHS</w:t>
            </w:r>
          </w:p>
        </w:tc>
        <w:tc>
          <w:tcPr/>
          <w:p>
            <w:pPr>
              <w:pStyle w:val="TableContents"/>
            </w:pPr>
            <w:r>
              <w:t>Work Health and Safety — the regulatory and management framework governing the health and safety of workers, contractors, and persons affected by project work activities, as established under applicable national and state legislation.</w:t>
            </w:r>
          </w:p>
        </w:tc>
      </w:tr>
      <w:tr>
        <w:tc>
          <w:tcPr/>
          <w:p>
            <w:pPr>
              <w:pStyle w:val="TableContents"/>
            </w:pPr>
            <w:r>
              <w:t>MACA</w:t>
            </w:r>
          </w:p>
        </w:tc>
        <w:tc>
          <w:tcPr/>
          <w:p>
            <w:pPr>
              <w:pStyle w:val="TableContents"/>
            </w:pPr>
            <w:r>
              <w:t>Minerals and Energy (Common Provisions) Act — Western Australian legislation that, together with the Native Title Act, governs the process for obtaining land access rights and negotiating with native title holders in Western Australia.</w:t>
            </w:r>
          </w:p>
        </w:tc>
      </w:tr>
      <w:tr>
        <w:tc>
          <w:tcPr/>
          <w:p>
            <w:pPr>
              <w:pStyle w:val="TableContents"/>
            </w:pPr>
            <w:r>
              <w:t>NTA</w:t>
            </w:r>
          </w:p>
        </w:tc>
        <w:tc>
          <w:tcPr/>
          <w:p>
            <w:pPr>
              <w:pStyle w:val="TableContents"/>
            </w:pPr>
            <w:r>
              <w:t>Native Title Act — the Native Title Act 1993 (Cth), the Australian federal legislation that recognises and protects native title rights and interests, and prescribes the future act regime that governs how projects must engage with native title holders.</w:t>
            </w:r>
          </w:p>
        </w:tc>
      </w:tr>
      <w:tr>
        <w:tc>
          <w:tcPr/>
          <w:p>
            <w:pPr>
              <w:pStyle w:val="TableContents"/>
            </w:pPr>
            <w:r>
              <w:t>ILUA</w:t>
            </w:r>
          </w:p>
        </w:tc>
        <w:tc>
          <w:tcPr/>
          <w:p>
            <w:pPr>
              <w:pStyle w:val="TableContents"/>
            </w:pPr>
            <w:r>
              <w:t>Indigenous Land Use Agreement — a voluntary agreement made under the Native Title Act between native title groups and others about the use and management of land and waters, providing agreed terms for project access and activities.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14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Security Management Procedure</w:t>
            </w:r>
          </w:p>
        </w:tc>
        <w:tc>
          <w:tcPr/>
          <w:p>
            <w:pPr>
              <w:pStyle w:val="TableContents"/>
            </w:pPr>
            <w:r>
              <w:t>RTPR-HSE-PRO-0033</w:t>
            </w:r>
          </w:p>
        </w:tc>
        <w:tc>
          <w:tcPr/>
          <w:p>
            <w:pPr>
              <w:pStyle w:val="TableContents"/>
            </w:pPr>
            <w:r>
              <w:t>Internal procedure</w:t>
            </w:r>
          </w:p>
        </w:tc>
      </w:tr>
      <w:tr>
        <w:tc>
          <w:tcPr/>
          <w:p>
            <w:pPr>
              <w:pStyle w:val="TableContents"/>
            </w:pPr>
            <w:r>
              <w:t>Land Disturbance Procedure</w:t>
            </w:r>
          </w:p>
        </w:tc>
        <w:tc>
          <w:tcPr/>
          <w:p>
            <w:pPr>
              <w:pStyle w:val="TableContents"/>
            </w:pPr>
            <w:r>
              <w:t>RTPR-HSE-PRO-0037</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Social and Human Rights Risk (C-1)</w:t>
            </w:r>
          </w:p>
        </w:tc>
        <w:tc>
          <w:tcPr/>
          <w:p>
            <w:pPr>
              <w:pStyle w:val="TableContents"/>
            </w:pPr>
            <w:r>
              <w:t>RT Risk Management Standard Appendix C C-1</w:t>
            </w:r>
          </w:p>
        </w:tc>
        <w:tc>
          <w:tcPr/>
          <w:p>
            <w:pPr>
              <w:pStyle w:val="TableContents"/>
            </w:pPr>
            <w:r>
              <w:t>External RT</w:t>
            </w:r>
          </w:p>
        </w:tc>
      </w:tr>
      <w:tr>
        <w:tc>
          <w:tcPr/>
          <w:p>
            <w:pPr>
              <w:pStyle w:val="TableContents"/>
            </w:pPr>
            <w:r>
              <w:t>Rio Tinto Communities Standard</w:t>
            </w:r>
          </w:p>
        </w:tc>
        <w:tc>
          <w:tcPr/>
          <w:p>
            <w:pPr>
              <w:pStyle w:val="TableContents"/>
            </w:pPr>
            <w:r>
              <w:t>RT Communities Standard</w:t>
            </w:r>
          </w:p>
        </w:tc>
        <w:tc>
          <w:tcPr/>
          <w:p>
            <w:pPr>
              <w:pStyle w:val="TableContents"/>
            </w:pPr>
            <w:r>
              <w:t>External RT</w:t>
            </w:r>
          </w:p>
        </w:tc>
      </w:tr>
      <w:tr>
        <w:tc>
          <w:tcPr/>
          <w:p>
            <w:pPr>
              <w:pStyle w:val="TableContents"/>
            </w:pPr>
            <w:r>
              <w:t>Rio Tinto Human Rights Policy</w:t>
            </w:r>
          </w:p>
        </w:tc>
        <w:tc>
          <w:tcPr/>
          <w:p>
            <w:pPr>
              <w:pStyle w:val="TableContents"/>
            </w:pPr>
            <w:r>
              <w:t>RT Human Rights Policy</w:t>
            </w:r>
          </w:p>
        </w:tc>
        <w:tc>
          <w:tcPr/>
          <w:p>
            <w:pPr>
              <w:pStyle w:val="TableContents"/>
            </w:pPr>
            <w:r>
              <w:t>External RT</w:t>
            </w:r>
          </w:p>
        </w:tc>
      </w:tr>
      <w:tr>
        <w:tc>
          <w:tcPr/>
          <w:p>
            <w:pPr>
              <w:pStyle w:val="TableContents"/>
            </w:pPr>
            <w:r>
              <w:t>Rio Tinto Cultural Heritage Policy</w:t>
            </w:r>
          </w:p>
        </w:tc>
        <w:tc>
          <w:tcPr/>
          <w:p>
            <w:pPr>
              <w:pStyle w:val="TableContents"/>
            </w:pPr>
            <w:r>
              <w:t>RT Cultural Heritage Policy</w:t>
            </w:r>
          </w:p>
        </w:tc>
        <w:tc>
          <w:tcPr/>
          <w:p>
            <w:pPr>
              <w:pStyle w:val="TableContents"/>
            </w:pPr>
            <w:r>
              <w:t>External RT</w:t>
            </w:r>
          </w:p>
        </w:tc>
      </w:tr>
      <w:tr>
        <w:tc>
          <w:tcPr/>
          <w:p>
            <w:pPr>
              <w:pStyle w:val="TableContents"/>
            </w:pPr>
            <w:r>
              <w:t>Rio Tinto Security and Human Rights Standard</w:t>
            </w:r>
          </w:p>
        </w:tc>
        <w:tc>
          <w:tcPr/>
          <w:p>
            <w:pPr>
              <w:pStyle w:val="TableContents"/>
            </w:pPr>
            <w:r>
              <w:t>RT Security and Human Rights Standard</w:t>
            </w:r>
          </w:p>
        </w:tc>
        <w:tc>
          <w:tcPr/>
          <w:p>
            <w:pPr>
              <w:pStyle w:val="TableContents"/>
            </w:pPr>
            <w:r>
              <w:t>External RT</w:t>
            </w:r>
          </w:p>
        </w:tc>
      </w:tr>
      <w:tr>
        <w:tc>
          <w:tcPr/>
          <w:p>
            <w:pPr>
              <w:pStyle w:val="TableContents"/>
            </w:pPr>
            <w:r>
              <w:t>Rio Tinto Indigenous Peoples Policy</w:t>
            </w:r>
          </w:p>
        </w:tc>
        <w:tc>
          <w:tcPr/>
          <w:p>
            <w:pPr>
              <w:pStyle w:val="TableContents"/>
            </w:pPr>
            <w:r>
              <w:t>RT Indigenous Peoples Policy</w:t>
            </w:r>
          </w:p>
        </w:tc>
        <w:tc>
          <w:tcPr/>
          <w:p>
            <w:pPr>
              <w:pStyle w:val="TableContents"/>
            </w:pPr>
            <w:r>
              <w:t>External RT</w:t>
            </w:r>
          </w:p>
        </w:tc>
      </w:tr>
      <w:tr>
        <w:tc>
          <w:tcPr/>
          <w:p>
            <w:pPr>
              <w:pStyle w:val="TableContents"/>
            </w:pPr>
            <w:r>
              <w:t>Rio Tinto Resettlement Standard</w:t>
            </w:r>
          </w:p>
        </w:tc>
        <w:tc>
          <w:tcPr/>
          <w:p>
            <w:pPr>
              <w:pStyle w:val="TableContents"/>
            </w:pPr>
            <w:r>
              <w:t>RT Resettlement Standard</w:t>
            </w:r>
          </w:p>
        </w:tc>
        <w:tc>
          <w:tcPr/>
          <w:p>
            <w:pPr>
              <w:pStyle w:val="TableContents"/>
            </w:pPr>
            <w:r>
              <w:t>External RT</w:t>
            </w:r>
          </w:p>
        </w:tc>
      </w:tr>
      <w:tr>
        <w:tc>
          <w:tcPr/>
          <w:p>
            <w:pPr>
              <w:pStyle w:val="TableContents"/>
            </w:pPr>
            <w:r>
              <w:t>IFC Performance Standards on Environmental and Social Sustainability</w:t>
            </w:r>
          </w:p>
        </w:tc>
        <w:tc>
          <w:tcPr/>
          <w:p>
            <w:pPr>
              <w:pStyle w:val="TableContents"/>
            </w:pPr>
            <w:r>
              <w:t>IFC Performance Standards (2012)</w:t>
            </w:r>
          </w:p>
        </w:tc>
        <w:tc>
          <w:tcPr/>
          <w:p>
            <w:pPr>
              <w:pStyle w:val="TableContents"/>
            </w:pPr>
            <w:r>
              <w:t>External framework</w:t>
            </w:r>
          </w:p>
        </w:tc>
      </w:tr>
      <w:tr>
        <w:tc>
          <w:tcPr/>
          <w:p>
            <w:pPr>
              <w:pStyle w:val="TableContents"/>
            </w:pPr>
            <w:r>
              <w:t>IFC Performance Standard 1 — Assessment and Management of Environmental and Social Risks and Impacts</w:t>
            </w:r>
          </w:p>
        </w:tc>
        <w:tc>
          <w:tcPr/>
          <w:p>
            <w:pPr>
              <w:pStyle w:val="TableContents"/>
            </w:pPr>
            <w:r>
              <w:t>IFC PS1 (2012)</w:t>
            </w:r>
          </w:p>
        </w:tc>
        <w:tc>
          <w:tcPr/>
          <w:p>
            <w:pPr>
              <w:pStyle w:val="TableContents"/>
            </w:pPr>
            <w:r>
              <w:t>External framework</w:t>
            </w:r>
          </w:p>
        </w:tc>
      </w:tr>
      <w:tr>
        <w:tc>
          <w:tcPr/>
          <w:p>
            <w:pPr>
              <w:pStyle w:val="TableContents"/>
            </w:pPr>
            <w:r>
              <w:t>IFC Performance Standard 4 — Community Health, Safety and Security</w:t>
            </w:r>
          </w:p>
        </w:tc>
        <w:tc>
          <w:tcPr/>
          <w:p>
            <w:pPr>
              <w:pStyle w:val="TableContents"/>
            </w:pPr>
            <w:r>
              <w:t>IFC PS4 (2012)</w:t>
            </w:r>
          </w:p>
        </w:tc>
        <w:tc>
          <w:tcPr/>
          <w:p>
            <w:pPr>
              <w:pStyle w:val="TableContents"/>
            </w:pPr>
            <w:r>
              <w:t>External framework</w:t>
            </w:r>
          </w:p>
        </w:tc>
      </w:tr>
      <w:tr>
        <w:tc>
          <w:tcPr/>
          <w:p>
            <w:pPr>
              <w:pStyle w:val="TableContents"/>
            </w:pPr>
            <w:r>
              <w:t>IFC Performance Standard 5 — Land Acquisition and Involuntary Resettlement</w:t>
            </w:r>
          </w:p>
        </w:tc>
        <w:tc>
          <w:tcPr/>
          <w:p>
            <w:pPr>
              <w:pStyle w:val="TableContents"/>
            </w:pPr>
            <w:r>
              <w:t>IFC PS5 (2012)</w:t>
            </w:r>
          </w:p>
        </w:tc>
        <w:tc>
          <w:tcPr/>
          <w:p>
            <w:pPr>
              <w:pStyle w:val="TableContents"/>
            </w:pPr>
            <w:r>
              <w:t>External framework</w:t>
            </w:r>
          </w:p>
        </w:tc>
      </w:tr>
      <w:tr>
        <w:tc>
          <w:tcPr/>
          <w:p>
            <w:pPr>
              <w:pStyle w:val="TableContents"/>
            </w:pPr>
            <w:r>
              <w:t>IFC Performance Standard 7 — Indigenous Peoples</w:t>
            </w:r>
          </w:p>
        </w:tc>
        <w:tc>
          <w:tcPr/>
          <w:p>
            <w:pPr>
              <w:pStyle w:val="TableContents"/>
            </w:pPr>
            <w:r>
              <w:t>IFC PS7 (2012)</w:t>
            </w:r>
          </w:p>
        </w:tc>
        <w:tc>
          <w:tcPr/>
          <w:p>
            <w:pPr>
              <w:pStyle w:val="TableContents"/>
            </w:pPr>
            <w:r>
              <w:t>External framework</w:t>
            </w:r>
          </w:p>
        </w:tc>
      </w:tr>
      <w:tr>
        <w:tc>
          <w:tcPr/>
          <w:p>
            <w:pPr>
              <w:pStyle w:val="TableContents"/>
            </w:pPr>
            <w:r>
              <w:t>IFC Performance Standard 8 — Cultural Heritage</w:t>
            </w:r>
          </w:p>
        </w:tc>
        <w:tc>
          <w:tcPr/>
          <w:p>
            <w:pPr>
              <w:pStyle w:val="TableContents"/>
            </w:pPr>
            <w:r>
              <w:t>IFC PS8 (2012)</w:t>
            </w:r>
          </w:p>
        </w:tc>
        <w:tc>
          <w:tcPr/>
          <w:p>
            <w:pPr>
              <w:pStyle w:val="TableContents"/>
            </w:pPr>
            <w:r>
              <w:t>External framework</w:t>
            </w:r>
          </w:p>
        </w:tc>
      </w:tr>
      <w:tr>
        <w:tc>
          <w:tcPr/>
          <w:p>
            <w:pPr>
              <w:pStyle w:val="TableContents"/>
            </w:pPr>
            <w:r>
              <w:t>United Nations Guiding Principles on Business and Human Rights</w:t>
            </w:r>
          </w:p>
        </w:tc>
        <w:tc>
          <w:tcPr/>
          <w:p>
            <w:pPr>
              <w:pStyle w:val="TableContents"/>
            </w:pPr>
            <w:r>
              <w:t>UNGP (2011)</w:t>
            </w:r>
          </w:p>
        </w:tc>
        <w:tc>
          <w:tcPr/>
          <w:p>
            <w:pPr>
              <w:pStyle w:val="TableContents"/>
            </w:pPr>
            <w:r>
              <w:t>External framework</w:t>
            </w:r>
          </w:p>
        </w:tc>
      </w:tr>
      <w:tr>
        <w:tc>
          <w:tcPr/>
          <w:p>
            <w:pPr>
              <w:pStyle w:val="TableContents"/>
            </w:pPr>
            <w:r>
              <w:t>United Nations Declaration on the Rights of Indigenous Peoples</w:t>
            </w:r>
          </w:p>
        </w:tc>
        <w:tc>
          <w:tcPr/>
          <w:p>
            <w:pPr>
              <w:pStyle w:val="TableContents"/>
            </w:pPr>
            <w:r>
              <w:t>UNDRIP (2007)</w:t>
            </w:r>
          </w:p>
        </w:tc>
        <w:tc>
          <w:tcPr/>
          <w:p>
            <w:pPr>
              <w:pStyle w:val="TableContents"/>
            </w:pPr>
            <w:r>
              <w:t>External framework</w:t>
            </w:r>
          </w:p>
        </w:tc>
      </w:tr>
      <w:tr>
        <w:tc>
          <w:tcPr/>
          <w:p>
            <w:pPr>
              <w:pStyle w:val="TableContents"/>
            </w:pPr>
            <w:r>
              <w:t>Voluntary Principles on Security and Human Rights</w:t>
            </w:r>
          </w:p>
        </w:tc>
        <w:tc>
          <w:tcPr/>
          <w:p>
            <w:pPr>
              <w:pStyle w:val="TableContents"/>
            </w:pPr>
            <w:r>
              <w:t>VPSHR (2000, as updated)</w:t>
            </w:r>
          </w:p>
        </w:tc>
        <w:tc>
          <w:tcPr/>
          <w:p>
            <w:pPr>
              <w:pStyle w:val="TableContents"/>
            </w:pPr>
            <w:r>
              <w:t>External framework</w:t>
            </w:r>
          </w:p>
        </w:tc>
      </w:tr>
      <w:tr>
        <w:tc>
          <w:tcPr/>
          <w:p>
            <w:pPr>
              <w:pStyle w:val="TableContents"/>
            </w:pPr>
            <w:r>
              <w:t>ICMM Mining Principles — Principle 9: Respect Indigenous Rights and Interests</w:t>
            </w:r>
          </w:p>
        </w:tc>
        <w:tc>
          <w:tcPr/>
          <w:p>
            <w:pPr>
              <w:pStyle w:val="TableContents"/>
            </w:pPr>
            <w:r>
              <w:t>ICMM Mining Principles (2020)</w:t>
            </w:r>
          </w:p>
        </w:tc>
        <w:tc>
          <w:tcPr/>
          <w:p>
            <w:pPr>
              <w:pStyle w:val="TableContents"/>
            </w:pPr>
            <w:r>
              <w:t>External framework</w:t>
            </w:r>
          </w:p>
        </w:tc>
      </w:tr>
      <w:tr>
        <w:tc>
          <w:tcPr/>
          <w:p>
            <w:pPr>
              <w:pStyle w:val="TableContents"/>
            </w:pPr>
            <w:r>
              <w:t>Native Title Act 1993 (Cth)</w:t>
            </w:r>
          </w:p>
        </w:tc>
        <w:tc>
          <w:tcPr/>
          <w:p>
            <w:pPr>
              <w:pStyle w:val="TableContents"/>
            </w:pPr>
            <w:r>
              <w:t>NTA 1993</w:t>
            </w:r>
          </w:p>
        </w:tc>
        <w:tc>
          <w:tcPr/>
          <w:p>
            <w:pPr>
              <w:pStyle w:val="TableContents"/>
            </w:pPr>
            <w:r>
              <w:t>External framework</w:t>
            </w:r>
          </w:p>
        </w:tc>
      </w:tr>
      <w:tr>
        <w:tc>
          <w:tcPr/>
          <w:p>
            <w:pPr>
              <w:pStyle w:val="TableContents"/>
            </w:pPr>
            <w:r>
              <w:t>Aboriginal Cultural Heritage Act 2021 (WA)</w:t>
            </w:r>
          </w:p>
        </w:tc>
        <w:tc>
          <w:tcPr/>
          <w:p>
            <w:pPr>
              <w:pStyle w:val="TableContents"/>
            </w:pPr>
            <w:r>
              <w:t>ACH Act 2021 (WA)</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15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16  Source Requirements Traceability (DELETE BEFORE ISSUE)</w:t>
      </w:r>
    </w:p>
    <w:p>
      <w:pPr>
        <w:pStyle w:val="Heading2Numbered"/>
      </w:pPr>
      <w:r>
        <w:t>16.1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C-5 §101.1.1</w:t>
            </w:r>
          </w:p>
        </w:tc>
        <w:tc>
          <w:tcPr/>
          <w:p>
            <w:pPr>
              <w:pStyle w:val="TableContents"/>
            </w:pPr>
            <w:r>
              <w:t>Requires development and maintenance of an understanding of the host community and socio-economic context to inform the CSP Management Plan and all community-facing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§101.1.2</w:t>
            </w:r>
          </w:p>
        </w:tc>
        <w:tc>
          <w:tcPr/>
          <w:p>
            <w:pPr>
              <w:pStyle w:val="TableContents"/>
            </w:pPr>
            <w:r>
              <w:t>Requires implementation of processes and systems to identify, manage, monitor, and report on social and human rights risks, impacts, and opportunities associated with the Works.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§101.1.3</w:t>
            </w:r>
          </w:p>
        </w:tc>
        <w:tc>
          <w:tcPr/>
          <w:p>
            <w:pPr>
              <w:pStyle w:val="TableContents"/>
            </w:pPr>
            <w:r>
              <w:t>Requires appropriate mitigations to manage material risks and impacts caused by or directly linked to the Works, tracked and reported to the Company at agreed intervals.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§101.2.1</w:t>
            </w:r>
          </w:p>
        </w:tc>
        <w:tc>
          <w:tcPr/>
          <w:p>
            <w:pPr>
              <w:pStyle w:val="TableContents"/>
            </w:pPr>
            <w:r>
              <w:t>Requires that the Contractor does not engage with the media under any circumstances and forwards all media requests directly to the Company.</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§101.2.2</w:t>
            </w:r>
          </w:p>
        </w:tc>
        <w:tc>
          <w:tcPr/>
          <w:p>
            <w:pPr>
              <w:pStyle w:val="TableContents"/>
            </w:pPr>
            <w:r>
              <w:t>Prohibits disclosure of project-related information to third parties or direct engagement with external stakeholders without prior Company approval.</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§101.2.3</w:t>
            </w:r>
          </w:p>
        </w:tc>
        <w:tc>
          <w:tcPr/>
          <w:p>
            <w:pPr>
              <w:pStyle w:val="TableContents"/>
            </w:pPr>
            <w:r>
              <w:t>Requires that all approaches by external stakeholders are captured in a register and communicated to the Company, recording the date, nature of approach, and referral action taken.</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§101.2.4</w:t>
            </w:r>
          </w:p>
        </w:tc>
        <w:tc>
          <w:tcPr/>
          <w:p>
            <w:pPr>
              <w:pStyle w:val="TableContents"/>
            </w:pPr>
            <w:r>
              <w:t>Prohibits verbal or written commitments to local communities or authorities without prior consultation with and approval from the Company.</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§101.2.6</w:t>
            </w:r>
          </w:p>
        </w:tc>
        <w:tc>
          <w:tcPr/>
          <w:p>
            <w:pPr>
              <w:pStyle w:val="TableContents"/>
            </w:pPr>
            <w:r>
              <w:t>Requires a clear social media protocol that forbids disclosure of sensitive or confidential project information by all Contractor personnel and subcontractors.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§101.3.1</w:t>
            </w:r>
          </w:p>
        </w:tc>
        <w:tc>
          <w:tcPr/>
          <w:p>
            <w:pPr>
              <w:pStyle w:val="TableContents"/>
            </w:pPr>
            <w:r>
              <w:t>Requires that all Works are limited to the project area the Company has authorised in writing, prohibiting work outside authorised areas.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§101.3.3</w:t>
            </w:r>
          </w:p>
        </w:tc>
        <w:tc>
          <w:tcPr/>
          <w:p>
            <w:pPr>
              <w:pStyle w:val="TableContents"/>
            </w:pPr>
            <w:r>
              <w:t>Requires a formal written request to the Company before any work outside the project area commences, including rationale, alternatives considered, and risks and impacts identified.</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§101.3.5</w:t>
            </w:r>
          </w:p>
        </w:tc>
        <w:tc>
          <w:tcPr/>
          <w:p>
            <w:pPr>
              <w:pStyle w:val="TableContents"/>
            </w:pPr>
            <w:r>
              <w:t>Prohibits independent voluntary or compulsory land acquisition, compensation, or resettlement by the Contractor without written Company consent.</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§101.3.7</w:t>
            </w:r>
          </w:p>
        </w:tc>
        <w:tc>
          <w:tcPr/>
          <w:p>
            <w:pPr>
              <w:pStyle w:val="TableContents"/>
            </w:pPr>
            <w:r>
              <w:t>Requires that communities retain safe access to their lands and assets during the Works, with any proposed change to community access approved by the Company and communicated to affected communities in advance.</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§101.4.2</w:t>
            </w:r>
          </w:p>
        </w:tc>
        <w:tc>
          <w:tcPr/>
          <w:p>
            <w:pPr>
              <w:pStyle w:val="TableContents"/>
            </w:pPr>
            <w:r>
              <w:t>Requires an assessment of potential community health, safety, and security risks arising from the Works, covering traffic exposure, dust and noise impacts, access restrictions, and other community hazards.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§101.4.4</w:t>
            </w:r>
          </w:p>
        </w:tc>
        <w:tc>
          <w:tcPr/>
          <w:p>
            <w:pPr>
              <w:pStyle w:val="TableContents"/>
            </w:pPr>
            <w:r>
              <w:t>Requires identification of emergency event scenarios that may impact host communities and emergency response planning in coordination with local disaster response entities.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§101.5.1</w:t>
            </w:r>
          </w:p>
        </w:tc>
        <w:tc>
          <w:tcPr/>
          <w:p>
            <w:pPr>
              <w:pStyle w:val="TableContents"/>
            </w:pPr>
            <w:r>
              <w:t>Requires immediate reporting to the Company of any unplanned social impacts or incidents arising from the Works, including grievances or conflicts involving community members.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§101.5.2</w:t>
            </w:r>
          </w:p>
        </w:tc>
        <w:tc>
          <w:tcPr/>
          <w:p>
            <w:pPr>
              <w:pStyle w:val="TableContents"/>
            </w:pPr>
            <w:r>
              <w:t>Requires reporting of all grievances received to the Company in line with incident reporting timing requirements, on approved Company templates, with records retained and available for review.</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§101.6.1</w:t>
            </w:r>
          </w:p>
        </w:tc>
        <w:tc>
          <w:tcPr/>
          <w:p>
            <w:pPr>
              <w:pStyle w:val="TableContents"/>
            </w:pPr>
            <w:r>
              <w:t>Requires compliance with the Company Supplier Code of Conduct and applicable modern slavery laws, including active steps to identify and address modern slavery risks in operations and supply chains.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§101.6.2</w:t>
            </w:r>
          </w:p>
        </w:tc>
        <w:tc>
          <w:tcPr/>
          <w:p>
            <w:pPr>
              <w:pStyle w:val="TableContents"/>
            </w:pPr>
            <w:r>
              <w:t>Requires respect for human rights and reasonable steps to prevent involvement in abuses of internationally recognised human rights, in accordance with the UN Guiding Principles on Business and Human Rights.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§101.6.4</w:t>
            </w:r>
          </w:p>
        </w:tc>
        <w:tc>
          <w:tcPr/>
          <w:p>
            <w:pPr>
              <w:pStyle w:val="TableContents"/>
            </w:pPr>
            <w:r>
              <w:t>Requires provision for or cooperation in remediation for any adverse human rights impacts the Contractor is deemed to have caused or contributed to, in line with the UN Guiding Principles on Business and Human Rights.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§101.7.1</w:t>
            </w:r>
          </w:p>
        </w:tc>
        <w:tc>
          <w:tcPr/>
          <w:p>
            <w:pPr>
              <w:pStyle w:val="TableContents"/>
            </w:pPr>
            <w:r>
              <w:t>Requires operation within the bounds of Company-provided cultural heritage management plans, prohibiting works in areas of cultural heritage significance without written Company authorisation.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§101.7.3</w:t>
            </w:r>
          </w:p>
        </w:tc>
        <w:tc>
          <w:tcPr/>
          <w:p>
            <w:pPr>
              <w:pStyle w:val="TableContents"/>
            </w:pPr>
            <w:r>
              <w:t>Requires provision of cultural heritage training to all personnel, subcontractors, and visitors to prevent harm to cultural values, heritage sites, and community relationships.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§101.7.6</w:t>
            </w:r>
          </w:p>
        </w:tc>
        <w:tc>
          <w:tcPr/>
          <w:p>
            <w:pPr>
              <w:pStyle w:val="TableContents"/>
            </w:pPr>
            <w:r>
              <w:t>Requires adherence to the Company Chance Find Procedure, with regular communication of the procedure to all personnel and training before any ground disturbance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§101.7.7</w:t>
            </w:r>
          </w:p>
        </w:tc>
        <w:tc>
          <w:tcPr/>
          <w:p>
            <w:pPr>
              <w:pStyle w:val="TableContents"/>
            </w:pPr>
            <w:r>
              <w:t>Requires immediate work stoppage and Company notification upon locating any item of potential cultural significance including artefacts, fossils, or items of archaeological interest.</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§101.9.1</w:t>
            </w:r>
          </w:p>
        </w:tc>
        <w:tc>
          <w:tcPr/>
          <w:p>
            <w:pPr>
              <w:pStyle w:val="TableContents"/>
            </w:pPr>
            <w:r>
              <w:t>Requires development and implementation of a proactive policy for local and Indigenous participation opportunities, included in the CSP Management Plan and submitted to the Company before mobilisation.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§101.9.2</w:t>
            </w:r>
          </w:p>
        </w:tc>
        <w:tc>
          <w:tcPr/>
          <w:p>
            <w:pPr>
              <w:pStyle w:val="TableContents"/>
            </w:pPr>
            <w:r>
              <w:t>Requires setting of measurable targets for local and Indigenous participation in employment, training, and procurement, agreed with the Company and reported at agreed intervals.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§101.9.5</w:t>
            </w:r>
          </w:p>
        </w:tc>
        <w:tc>
          <w:tcPr/>
          <w:p>
            <w:pPr>
              <w:pStyle w:val="TableContents"/>
            </w:pPr>
            <w:r>
              <w:t>Requires tracking and reporting of local and Indigenous participation performance data to the Company, including identification of barriers to targets and proposed remediation actions.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C-5 §101.10.1</w:t>
            </w:r>
          </w:p>
        </w:tc>
        <w:tc>
          <w:tcPr/>
          <w:p>
            <w:pPr>
              <w:pStyle w:val="TableContents"/>
            </w:pPr>
            <w:r>
              <w:t>Prohibits independent donations, sponsorships, or community programmes from being committed to or initiated without prior Company approval.</w:t>
            </w:r>
          </w:p>
        </w:tc>
        <w:tc>
          <w:tcPr/>
          <w:p>
            <w:pPr>
              <w:pStyle w:val="TableContents"/>
            </w:pPr>
            <w:r>
              <w:t>Full</w:t>
            </w:r>
          </w:p>
        </w:tc>
      </w:tr>
    </w:tbl>
    <w:p>
      <w:pPr>
        <w:pStyle w:val="Default"/>
      </w:pPr>
    </w:p>
    <w:p>
      <w:pPr>
        <w:pStyle w:val="Heading2Numbered"/>
      </w:pPr>
      <w:r>
        <w:t>16.2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