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Personal Protective Equipment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Personal Protective Equipment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the minimum PPE requirements for all project personnel and the process for selecting, providing, inspecting, maintaining, and replacing PPE. PPE is the last line of defence in the hierarchy of controls and must only be used in combination with higher-order controls.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personal protective equipment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PPE requirements it establishes, and the project lifecycle phases and personnel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all project personnel.</w:t>
      </w:r>
    </w:p>
    <w:p>
      <w:pPr>
        <w:pStyle w:val="NormalNumberedtext"/>
      </w:pPr>
      <w:r>
        <w:t>This procedure meets the following purpose requirements:</w:t>
      </w:r>
    </w:p>
    <w:p>
      <w:pPr>
        <w:pStyle w:val="NormalNumberedtext"/>
      </w:pPr>
      <w:r>
        <w:t>This procedure establishes the minimum PPE requirements for all personnel on the project, defines the PPE selection process by hazard type, and sets out inspection, maintenance, replacement, and training requirements. It applies across all project phases from Execution through to Handover and governs:</w:t>
      </w:r>
    </w:p>
    <w:p>
      <w:pPr>
        <w:pStyle w:val="NumberedBulletL1"/>
      </w:pPr>
      <w:r>
        <w:t>Rio Tinto staff and all contractor and subcontractor organisations working on the project.</w:t>
      </w:r>
    </w:p>
    <w:p>
      <w:pPr>
        <w:pStyle w:val="NumberedBulletL1"/>
      </w:pPr>
      <w:r>
        <w:t>All work locations, work areas, and designated zones within the project boundary.</w:t>
      </w:r>
    </w:p>
    <w:p>
      <w:pPr>
        <w:pStyle w:val="NumberedBulletL1"/>
      </w:pPr>
      <w:r>
        <w:t>All PPE types from site-wide minimum standards through to specialist PPE for high-risk activities.</w:t>
      </w:r>
    </w:p>
    <w:p>
      <w:pPr>
        <w:pStyle w:val="NormalNumberedtext"/>
      </w:pPr>
      <w:r>
        <w:t>PPE is the last resort in the hierarchy of controls and is applied after all higher-order controls have been considered and implemented to the extent practicable. The control hierarchy and the role of PPE within it are governed by the Risk Management Procedure,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PPE activities and personnel are governed by this document and how it connects to related project procedures.</w:t>
      </w:r>
    </w:p>
    <w:p>
      <w:pPr>
        <w:pStyle w:val="NormalNumberedtext"/>
      </w:pPr>
      <w:r>
        <w:t>This procedure applies the following scope requirements:</w:t>
      </w:r>
    </w:p>
    <w:p>
      <w:pPr>
        <w:pStyle w:val="NormalNumberedtext"/>
      </w:pPr>
      <w:r>
        <w:t>This procedure governs PPE requirements across all project work activities and work areas. The following activities are governed by dedicated procedures that specify additional PPE requirements, cross-referenced here and not repeated:</w:t>
      </w:r>
    </w:p>
    <w:p>
      <w:pPr>
        <w:pStyle w:val="NumberedBulletL1"/>
      </w:pPr>
      <w:r>
        <w:t>Fall protection equipment selection and use - refer [INSERT: Project Document Number], Working at Height.</w:t>
      </w:r>
    </w:p>
    <w:p>
      <w:pPr>
        <w:pStyle w:val="NumberedBulletL1"/>
      </w:pPr>
      <w:r>
        <w:t>Hearing protection selection for noise-exposed work - refer [INSERT: Project Document Number], Noise.</w:t>
      </w:r>
    </w:p>
    <w:p>
      <w:pPr>
        <w:pStyle w:val="NumberedBulletL1"/>
      </w:pPr>
      <w:r>
        <w:t>Arc flash PPE requirements and selection - refer [INSERT: Project Document Number], Electrical Safety.</w:t>
      </w:r>
    </w:p>
    <w:p>
      <w:pPr>
        <w:pStyle w:val="NumberedBulletL1"/>
      </w:pPr>
      <w:r>
        <w:t>Chemical-resistant PPE for hazardous substance handling - refer [INSERT: Project Document Number], Chemicals.</w:t>
      </w:r>
    </w:p>
    <w:p>
      <w:pPr>
        <w:pStyle w:val="NormalNumberedtext"/>
      </w:pPr>
    </w:p>
    <w:p>
      <w:pPr>
        <w:pStyle w:val="Heading1Numbered"/>
        <w:numPr>
          <w:ilvl w:val="0"/>
          <w:numId w:val="1"/>
        </w:numPr>
      </w:pPr>
      <w:r>
        <w:rPr>
          <w:rFonts w:ascii="Arial" w:hAnsi="Arial" w:cs="Arial" w:eastAsia="Arial"/>
        </w:rPr>
        <w:t>Minimum PPE Requirements</w:t>
      </w:r>
    </w:p>
    <w:p>
      <w:pPr>
        <w:pStyle w:val="NormalNumberedtext"/>
      </w:pPr>
      <w:r>
        <w:t>This section defines the site-wide minimum PPE standard that applies to all personnel at all times within the project boundary, regardless of task or role.</w:t>
      </w:r>
    </w:p>
    <w:p>
      <w:pPr>
        <w:pStyle w:val="NormalNumberedtext"/>
      </w:pPr>
    </w:p>
    <w:p>
      <w:pPr>
        <w:pStyle w:val="Heading2Numbered"/>
        <w:numPr>
          <w:ilvl w:val="1"/>
          <w:numId w:val="1"/>
        </w:numPr>
      </w:pPr>
      <w:r>
        <w:rPr>
          <w:rFonts w:ascii="Arial" w:hAnsi="Arial" w:cs="Arial" w:eastAsia="Arial"/>
        </w:rPr>
        <w:t>Site-Wide Minimum PPE Standard</w:t>
      </w:r>
    </w:p>
    <w:p>
      <w:pPr>
        <w:pStyle w:val="NormalNumberedtext"/>
      </w:pPr>
      <w:r>
        <w:t>This section defines the minimum PPE that all personnel must wear at all times within the project boundary.</w:t>
      </w:r>
    </w:p>
    <w:p>
      <w:pPr>
        <w:pStyle w:val="NormalNumberedtext"/>
      </w:pPr>
      <w:r>
        <w:t>All PPE used on the project must meet or exceed Applicable Laws and industry best practices. Where Rio Tinto standards are more stringent than local legislation, the Rio Tinto standard applies. PPE requirements are appropriate for the hazards identified in the work environment and are selected to provide adequate protection for the relevant exposure scenario, consistent with IFC EHS General Guidelines §2.7.</w:t>
      </w:r>
    </w:p>
    <w:p>
      <w:pPr>
        <w:pStyle w:val="NormalNumberedtext"/>
      </w:pPr>
      <w:r>
        <w:t>The site-wide minimum PPE standard applies to all personnel at all times within the project boundary. The minimum standard is:</w:t>
      </w:r>
    </w:p>
    <w:p>
      <w:pPr>
        <w:pStyle w:val="NormalNumberedtext"/>
      </w:pPr>
      <w:r>
        <w:t>Table 1: Site-Wide Minimum PPE Standard</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PPE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Requirement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Applicable Standard or Rating</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Project-Specific Requirement</w:t>
            </w:r>
          </w:p>
        </w:tc>
      </w:tr>
      <w:tr>
        <w:tc>
          <w:tcPr>
            <w:tcW w:type="dxa" w:w="2256"/>
          </w:tcPr>
          <w:p>
            <w:pPr>
              <w:pStyle w:val="TableContents"/>
              <w:spacing w:before="0" w:after="0" w:line="240" w:lineRule="atLeast"/>
            </w:pPr>
            <w:r>
              <w:rPr>
                <w:rFonts w:ascii="Arial" w:hAnsi="Arial" w:cs="Arial" w:eastAsia="Arial"/>
                <w:sz w:val="16"/>
                <w:szCs w:val="16"/>
              </w:rPr>
              <w:t>Head protection</w:t>
            </w:r>
          </w:p>
        </w:tc>
        <w:tc>
          <w:tcPr>
            <w:tcW w:type="dxa" w:w="2256"/>
          </w:tcPr>
          <w:p>
            <w:pPr>
              <w:pStyle w:val="TableContents"/>
              <w:spacing w:before="0" w:after="0" w:line="240" w:lineRule="atLeast"/>
            </w:pPr>
            <w:r>
              <w:rPr>
                <w:rFonts w:ascii="Arial" w:hAnsi="Arial" w:cs="Arial" w:eastAsia="Arial"/>
                <w:sz w:val="16"/>
                <w:szCs w:val="16"/>
              </w:rPr>
              <w:t>Safety helmet worn at all times in work areas</w:t>
            </w:r>
          </w:p>
        </w:tc>
        <w:tc>
          <w:tcPr>
            <w:tcW w:type="dxa" w:w="2256"/>
          </w:tcPr>
          <w:p>
            <w:pPr>
              <w:pStyle w:val="TableContents"/>
              <w:spacing w:before="0" w:after="0" w:line="240" w:lineRule="atLeast"/>
            </w:pPr>
            <w:r>
              <w:rPr>
                <w:rFonts w:ascii="Arial" w:hAnsi="Arial" w:cs="Arial" w:eastAsia="Arial"/>
                <w:sz w:val="16"/>
                <w:szCs w:val="16"/>
              </w:rPr>
              <w:t>AS/NZS 1801 or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confirm helmet class and colour-coding requirements]</w:t>
            </w:r>
          </w:p>
        </w:tc>
      </w:tr>
      <w:tr>
        <w:tc>
          <w:tcPr>
            <w:tcW w:type="dxa" w:w="2256"/>
          </w:tcPr>
          <w:p>
            <w:pPr>
              <w:pStyle w:val="TableContents"/>
              <w:spacing w:before="0" w:after="0" w:line="240" w:lineRule="atLeast"/>
            </w:pPr>
            <w:r>
              <w:rPr>
                <w:rFonts w:ascii="Arial" w:hAnsi="Arial" w:cs="Arial" w:eastAsia="Arial"/>
                <w:sz w:val="16"/>
                <w:szCs w:val="16"/>
              </w:rPr>
              <w:t>Eye protection</w:t>
            </w:r>
          </w:p>
        </w:tc>
        <w:tc>
          <w:tcPr>
            <w:tcW w:type="dxa" w:w="2256"/>
          </w:tcPr>
          <w:p>
            <w:pPr>
              <w:pStyle w:val="TableContents"/>
              <w:spacing w:before="0" w:after="0" w:line="240" w:lineRule="atLeast"/>
            </w:pPr>
            <w:r>
              <w:rPr>
                <w:rFonts w:ascii="Arial" w:hAnsi="Arial" w:cs="Arial" w:eastAsia="Arial"/>
                <w:sz w:val="16"/>
                <w:szCs w:val="16"/>
              </w:rPr>
              <w:t>Safety glasses with side shields</w:t>
            </w:r>
          </w:p>
        </w:tc>
        <w:tc>
          <w:tcPr>
            <w:tcW w:type="dxa" w:w="2256"/>
          </w:tcPr>
          <w:p>
            <w:pPr>
              <w:pStyle w:val="TableContents"/>
              <w:spacing w:before="0" w:after="0" w:line="240" w:lineRule="atLeast"/>
            </w:pPr>
            <w:r>
              <w:rPr>
                <w:rFonts w:ascii="Arial" w:hAnsi="Arial" w:cs="Arial" w:eastAsia="Arial"/>
                <w:sz w:val="16"/>
                <w:szCs w:val="16"/>
              </w:rPr>
              <w:t>AS/NZS 1337.1 or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confirm lens tint requirements for outdoor work]</w:t>
            </w:r>
          </w:p>
        </w:tc>
      </w:tr>
      <w:tr>
        <w:tc>
          <w:tcPr>
            <w:tcW w:type="dxa" w:w="2256"/>
          </w:tcPr>
          <w:p>
            <w:pPr>
              <w:pStyle w:val="TableContents"/>
              <w:spacing w:before="0" w:after="0" w:line="240" w:lineRule="atLeast"/>
            </w:pPr>
            <w:r>
              <w:rPr>
                <w:rFonts w:ascii="Arial" w:hAnsi="Arial" w:cs="Arial" w:eastAsia="Arial"/>
                <w:sz w:val="16"/>
                <w:szCs w:val="16"/>
              </w:rPr>
              <w:t>Foot protection</w:t>
            </w:r>
          </w:p>
        </w:tc>
        <w:tc>
          <w:tcPr>
            <w:tcW w:type="dxa" w:w="2256"/>
          </w:tcPr>
          <w:p>
            <w:pPr>
              <w:pStyle w:val="TableContents"/>
              <w:spacing w:before="0" w:after="0" w:line="240" w:lineRule="atLeast"/>
            </w:pPr>
            <w:r>
              <w:rPr>
                <w:rFonts w:ascii="Arial" w:hAnsi="Arial" w:cs="Arial" w:eastAsia="Arial"/>
                <w:sz w:val="16"/>
                <w:szCs w:val="16"/>
              </w:rPr>
              <w:t>Safety boots with steel or composite toe cap and penetration-resistant midsole</w:t>
            </w:r>
          </w:p>
        </w:tc>
        <w:tc>
          <w:tcPr>
            <w:tcW w:type="dxa" w:w="2256"/>
          </w:tcPr>
          <w:p>
            <w:pPr>
              <w:pStyle w:val="TableContents"/>
              <w:spacing w:before="0" w:after="0" w:line="240" w:lineRule="atLeast"/>
            </w:pPr>
            <w:r>
              <w:rPr>
                <w:rFonts w:ascii="Arial" w:hAnsi="Arial" w:cs="Arial" w:eastAsia="Arial"/>
                <w:sz w:val="16"/>
                <w:szCs w:val="16"/>
              </w:rPr>
              <w:t>AS/NZS 2210.3 or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confirm minimum safety footwear rating for the project]</w:t>
            </w:r>
          </w:p>
        </w:tc>
      </w:tr>
      <w:tr>
        <w:tc>
          <w:tcPr>
            <w:tcW w:type="dxa" w:w="2256"/>
          </w:tcPr>
          <w:p>
            <w:pPr>
              <w:pStyle w:val="TableContents"/>
              <w:spacing w:before="0" w:after="0" w:line="240" w:lineRule="atLeast"/>
            </w:pPr>
            <w:r>
              <w:rPr>
                <w:rFonts w:ascii="Arial" w:hAnsi="Arial" w:cs="Arial" w:eastAsia="Arial"/>
                <w:sz w:val="16"/>
                <w:szCs w:val="16"/>
              </w:rPr>
              <w:t>Hand protection</w:t>
            </w:r>
          </w:p>
        </w:tc>
        <w:tc>
          <w:tcPr>
            <w:tcW w:type="dxa" w:w="2256"/>
          </w:tcPr>
          <w:p>
            <w:pPr>
              <w:pStyle w:val="TableContents"/>
              <w:spacing w:before="0" w:after="0" w:line="240" w:lineRule="atLeast"/>
            </w:pPr>
            <w:r>
              <w:rPr>
                <w:rFonts w:ascii="Arial" w:hAnsi="Arial" w:cs="Arial" w:eastAsia="Arial"/>
                <w:sz w:val="16"/>
                <w:szCs w:val="16"/>
              </w:rPr>
              <w:t>General-purpose work gloves appropriate to the task</w:t>
            </w:r>
          </w:p>
        </w:tc>
        <w:tc>
          <w:tcPr>
            <w:tcW w:type="dxa" w:w="2256"/>
          </w:tcPr>
          <w:p>
            <w:pPr>
              <w:pStyle w:val="TableContents"/>
              <w:spacing w:before="0" w:after="0" w:line="240" w:lineRule="atLeast"/>
            </w:pPr>
            <w:r>
              <w:rPr>
                <w:rFonts w:ascii="Arial" w:hAnsi="Arial" w:cs="Arial" w:eastAsia="Arial"/>
                <w:sz w:val="16"/>
                <w:szCs w:val="16"/>
              </w:rPr>
              <w:t>AS/NZS 2161 or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confirm minimum glove specification for general work]</w:t>
            </w:r>
          </w:p>
        </w:tc>
      </w:tr>
      <w:tr>
        <w:tc>
          <w:tcPr>
            <w:tcW w:type="dxa" w:w="2256"/>
          </w:tcPr>
          <w:p>
            <w:pPr>
              <w:pStyle w:val="TableContents"/>
              <w:spacing w:before="0" w:after="0" w:line="240" w:lineRule="atLeast"/>
            </w:pPr>
            <w:r>
              <w:rPr>
                <w:rFonts w:ascii="Arial" w:hAnsi="Arial" w:cs="Arial" w:eastAsia="Arial"/>
                <w:sz w:val="16"/>
                <w:szCs w:val="16"/>
              </w:rPr>
              <w:t>Hearing protection</w:t>
            </w:r>
          </w:p>
        </w:tc>
        <w:tc>
          <w:tcPr>
            <w:tcW w:type="dxa" w:w="2256"/>
          </w:tcPr>
          <w:p>
            <w:pPr>
              <w:pStyle w:val="TableContents"/>
              <w:spacing w:before="0" w:after="0" w:line="240" w:lineRule="atLeast"/>
            </w:pPr>
            <w:r>
              <w:rPr>
                <w:rFonts w:ascii="Arial" w:hAnsi="Arial" w:cs="Arial" w:eastAsia="Arial"/>
                <w:sz w:val="16"/>
                <w:szCs w:val="16"/>
              </w:rPr>
              <w:t>Required in all designated hearing protection areas</w:t>
            </w:r>
          </w:p>
        </w:tc>
        <w:tc>
          <w:tcPr>
            <w:tcW w:type="dxa" w:w="2256"/>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c>
          <w:tcPr>
            <w:tcW w:type="dxa" w:w="2258"/>
          </w:tcPr>
          <w:p>
            <w:pPr>
              <w:pStyle w:val="TableContents"/>
              <w:spacing w:before="0" w:after="0" w:line="240" w:lineRule="atLeast"/>
            </w:pPr>
            <w:r>
              <w:rPr>
                <w:rFonts w:ascii="Arial" w:hAnsi="Arial" w:cs="Arial" w:eastAsia="Arial"/>
                <w:b/>
                <w:bCs/>
                <w:color w:val="0059D1"/>
                <w:sz w:val="16"/>
                <w:szCs w:val="16"/>
              </w:rPr>
              <w:t>[INSERT: define designated hearing protection areas on this project]</w:t>
            </w:r>
          </w:p>
        </w:tc>
      </w:tr>
      <w:tr>
        <w:tc>
          <w:tcPr>
            <w:tcW w:type="dxa" w:w="2256"/>
          </w:tcPr>
          <w:p>
            <w:pPr>
              <w:pStyle w:val="TableContents"/>
              <w:spacing w:before="0" w:after="0" w:line="240" w:lineRule="atLeast"/>
            </w:pPr>
            <w:r>
              <w:rPr>
                <w:rFonts w:ascii="Arial" w:hAnsi="Arial" w:cs="Arial" w:eastAsia="Arial"/>
                <w:sz w:val="16"/>
                <w:szCs w:val="16"/>
              </w:rPr>
              <w:t>Protective clothing</w:t>
            </w:r>
          </w:p>
        </w:tc>
        <w:tc>
          <w:tcPr>
            <w:tcW w:type="dxa" w:w="2256"/>
          </w:tcPr>
          <w:p>
            <w:pPr>
              <w:pStyle w:val="TableContents"/>
              <w:spacing w:before="0" w:after="0" w:line="240" w:lineRule="atLeast"/>
            </w:pPr>
            <w:r>
              <w:rPr>
                <w:rFonts w:ascii="Arial" w:hAnsi="Arial" w:cs="Arial" w:eastAsia="Arial"/>
                <w:sz w:val="16"/>
                <w:szCs w:val="16"/>
              </w:rPr>
              <w:t>Long-sleeve shirt and long trousers as a minimum</w:t>
            </w:r>
          </w:p>
        </w:tc>
        <w:tc>
          <w:tcPr>
            <w:tcW w:type="dxa" w:w="2256"/>
          </w:tcPr>
          <w:p>
            <w:pPr>
              <w:pStyle w:val="TableContents"/>
              <w:spacing w:before="0" w:after="0" w:line="240" w:lineRule="atLeast"/>
            </w:pPr>
            <w:r>
              <w:rPr>
                <w:rFonts w:ascii="Arial" w:hAnsi="Arial" w:cs="Arial" w:eastAsia="Arial"/>
                <w:sz w:val="16"/>
                <w:szCs w:val="16"/>
              </w:rPr>
              <w:t>AS/NZS 4602 or equivalent</w:t>
            </w:r>
          </w:p>
        </w:tc>
        <w:tc>
          <w:tcPr>
            <w:tcW w:type="dxa" w:w="2258"/>
          </w:tcPr>
          <w:p>
            <w:pPr>
              <w:pStyle w:val="TableContents"/>
              <w:spacing w:before="0" w:after="0" w:line="240" w:lineRule="atLeast"/>
            </w:pPr>
            <w:r>
              <w:rPr>
                <w:rFonts w:ascii="Arial" w:hAnsi="Arial" w:cs="Arial" w:eastAsia="Arial"/>
                <w:b/>
                <w:bCs/>
                <w:color w:val="0059D1"/>
                <w:sz w:val="16"/>
                <w:szCs w:val="16"/>
              </w:rPr>
              <w:t>[INSERT: confirm hi-visibility class requirement for the project]</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Item 3: Confirm the mandatory PPE standard for all personnel on the project. Some projects apply an elevated minimum standard - for example, tinted safety glasses mandatory at all times outdoors, or Class 2 hi-visibility clothing mandatory in all work areas. Define the project standard in Table 1 before this procedure is issued.</w:t>
            </w:r>
          </w:p>
        </w:tc>
      </w:tr>
    </w:tbl>
    <w:p>
      <w:pPr>
        <w:pStyle w:val="NormalNumberedtext"/>
      </w:pPr>
    </w:p>
    <w:p>
      <w:pPr>
        <w:pStyle w:val="NormalNumberedtext"/>
      </w:pPr>
      <w:r>
        <w:t>The project mandatory PPE standard is confirmed and documented in Table 1 before this procedure is issued. The</w:t>
      </w:r>
    </w:p>
    <w:p>
      <w:pPr>
        <w:pStyle w:val="NormalNumberedtext"/>
      </w:pPr>
      <w:r>
        <w:rPr>
          <w:b/>
          <w:bCs/>
          <w:color w:val="0059D1"/>
        </w:rPr>
        <w:t>[INSERT: project_ppe_standard_owner] — Role responsible for confirming and maintaining the site minimum PPE standard, e.g. HSESC Manager</w:t>
      </w:r>
    </w:p>
    <w:p>
      <w:pPr>
        <w:pStyle w:val="NormalNumberedtext"/>
      </w:pPr>
      <w:r>
        <w:t>is responsible for confirming the site minimum PPE standard before mobilisation and communicating it to all personnel during site induction.</w:t>
      </w:r>
    </w:p>
    <w:p>
      <w:pPr>
        <w:pStyle w:val="NormalNumberedtext"/>
      </w:pPr>
    </w:p>
    <w:p>
      <w:pPr>
        <w:pStyle w:val="Heading2Numbered"/>
        <w:numPr>
          <w:ilvl w:val="1"/>
          <w:numId w:val="1"/>
        </w:numPr>
      </w:pPr>
      <w:r>
        <w:rPr>
          <w:rFonts w:ascii="Arial" w:hAnsi="Arial" w:cs="Arial" w:eastAsia="Arial"/>
        </w:rPr>
        <w:t>PPE Provision and Replacement</w:t>
      </w:r>
    </w:p>
    <w:p>
      <w:pPr>
        <w:pStyle w:val="NormalNumberedtext"/>
      </w:pPr>
      <w:r>
        <w:t>This section defines how PPE is issued, who funds replacement, and the maximum service life for critical items.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Item 2: Define the project PPE provision and replacement process before this procedure is issued. The process must address: how PPE is issued to personnel on arrival; who is responsible for funding replacement PPE (Rio Tinto, contractor, or individual); and the maximum wear period before mandatory replacement for critical items such as safety helmets, harnesses, and respiratory protective equipment.</w:t>
            </w:r>
          </w:p>
        </w:tc>
      </w:tr>
    </w:tbl>
    <w:p>
      <w:pPr>
        <w:pStyle w:val="NormalNumberedtext"/>
      </w:pPr>
    </w:p>
    <w:p>
      <w:pPr>
        <w:pStyle w:val="NormalNumberedtext"/>
      </w:pPr>
      <w:r>
        <w:t>The PPE provision and replacement process for this project is:</w:t>
      </w:r>
    </w:p>
    <w:p>
      <w:pPr>
        <w:pStyle w:val="NormalNumberedtext"/>
      </w:pPr>
      <w:r>
        <w:t>Table 2: PPE Provision and Replacement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PPE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Issued By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Funded By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Maximum Service Life or Replacement Trigger</w:t>
            </w:r>
          </w:p>
        </w:tc>
      </w:tr>
      <w:tr>
        <w:tc>
          <w:tcPr>
            <w:tcW w:type="dxa" w:w="2256"/>
          </w:tcPr>
          <w:p>
            <w:pPr>
              <w:pStyle w:val="TableContents"/>
              <w:spacing w:before="0" w:after="0" w:line="240" w:lineRule="atLeast"/>
            </w:pPr>
            <w:r>
              <w:rPr>
                <w:rFonts w:ascii="Arial" w:hAnsi="Arial" w:cs="Arial" w:eastAsia="Arial"/>
                <w:sz w:val="16"/>
                <w:szCs w:val="16"/>
              </w:rPr>
              <w:t>Safety helmet</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3 years from manufacture date or on visible damage]</w:t>
            </w:r>
          </w:p>
        </w:tc>
      </w:tr>
      <w:tr>
        <w:tc>
          <w:tcPr>
            <w:tcW w:type="dxa" w:w="2256"/>
          </w:tcPr>
          <w:p>
            <w:pPr>
              <w:pStyle w:val="TableContents"/>
              <w:spacing w:before="0" w:after="0" w:line="240" w:lineRule="atLeast"/>
            </w:pPr>
            <w:r>
              <w:rPr>
                <w:rFonts w:ascii="Arial" w:hAnsi="Arial" w:cs="Arial" w:eastAsia="Arial"/>
                <w:sz w:val="16"/>
                <w:szCs w:val="16"/>
              </w:rPr>
              <w:t>Safety glasses</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on lens scratching that impairs vision or on damage]</w:t>
            </w:r>
          </w:p>
        </w:tc>
      </w:tr>
      <w:tr>
        <w:tc>
          <w:tcPr>
            <w:tcW w:type="dxa" w:w="2256"/>
          </w:tcPr>
          <w:p>
            <w:pPr>
              <w:pStyle w:val="TableContents"/>
              <w:spacing w:before="0" w:after="0" w:line="240" w:lineRule="atLeast"/>
            </w:pPr>
            <w:r>
              <w:rPr>
                <w:rFonts w:ascii="Arial" w:hAnsi="Arial" w:cs="Arial" w:eastAsia="Arial"/>
                <w:sz w:val="16"/>
                <w:szCs w:val="16"/>
              </w:rPr>
              <w:t>Safety boots</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annually or on damage to toe cap or sole]</w:t>
            </w:r>
          </w:p>
        </w:tc>
      </w:tr>
      <w:tr>
        <w:tc>
          <w:tcPr>
            <w:tcW w:type="dxa" w:w="2256"/>
          </w:tcPr>
          <w:p>
            <w:pPr>
              <w:pStyle w:val="TableContents"/>
              <w:spacing w:before="0" w:after="0" w:line="240" w:lineRule="atLeast"/>
            </w:pPr>
            <w:r>
              <w:rPr>
                <w:rFonts w:ascii="Arial" w:hAnsi="Arial" w:cs="Arial" w:eastAsia="Arial"/>
                <w:sz w:val="16"/>
                <w:szCs w:val="16"/>
              </w:rPr>
              <w:t>Work gloves</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weekly for general work or immediately on damage]</w:t>
            </w:r>
          </w:p>
        </w:tc>
      </w:tr>
      <w:tr>
        <w:tc>
          <w:tcPr>
            <w:tcW w:type="dxa" w:w="2256"/>
          </w:tcPr>
          <w:p>
            <w:pPr>
              <w:pStyle w:val="TableContents"/>
              <w:spacing w:before="0" w:after="0" w:line="240" w:lineRule="atLeast"/>
            </w:pPr>
            <w:r>
              <w:rPr>
                <w:rFonts w:ascii="Arial" w:hAnsi="Arial" w:cs="Arial" w:eastAsia="Arial"/>
                <w:sz w:val="16"/>
                <w:szCs w:val="16"/>
              </w:rPr>
              <w:t>Hearing protection - disposable</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single shift use only]</w:t>
            </w:r>
          </w:p>
        </w:tc>
      </w:tr>
      <w:tr>
        <w:tc>
          <w:tcPr>
            <w:tcW w:type="dxa" w:w="2256"/>
          </w:tcPr>
          <w:p>
            <w:pPr>
              <w:pStyle w:val="TableContents"/>
              <w:spacing w:before="0" w:after="0" w:line="240" w:lineRule="atLeast"/>
            </w:pPr>
            <w:r>
              <w:rPr>
                <w:rFonts w:ascii="Arial" w:hAnsi="Arial" w:cs="Arial" w:eastAsia="Arial"/>
                <w:sz w:val="16"/>
                <w:szCs w:val="16"/>
              </w:rPr>
              <w:t>Hearing protection - reusable</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on visible degradation or loss of seal]</w:t>
            </w:r>
          </w:p>
        </w:tc>
      </w:tr>
      <w:tr>
        <w:tc>
          <w:tcPr>
            <w:tcW w:type="dxa" w:w="2256"/>
          </w:tcPr>
          <w:p>
            <w:pPr>
              <w:pStyle w:val="TableContents"/>
              <w:spacing w:before="0" w:after="0" w:line="240" w:lineRule="atLeast"/>
            </w:pPr>
            <w:r>
              <w:rPr>
                <w:rFonts w:ascii="Arial" w:hAnsi="Arial" w:cs="Arial" w:eastAsia="Arial"/>
                <w:sz w:val="16"/>
                <w:szCs w:val="16"/>
              </w:rPr>
              <w:t>Full body harness</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10 years from manufacture or immediately after arrest event]</w:t>
            </w:r>
          </w:p>
        </w:tc>
      </w:tr>
      <w:tr>
        <w:tc>
          <w:tcPr>
            <w:tcW w:type="dxa" w:w="2256"/>
          </w:tcPr>
          <w:p>
            <w:pPr>
              <w:pStyle w:val="TableContents"/>
              <w:spacing w:before="0" w:after="0" w:line="240" w:lineRule="atLeast"/>
            </w:pPr>
            <w:r>
              <w:rPr>
                <w:rFonts w:ascii="Arial" w:hAnsi="Arial" w:cs="Arial" w:eastAsia="Arial"/>
                <w:sz w:val="16"/>
                <w:szCs w:val="16"/>
              </w:rPr>
              <w:t>Respiratory protective equipment</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e.g. per manufacturer service interval or on fit test failure]</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PPE item]</w:t>
            </w:r>
          </w:p>
        </w:tc>
        <w:tc>
          <w:tcPr>
            <w:tcW w:type="dxa" w:w="2256"/>
          </w:tcPr>
          <w:p>
            <w:pPr>
              <w:pStyle w:val="TableContents"/>
              <w:spacing w:before="0" w:after="0" w:line="240" w:lineRule="atLeast"/>
            </w:pPr>
            <w:r>
              <w:rPr>
                <w:rFonts w:ascii="Arial" w:hAnsi="Arial" w:cs="Arial" w:eastAsia="Arial"/>
                <w:b/>
                <w:bCs/>
                <w:color w:val="0059D1"/>
                <w:sz w:val="16"/>
                <w:szCs w:val="16"/>
              </w:rPr>
              <w:t>[INSERT: issuing party]</w:t>
            </w:r>
          </w:p>
        </w:tc>
        <w:tc>
          <w:tcPr>
            <w:tcW w:type="dxa" w:w="2256"/>
          </w:tcPr>
          <w:p>
            <w:pPr>
              <w:pStyle w:val="TableContents"/>
              <w:spacing w:before="0" w:after="0" w:line="240" w:lineRule="atLeast"/>
            </w:pPr>
            <w:r>
              <w:rPr>
                <w:rFonts w:ascii="Arial" w:hAnsi="Arial" w:cs="Arial" w:eastAsia="Arial"/>
                <w:b/>
                <w:bCs/>
                <w:color w:val="0059D1"/>
                <w:sz w:val="16"/>
                <w:szCs w:val="16"/>
              </w:rPr>
              <w:t>[INSERT: funding party]</w:t>
            </w:r>
          </w:p>
        </w:tc>
        <w:tc>
          <w:tcPr>
            <w:tcW w:type="dxa" w:w="2258"/>
          </w:tcPr>
          <w:p>
            <w:pPr>
              <w:pStyle w:val="TableContents"/>
              <w:spacing w:before="0" w:after="0" w:line="240" w:lineRule="atLeast"/>
            </w:pPr>
            <w:r>
              <w:rPr>
                <w:rFonts w:ascii="Arial" w:hAnsi="Arial" w:cs="Arial" w:eastAsia="Arial"/>
                <w:b/>
                <w:bCs/>
                <w:color w:val="0059D1"/>
                <w:sz w:val="16"/>
                <w:szCs w:val="16"/>
              </w:rPr>
              <w:t>[INSERT: replacement trigger]</w:t>
            </w:r>
          </w:p>
        </w:tc>
      </w:tr>
    </w:tbl>
    <w:p>
      <w:pPr>
        <w:pStyle w:val="NormalNumberedtext"/>
      </w:pPr>
    </w:p>
    <w:p>
      <w:pPr>
        <w:pStyle w:val="Heading1Numbered"/>
        <w:numPr>
          <w:ilvl w:val="0"/>
          <w:numId w:val="1"/>
        </w:numPr>
      </w:pPr>
      <w:r>
        <w:rPr>
          <w:rFonts w:ascii="Arial" w:hAnsi="Arial" w:cs="Arial" w:eastAsia="Arial"/>
        </w:rPr>
        <w:t>PPE Selection and High-Risk Activities</w:t>
      </w:r>
    </w:p>
    <w:p>
      <w:pPr>
        <w:pStyle w:val="NormalNumberedtext"/>
      </w:pPr>
      <w:r>
        <w:t>This section defines the PPE selection process by hazard type, including the project-specific selection guide and specialist PPE requirements for high-risk activities.</w:t>
      </w:r>
    </w:p>
    <w:p>
      <w:pPr>
        <w:pStyle w:val="NormalNumberedtext"/>
      </w:pPr>
    </w:p>
    <w:p>
      <w:pPr>
        <w:pStyle w:val="Heading2Numbered"/>
        <w:numPr>
          <w:ilvl w:val="1"/>
          <w:numId w:val="1"/>
        </w:numPr>
      </w:pPr>
      <w:r>
        <w:rPr>
          <w:rFonts w:ascii="Arial" w:hAnsi="Arial" w:cs="Arial" w:eastAsia="Arial"/>
        </w:rPr>
        <w:t>Project-Specific PPE Selection Guide</w:t>
      </w:r>
    </w:p>
    <w:p>
      <w:pPr>
        <w:pStyle w:val="NormalNumberedtext"/>
      </w:pPr>
      <w:r>
        <w:t>This section defines the project-specific PPE selection guide that serves as the default standard for all project personnel.</w:t>
      </w:r>
    </w:p>
    <w:p>
      <w:pPr>
        <w:pStyle w:val="NormalNumberedtext"/>
      </w:pPr>
      <w:r>
        <w:t>The project must define and maintain a site-specific PPE selection guide for common hazards across the project. The guide specifies the minimum protection class required for each identified hazard type and serves as the default standard for all project personnel when no task-specific assessment has been completed.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Item 1: Develop the project-specific PPE selection guide as Appendix A of this procedure. The guide must list every identified hazard type on this project and the minimum required PPE specification - for example, minimum cut resistance class for gloves, minimum safety footwear rating for the work surface or task type, and arc flash PPE category based on incident energy calculations. This is a project deliverable and must be completed before this procedure is issued.</w:t>
            </w:r>
          </w:p>
        </w:tc>
      </w:tr>
    </w:tbl>
    <w:p>
      <w:pPr>
        <w:pStyle w:val="NormalNumberedtext"/>
      </w:pPr>
    </w:p>
    <w:p>
      <w:pPr>
        <w:pStyle w:val="NormalNumberedtext"/>
      </w:pPr>
      <w:r>
        <w:t>The PPE selection guide is documented in Appendix A of this procedure. The</w:t>
      </w:r>
    </w:p>
    <w:p>
      <w:pPr>
        <w:pStyle w:val="NormalNumberedtext"/>
      </w:pPr>
      <w:r>
        <w:rPr>
          <w:b/>
          <w:bCs/>
          <w:color w:val="0059D1"/>
        </w:rPr>
        <w:t>[INSERT: ppe_selection_guide_owner] — Role responsible for developing and maintaining Appendix A, e.g. HSESC Manager</w:t>
      </w:r>
    </w:p>
    <w:p>
      <w:pPr>
        <w:pStyle w:val="NormalNumberedtext"/>
      </w:pPr>
      <w:r>
        <w:t>is responsible for developing, maintaining, and reviewing Appendix A when a new hazard type is identified on the project or when a change in work scope introduces new exposure scenarios.</w:t>
      </w:r>
    </w:p>
    <w:p>
      <w:pPr>
        <w:pStyle w:val="NormalNumberedtext"/>
      </w:pPr>
      <w:r>
        <w:t>The PPE selection guide in Appendix A is reviewed whenever a Management of Change process introduces new activities, new substances, or new energy sources to the project. Revisions to the guide are communicated to all relevant work groups before the relevant activity commences.</w:t>
      </w:r>
    </w:p>
    <w:p>
      <w:pPr>
        <w:pStyle w:val="NormalNumberedtext"/>
      </w:pPr>
    </w:p>
    <w:p>
      <w:pPr>
        <w:pStyle w:val="Heading2Numbered"/>
        <w:numPr>
          <w:ilvl w:val="1"/>
          <w:numId w:val="1"/>
        </w:numPr>
      </w:pPr>
      <w:r>
        <w:rPr>
          <w:rFonts w:ascii="Arial" w:hAnsi="Arial" w:cs="Arial" w:eastAsia="Arial"/>
        </w:rPr>
        <w:t>Specialist PPE for High-Risk Activities</w:t>
      </w:r>
    </w:p>
    <w:p>
      <w:pPr>
        <w:pStyle w:val="NormalNumberedtext"/>
      </w:pPr>
      <w:r>
        <w:t>This section defines specialist PPE requirements for high-risk activities and the process for identifying and documenting them in task planning.</w:t>
      </w:r>
    </w:p>
    <w:p>
      <w:pPr>
        <w:pStyle w:val="NormalNumberedtext"/>
      </w:pPr>
      <w:r>
        <w:t>Specialist PPE requirements for high-risk activities are defined based on the specific hazard and the required level of protection. The work supervisor confirms specialist PPE is identified during job-specific planning and documented in the relevant Job Hazard Analysis or safe work procedure before the activity commences.</w:t>
      </w:r>
    </w:p>
    <w:p>
      <w:pPr>
        <w:pStyle w:val="NormalNumberedtext"/>
      </w:pPr>
      <w:r>
        <w:t>The following specialist PPE categories apply to high-risk activities on this project:</w:t>
      </w:r>
    </w:p>
    <w:p>
      <w:pPr>
        <w:pStyle w:val="NormalNumberedtext"/>
      </w:pPr>
      <w:r>
        <w:t>Table 3: Specialist PPE Requirements for High-Risk Activities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High-Risk Activity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Specialist PPE Required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Selection Basis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Reference Procedure</w:t>
            </w:r>
          </w:p>
        </w:tc>
      </w:tr>
      <w:tr>
        <w:tc>
          <w:tcPr>
            <w:tcW w:type="dxa" w:w="2256"/>
          </w:tcPr>
          <w:p>
            <w:pPr>
              <w:pStyle w:val="TableContents"/>
              <w:spacing w:before="0" w:after="0" w:line="240" w:lineRule="atLeast"/>
            </w:pPr>
            <w:r>
              <w:rPr>
                <w:rFonts w:ascii="Arial" w:hAnsi="Arial" w:cs="Arial" w:eastAsia="Arial"/>
                <w:sz w:val="16"/>
                <w:szCs w:val="16"/>
              </w:rPr>
              <w:t>Electrical work - energised systems</w:t>
            </w:r>
          </w:p>
        </w:tc>
        <w:tc>
          <w:tcPr>
            <w:tcW w:type="dxa" w:w="2256"/>
          </w:tcPr>
          <w:p>
            <w:pPr>
              <w:pStyle w:val="TableContents"/>
              <w:spacing w:before="0" w:after="0" w:line="240" w:lineRule="atLeast"/>
            </w:pPr>
            <w:r>
              <w:rPr>
                <w:rFonts w:ascii="Arial" w:hAnsi="Arial" w:cs="Arial" w:eastAsia="Arial"/>
                <w:sz w:val="16"/>
                <w:szCs w:val="16"/>
              </w:rPr>
              <w:t>Arc flash rated PPE at the required category level</w:t>
            </w:r>
          </w:p>
        </w:tc>
        <w:tc>
          <w:tcPr>
            <w:tcW w:type="dxa" w:w="2256"/>
          </w:tcPr>
          <w:p>
            <w:pPr>
              <w:pStyle w:val="TableContents"/>
              <w:spacing w:before="0" w:after="0" w:line="240" w:lineRule="atLeast"/>
            </w:pPr>
            <w:r>
              <w:rPr>
                <w:rFonts w:ascii="Arial" w:hAnsi="Arial" w:cs="Arial" w:eastAsia="Arial"/>
                <w:sz w:val="16"/>
                <w:szCs w:val="16"/>
              </w:rPr>
              <w:t>Incident energy calculations per applicable standard</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Electrical Safety</w:t>
            </w:r>
          </w:p>
        </w:tc>
      </w:tr>
      <w:tr>
        <w:tc>
          <w:tcPr>
            <w:tcW w:type="dxa" w:w="2256"/>
          </w:tcPr>
          <w:p>
            <w:pPr>
              <w:pStyle w:val="TableContents"/>
              <w:spacing w:before="0" w:after="0" w:line="240" w:lineRule="atLeast"/>
            </w:pPr>
            <w:r>
              <w:rPr>
                <w:rFonts w:ascii="Arial" w:hAnsi="Arial" w:cs="Arial" w:eastAsia="Arial"/>
                <w:sz w:val="16"/>
                <w:szCs w:val="16"/>
              </w:rPr>
              <w:t>Working at height</w:t>
            </w:r>
          </w:p>
        </w:tc>
        <w:tc>
          <w:tcPr>
            <w:tcW w:type="dxa" w:w="2256"/>
          </w:tcPr>
          <w:p>
            <w:pPr>
              <w:pStyle w:val="TableContents"/>
              <w:spacing w:before="0" w:after="0" w:line="240" w:lineRule="atLeast"/>
            </w:pPr>
            <w:r>
              <w:rPr>
                <w:rFonts w:ascii="Arial" w:hAnsi="Arial" w:cs="Arial" w:eastAsia="Arial"/>
                <w:sz w:val="16"/>
                <w:szCs w:val="16"/>
              </w:rPr>
              <w:t>Full body harness, lanyard, and anchorage system selected to minimise fall distance</w:t>
            </w:r>
          </w:p>
        </w:tc>
        <w:tc>
          <w:tcPr>
            <w:tcW w:type="dxa" w:w="2256"/>
          </w:tcPr>
          <w:p>
            <w:pPr>
              <w:pStyle w:val="TableContents"/>
              <w:spacing w:before="0" w:after="0" w:line="240" w:lineRule="atLeast"/>
            </w:pPr>
            <w:r>
              <w:rPr>
                <w:rFonts w:ascii="Arial" w:hAnsi="Arial" w:cs="Arial" w:eastAsia="Arial"/>
                <w:sz w:val="16"/>
                <w:szCs w:val="16"/>
              </w:rPr>
              <w:t>Fall distance calculation and anchor point assessment</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Working at Height</w:t>
            </w:r>
          </w:p>
        </w:tc>
      </w:tr>
      <w:tr>
        <w:tc>
          <w:tcPr>
            <w:tcW w:type="dxa" w:w="2256"/>
          </w:tcPr>
          <w:p>
            <w:pPr>
              <w:pStyle w:val="TableContents"/>
              <w:spacing w:before="0" w:after="0" w:line="240" w:lineRule="atLeast"/>
            </w:pPr>
            <w:r>
              <w:rPr>
                <w:rFonts w:ascii="Arial" w:hAnsi="Arial" w:cs="Arial" w:eastAsia="Arial"/>
                <w:sz w:val="16"/>
                <w:szCs w:val="16"/>
              </w:rPr>
              <w:t>Hazardous substance handling</w:t>
            </w:r>
          </w:p>
        </w:tc>
        <w:tc>
          <w:tcPr>
            <w:tcW w:type="dxa" w:w="2256"/>
          </w:tcPr>
          <w:p>
            <w:pPr>
              <w:pStyle w:val="TableContents"/>
              <w:spacing w:before="0" w:after="0" w:line="240" w:lineRule="atLeast"/>
            </w:pPr>
            <w:r>
              <w:rPr>
                <w:rFonts w:ascii="Arial" w:hAnsi="Arial" w:cs="Arial" w:eastAsia="Arial"/>
                <w:sz w:val="16"/>
                <w:szCs w:val="16"/>
              </w:rPr>
              <w:t>Chemical-resistant gloves, apron, face shield, and RPE selected for the specific substance</w:t>
            </w:r>
          </w:p>
        </w:tc>
        <w:tc>
          <w:tcPr>
            <w:tcW w:type="dxa" w:w="2256"/>
          </w:tcPr>
          <w:p>
            <w:pPr>
              <w:pStyle w:val="TableContents"/>
              <w:spacing w:before="0" w:after="0" w:line="240" w:lineRule="atLeast"/>
            </w:pPr>
            <w:r>
              <w:rPr>
                <w:rFonts w:ascii="Arial" w:hAnsi="Arial" w:cs="Arial" w:eastAsia="Arial"/>
                <w:sz w:val="16"/>
                <w:szCs w:val="16"/>
              </w:rPr>
              <w:t>Safety Data Sheet and exposure assessment</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Chemicals</w:t>
            </w:r>
          </w:p>
        </w:tc>
      </w:tr>
      <w:tr>
        <w:tc>
          <w:tcPr>
            <w:tcW w:type="dxa" w:w="2256"/>
          </w:tcPr>
          <w:p>
            <w:pPr>
              <w:pStyle w:val="TableContents"/>
              <w:spacing w:before="0" w:after="0" w:line="240" w:lineRule="atLeast"/>
            </w:pPr>
            <w:r>
              <w:rPr>
                <w:rFonts w:ascii="Arial" w:hAnsi="Arial" w:cs="Arial" w:eastAsia="Arial"/>
                <w:sz w:val="16"/>
                <w:szCs w:val="16"/>
              </w:rPr>
              <w:t>Noise-exposed work in designated areas</w:t>
            </w:r>
          </w:p>
        </w:tc>
        <w:tc>
          <w:tcPr>
            <w:tcW w:type="dxa" w:w="2256"/>
          </w:tcPr>
          <w:p>
            <w:pPr>
              <w:pStyle w:val="TableContents"/>
              <w:spacing w:before="0" w:after="0" w:line="240" w:lineRule="atLeast"/>
            </w:pPr>
            <w:r>
              <w:rPr>
                <w:rFonts w:ascii="Arial" w:hAnsi="Arial" w:cs="Arial" w:eastAsia="Arial"/>
                <w:sz w:val="16"/>
                <w:szCs w:val="16"/>
              </w:rPr>
              <w:t>Hearing protection selected to achieve adequate attenuation for the measured exposure level</w:t>
            </w:r>
          </w:p>
        </w:tc>
        <w:tc>
          <w:tcPr>
            <w:tcW w:type="dxa" w:w="2256"/>
          </w:tcPr>
          <w:p>
            <w:pPr>
              <w:pStyle w:val="TableContents"/>
              <w:spacing w:before="0" w:after="0" w:line="240" w:lineRule="atLeast"/>
            </w:pPr>
            <w:r>
              <w:rPr>
                <w:rFonts w:ascii="Arial" w:hAnsi="Arial" w:cs="Arial" w:eastAsia="Arial"/>
                <w:sz w:val="16"/>
                <w:szCs w:val="16"/>
              </w:rPr>
              <w:t>Noise exposure assessment and octave band analysis</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 Noise</w:t>
            </w:r>
          </w:p>
        </w:tc>
      </w:tr>
      <w:tr>
        <w:tc>
          <w:tcPr>
            <w:tcW w:type="dxa" w:w="2256"/>
          </w:tcPr>
          <w:p>
            <w:pPr>
              <w:pStyle w:val="TableContents"/>
              <w:spacing w:before="0" w:after="0" w:line="240" w:lineRule="atLeast"/>
            </w:pPr>
            <w:r>
              <w:rPr>
                <w:rFonts w:ascii="Arial" w:hAnsi="Arial" w:cs="Arial" w:eastAsia="Arial"/>
                <w:sz w:val="16"/>
                <w:szCs w:val="16"/>
              </w:rPr>
              <w:t>Work in atmospheres with respiratory hazards</w:t>
            </w:r>
          </w:p>
        </w:tc>
        <w:tc>
          <w:tcPr>
            <w:tcW w:type="dxa" w:w="2256"/>
          </w:tcPr>
          <w:p>
            <w:pPr>
              <w:pStyle w:val="TableContents"/>
              <w:spacing w:before="0" w:after="0" w:line="240" w:lineRule="atLeast"/>
            </w:pPr>
            <w:r>
              <w:rPr>
                <w:rFonts w:ascii="Arial" w:hAnsi="Arial" w:cs="Arial" w:eastAsia="Arial"/>
                <w:sz w:val="16"/>
                <w:szCs w:val="16"/>
              </w:rPr>
              <w:t>RPE selected based on contaminant type, concentration, and exposure duration</w:t>
            </w:r>
          </w:p>
        </w:tc>
        <w:tc>
          <w:tcPr>
            <w:tcW w:type="dxa" w:w="2256"/>
          </w:tcPr>
          <w:p>
            <w:pPr>
              <w:pStyle w:val="TableContents"/>
              <w:spacing w:before="0" w:after="0" w:line="240" w:lineRule="atLeast"/>
            </w:pPr>
            <w:r>
              <w:rPr>
                <w:rFonts w:ascii="Arial" w:hAnsi="Arial" w:cs="Arial" w:eastAsia="Arial"/>
                <w:sz w:val="16"/>
                <w:szCs w:val="16"/>
              </w:rPr>
              <w:t>Air monitoring results and occupational exposure limits</w:t>
            </w:r>
          </w:p>
        </w:tc>
        <w:tc>
          <w:tcPr>
            <w:tcW w:type="dxa" w:w="2258"/>
          </w:tcPr>
          <w:p>
            <w:pPr>
              <w:pStyle w:val="TableContents"/>
              <w:spacing w:before="0" w:after="0" w:line="240" w:lineRule="atLeast"/>
            </w:pPr>
            <w:r>
              <w:rPr>
                <w:rFonts w:ascii="Arial" w:hAnsi="Arial" w:cs="Arial" w:eastAsia="Arial"/>
                <w:b/>
                <w:bCs/>
                <w:color w:val="0059D1"/>
                <w:sz w:val="16"/>
                <w:szCs w:val="16"/>
              </w:rPr>
              <w:t>[INSERT: refer relevant procedure or SDS]</w:t>
            </w:r>
          </w:p>
        </w:tc>
      </w:tr>
      <w:tr>
        <w:tc>
          <w:tcPr>
            <w:tcW w:type="dxa" w:w="2256"/>
          </w:tcPr>
          <w:p>
            <w:pPr>
              <w:pStyle w:val="TableContents"/>
              <w:spacing w:before="0" w:after="0" w:line="240" w:lineRule="atLeast"/>
            </w:pPr>
            <w:r>
              <w:rPr>
                <w:rFonts w:ascii="Arial" w:hAnsi="Arial" w:cs="Arial" w:eastAsia="Arial"/>
                <w:b/>
                <w:bCs/>
                <w:color w:val="0059D1"/>
                <w:sz w:val="16"/>
                <w:szCs w:val="16"/>
              </w:rPr>
              <w:t>[INSERT: high-risk activity]</w:t>
            </w:r>
          </w:p>
        </w:tc>
        <w:tc>
          <w:tcPr>
            <w:tcW w:type="dxa" w:w="2256"/>
          </w:tcPr>
          <w:p>
            <w:pPr>
              <w:pStyle w:val="TableContents"/>
              <w:spacing w:before="0" w:after="0" w:line="240" w:lineRule="atLeast"/>
            </w:pPr>
            <w:r>
              <w:rPr>
                <w:rFonts w:ascii="Arial" w:hAnsi="Arial" w:cs="Arial" w:eastAsia="Arial"/>
                <w:b/>
                <w:bCs/>
                <w:color w:val="0059D1"/>
                <w:sz w:val="16"/>
                <w:szCs w:val="16"/>
              </w:rPr>
              <w:t>[INSERT: specialist PPE required]</w:t>
            </w:r>
          </w:p>
        </w:tc>
        <w:tc>
          <w:tcPr>
            <w:tcW w:type="dxa" w:w="2256"/>
          </w:tcPr>
          <w:p>
            <w:pPr>
              <w:pStyle w:val="TableContents"/>
              <w:spacing w:before="0" w:after="0" w:line="240" w:lineRule="atLeast"/>
            </w:pPr>
            <w:r>
              <w:rPr>
                <w:rFonts w:ascii="Arial" w:hAnsi="Arial" w:cs="Arial" w:eastAsia="Arial"/>
                <w:b/>
                <w:bCs/>
                <w:color w:val="0059D1"/>
                <w:sz w:val="16"/>
                <w:szCs w:val="16"/>
              </w:rPr>
              <w:t>[INSERT: selection basis]</w:t>
            </w:r>
          </w:p>
        </w:tc>
        <w:tc>
          <w:tcPr>
            <w:tcW w:type="dxa" w:w="2258"/>
          </w:tcPr>
          <w:p>
            <w:pPr>
              <w:pStyle w:val="TableContents"/>
              <w:spacing w:before="0" w:after="0" w:line="240" w:lineRule="atLeast"/>
            </w:pPr>
            <w:r>
              <w:rPr>
                <w:rFonts w:ascii="Arial" w:hAnsi="Arial" w:cs="Arial" w:eastAsia="Arial"/>
                <w:b/>
                <w:bCs/>
                <w:color w:val="0059D1"/>
                <w:sz w:val="16"/>
                <w:szCs w:val="16"/>
              </w:rPr>
              <w:t>[INSERT: reference procedure or document]</w:t>
            </w:r>
          </w:p>
        </w:tc>
      </w:tr>
    </w:tbl>
    <w:p>
      <w:pPr>
        <w:pStyle w:val="NormalNumberedtext"/>
      </w:pPr>
    </w:p>
    <w:p>
      <w:pPr>
        <w:pStyle w:val="NormalNumberedtext"/>
      </w:pPr>
      <w:r>
        <w:t>PPE requirements for high-risk tasks are identified during the JHA process and documented in the JHA and the relevant work permit. Task-specific PPE must address the hazards identified in that specific work environment and must not be substituted with lower-specification items without a revised task-level risk assessment. The project Permit to Work system is governed by the Permit to Work Procedure, [INSERT: Project Document Number].</w:t>
      </w:r>
    </w:p>
    <w:p>
      <w:pPr>
        <w:pStyle w:val="NormalNumberedtext"/>
      </w:pPr>
    </w:p>
    <w:p>
      <w:pPr>
        <w:pStyle w:val="Heading1Numbered"/>
        <w:numPr>
          <w:ilvl w:val="0"/>
          <w:numId w:val="1"/>
        </w:numPr>
      </w:pPr>
      <w:r>
        <w:rPr>
          <w:rFonts w:ascii="Arial" w:hAnsi="Arial" w:cs="Arial" w:eastAsia="Arial"/>
        </w:rPr>
        <w:t>Training, Inspection and Maintenance</w:t>
      </w:r>
    </w:p>
    <w:p>
      <w:pPr>
        <w:pStyle w:val="NormalNumberedtext"/>
      </w:pPr>
      <w:r>
        <w:t>This section defines training requirements for PPE use and the inspection, maintenance, storage, and replacement requirements that apply to all PPE on the project.</w:t>
      </w:r>
    </w:p>
    <w:p>
      <w:pPr>
        <w:pStyle w:val="NormalNumberedtext"/>
      </w:pPr>
    </w:p>
    <w:p>
      <w:pPr>
        <w:pStyle w:val="Heading2Numbered"/>
        <w:numPr>
          <w:ilvl w:val="1"/>
          <w:numId w:val="1"/>
        </w:numPr>
      </w:pPr>
      <w:r>
        <w:rPr>
          <w:rFonts w:ascii="Arial" w:hAnsi="Arial" w:cs="Arial" w:eastAsia="Arial"/>
        </w:rPr>
        <w:t>PPE Training Requirements</w:t>
      </w:r>
    </w:p>
    <w:p>
      <w:pPr>
        <w:pStyle w:val="NormalNumberedtext"/>
      </w:pPr>
      <w:r>
        <w:t>This section defines when PPE training is required, what it must cover, and how completion is recorded.</w:t>
      </w:r>
    </w:p>
    <w:p>
      <w:pPr>
        <w:pStyle w:val="NormalNumberedtext"/>
      </w:pPr>
      <w:r>
        <w:t>All personnel must be trained in the correct use, care, and limitations of their required PPE before using that PPE on the project. Training must be completed before the personnel member commences work in any area or on any task that requires the relevant PPE.</w:t>
      </w:r>
    </w:p>
    <w:p>
      <w:pPr>
        <w:pStyle w:val="NormalNumberedtext"/>
      </w:pPr>
      <w:r>
        <w:t>PPE training covers the following as a minimum:</w:t>
      </w:r>
    </w:p>
    <w:p>
      <w:pPr>
        <w:pStyle w:val="NormalNumberedtext"/>
      </w:pPr>
      <w:r>
        <w:t>PPE training addresses the following for each PPE category relevant to the personnel member's role and tasks:</w:t>
      </w:r>
    </w:p>
    <w:p>
      <w:pPr>
        <w:pStyle w:val="NumberedBulletL1"/>
      </w:pPr>
      <w:r>
        <w:t>The hazards against which the PPE provides protection and the limitations of that protection.</w:t>
      </w:r>
    </w:p>
    <w:p>
      <w:pPr>
        <w:pStyle w:val="NumberedBulletL1"/>
      </w:pPr>
      <w:r>
        <w:t>The correct method for fitting, adjusting, and wearing the PPE, including pre-use fit checks where required.</w:t>
      </w:r>
    </w:p>
    <w:p>
      <w:pPr>
        <w:pStyle w:val="NumberedBulletL1"/>
      </w:pPr>
      <w:r>
        <w:t>The inspection procedure for identifying damage or deterioration before each use.</w:t>
      </w:r>
    </w:p>
    <w:p>
      <w:pPr>
        <w:pStyle w:val="NumberedBulletL1"/>
      </w:pPr>
      <w:r>
        <w:t>The correct storage and cleaning method to prevent deterioration between uses.</w:t>
      </w:r>
    </w:p>
    <w:p>
      <w:pPr>
        <w:pStyle w:val="NumberedBulletL1"/>
      </w:pPr>
      <w:r>
        <w:t>The criteria that require the PPE to be removed from service and replaced.</w:t>
      </w:r>
    </w:p>
    <w:p>
      <w:pPr>
        <w:pStyle w:val="NumberedBulletL1"/>
      </w:pPr>
      <w:r>
        <w:rPr>
          <w:color w:val="C55A11"/>
        </w:rPr>
        <w:t>For respiratory protective equipment - the quantitative or qualitative fit test process and the conditions that require a fit test to be repeated, such as facial hair changes or weight change.</w:t>
      </w:r>
    </w:p>
    <w:p>
      <w:pPr>
        <w:pStyle w:val="NormalNumberedtext"/>
      </w:pPr>
      <w:r>
        <w:t>PPE training is documented in the project training register, [INSERT: Project Document Number], consistent with the requirements of the Training Procedure, [INSERT: Project Document Number]. The</w:t>
      </w:r>
    </w:p>
    <w:p>
      <w:pPr>
        <w:pStyle w:val="NormalNumberedtext"/>
      </w:pPr>
      <w:r>
        <w:rPr>
          <w:b/>
          <w:bCs/>
          <w:color w:val="0059D1"/>
        </w:rPr>
        <w:t>[INSERT: ppe_training_owner] — Role responsible for confirming PPE training completion is recorded, e.g. HSESC Manager or Training Coordinator</w:t>
      </w:r>
    </w:p>
    <w:p>
      <w:pPr>
        <w:pStyle w:val="NormalNumberedtext"/>
      </w:pPr>
      <w:r>
        <w:t>confirms that training records are current and accessible before any personnel member commences work requiring the relevant PPE.</w:t>
      </w:r>
    </w:p>
    <w:p>
      <w:pPr>
        <w:pStyle w:val="NormalNumberedtext"/>
      </w:pPr>
    </w:p>
    <w:p>
      <w:pPr>
        <w:pStyle w:val="Heading2Numbered"/>
        <w:numPr>
          <w:ilvl w:val="1"/>
          <w:numId w:val="1"/>
        </w:numPr>
      </w:pPr>
      <w:r>
        <w:rPr>
          <w:rFonts w:ascii="Arial" w:hAnsi="Arial" w:cs="Arial" w:eastAsia="Arial"/>
        </w:rPr>
        <w:t>PPE Inspection Requirements</w:t>
      </w:r>
    </w:p>
    <w:p>
      <w:pPr>
        <w:pStyle w:val="NormalNumberedtext"/>
      </w:pPr>
      <w:r>
        <w:t>This section defines pre-use inspection requirements and the criteria for removing PPE from service.</w:t>
      </w:r>
    </w:p>
    <w:p>
      <w:pPr>
        <w:pStyle w:val="NormalNumberedtext"/>
      </w:pPr>
      <w:r>
        <w:t>All personnel inspect their PPE before each use. Any PPE found to be damaged, defective, or deteriorated beyond its serviceable condition must be immediately removed from service and replaced. Damaged or defective PPE must not be repaired and returned to service unless the repair is explicitly permitted and documented by the manufacturer.</w:t>
      </w:r>
    </w:p>
    <w:p>
      <w:pPr>
        <w:pStyle w:val="NormalNumberedtext"/>
      </w:pPr>
      <w:r>
        <w:t>The work supervisor confirms that all PPE in use within the work group is in serviceable condition at the start of each shift. The following criteria require PPE to be removed from service immediately:</w:t>
      </w:r>
    </w:p>
    <w:p>
      <w:pPr>
        <w:pStyle w:val="NormalNumberedtext"/>
      </w:pPr>
      <w:r>
        <w:t>Table 4: PPE Removal-From-Service Criteria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PPE Category</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Remove From Service If</w:t>
            </w:r>
          </w:p>
        </w:tc>
      </w:tr>
      <w:tr>
        <w:tc>
          <w:tcPr>
            <w:tcW w:type="dxa" w:w="4513"/>
          </w:tcPr>
          <w:p>
            <w:pPr>
              <w:pStyle w:val="TableContents"/>
              <w:spacing w:before="0" w:after="0" w:line="240" w:lineRule="atLeast"/>
            </w:pPr>
            <w:r>
              <w:rPr>
                <w:rFonts w:ascii="Arial" w:hAnsi="Arial" w:cs="Arial" w:eastAsia="Arial"/>
                <w:sz w:val="16"/>
                <w:szCs w:val="16"/>
              </w:rPr>
              <w:t>Safety helmet</w:t>
            </w:r>
          </w:p>
        </w:tc>
        <w:tc>
          <w:tcPr>
            <w:tcW w:type="dxa" w:w="4513"/>
          </w:tcPr>
          <w:p>
            <w:pPr>
              <w:pStyle w:val="TableContents"/>
              <w:spacing w:before="0" w:after="0" w:line="240" w:lineRule="atLeast"/>
            </w:pPr>
            <w:r>
              <w:rPr>
                <w:rFonts w:ascii="Arial" w:hAnsi="Arial" w:cs="Arial" w:eastAsia="Arial"/>
                <w:sz w:val="16"/>
                <w:szCs w:val="16"/>
              </w:rPr>
              <w:t>Visible cracks, deformation, penetration, or exposure to chemical or impact event; manufacture date exceeds service life</w:t>
            </w:r>
          </w:p>
        </w:tc>
      </w:tr>
      <w:tr>
        <w:tc>
          <w:tcPr>
            <w:tcW w:type="dxa" w:w="4513"/>
          </w:tcPr>
          <w:p>
            <w:pPr>
              <w:pStyle w:val="TableContents"/>
              <w:spacing w:before="0" w:after="0" w:line="240" w:lineRule="atLeast"/>
            </w:pPr>
            <w:r>
              <w:rPr>
                <w:rFonts w:ascii="Arial" w:hAnsi="Arial" w:cs="Arial" w:eastAsia="Arial"/>
                <w:sz w:val="16"/>
                <w:szCs w:val="16"/>
              </w:rPr>
              <w:t>Safety glasses</w:t>
            </w:r>
          </w:p>
        </w:tc>
        <w:tc>
          <w:tcPr>
            <w:tcW w:type="dxa" w:w="4513"/>
          </w:tcPr>
          <w:p>
            <w:pPr>
              <w:pStyle w:val="TableContents"/>
              <w:spacing w:before="0" w:after="0" w:line="240" w:lineRule="atLeast"/>
            </w:pPr>
            <w:r>
              <w:rPr>
                <w:rFonts w:ascii="Arial" w:hAnsi="Arial" w:cs="Arial" w:eastAsia="Arial"/>
                <w:sz w:val="16"/>
                <w:szCs w:val="16"/>
              </w:rPr>
              <w:t>Lens scratching that impairs vision clarity; frame distortion; missing side shields</w:t>
            </w:r>
          </w:p>
        </w:tc>
      </w:tr>
      <w:tr>
        <w:tc>
          <w:tcPr>
            <w:tcW w:type="dxa" w:w="4513"/>
          </w:tcPr>
          <w:p>
            <w:pPr>
              <w:pStyle w:val="TableContents"/>
              <w:spacing w:before="0" w:after="0" w:line="240" w:lineRule="atLeast"/>
            </w:pPr>
            <w:r>
              <w:rPr>
                <w:rFonts w:ascii="Arial" w:hAnsi="Arial" w:cs="Arial" w:eastAsia="Arial"/>
                <w:sz w:val="16"/>
                <w:szCs w:val="16"/>
              </w:rPr>
              <w:t>Safety boots</w:t>
            </w:r>
          </w:p>
        </w:tc>
        <w:tc>
          <w:tcPr>
            <w:tcW w:type="dxa" w:w="4513"/>
          </w:tcPr>
          <w:p>
            <w:pPr>
              <w:pStyle w:val="TableContents"/>
              <w:spacing w:before="0" w:after="0" w:line="240" w:lineRule="atLeast"/>
            </w:pPr>
            <w:r>
              <w:rPr>
                <w:rFonts w:ascii="Arial" w:hAnsi="Arial" w:cs="Arial" w:eastAsia="Arial"/>
                <w:sz w:val="16"/>
                <w:szCs w:val="16"/>
              </w:rPr>
              <w:t>Damage to toe cap, sole separation, or penetration through the upper or midsole</w:t>
            </w:r>
          </w:p>
        </w:tc>
      </w:tr>
      <w:tr>
        <w:tc>
          <w:tcPr>
            <w:tcW w:type="dxa" w:w="4513"/>
          </w:tcPr>
          <w:p>
            <w:pPr>
              <w:pStyle w:val="TableContents"/>
              <w:spacing w:before="0" w:after="0" w:line="240" w:lineRule="atLeast"/>
            </w:pPr>
            <w:r>
              <w:rPr>
                <w:rFonts w:ascii="Arial" w:hAnsi="Arial" w:cs="Arial" w:eastAsia="Arial"/>
                <w:sz w:val="16"/>
                <w:szCs w:val="16"/>
              </w:rPr>
              <w:t>Work gloves</w:t>
            </w:r>
          </w:p>
        </w:tc>
        <w:tc>
          <w:tcPr>
            <w:tcW w:type="dxa" w:w="4513"/>
          </w:tcPr>
          <w:p>
            <w:pPr>
              <w:pStyle w:val="TableContents"/>
              <w:spacing w:before="0" w:after="0" w:line="240" w:lineRule="atLeast"/>
            </w:pPr>
            <w:r>
              <w:rPr>
                <w:rFonts w:ascii="Arial" w:hAnsi="Arial" w:cs="Arial" w:eastAsia="Arial"/>
                <w:sz w:val="16"/>
                <w:szCs w:val="16"/>
              </w:rPr>
              <w:t>Cuts, tears, or punctures through the glove material; chemical contamination that cannot be removed</w:t>
            </w:r>
          </w:p>
        </w:tc>
      </w:tr>
      <w:tr>
        <w:tc>
          <w:tcPr>
            <w:tcW w:type="dxa" w:w="4513"/>
          </w:tcPr>
          <w:p>
            <w:pPr>
              <w:pStyle w:val="TableContents"/>
              <w:spacing w:before="0" w:after="0" w:line="240" w:lineRule="atLeast"/>
            </w:pPr>
            <w:r>
              <w:rPr>
                <w:rFonts w:ascii="Arial" w:hAnsi="Arial" w:cs="Arial" w:eastAsia="Arial"/>
                <w:sz w:val="16"/>
                <w:szCs w:val="16"/>
              </w:rPr>
              <w:t>Full body harness</w:t>
            </w:r>
          </w:p>
        </w:tc>
        <w:tc>
          <w:tcPr>
            <w:tcW w:type="dxa" w:w="4513"/>
          </w:tcPr>
          <w:p>
            <w:pPr>
              <w:pStyle w:val="TableContents"/>
              <w:spacing w:before="0" w:after="0" w:line="240" w:lineRule="atLeast"/>
            </w:pPr>
            <w:r>
              <w:rPr>
                <w:rFonts w:ascii="Arial" w:hAnsi="Arial" w:cs="Arial" w:eastAsia="Arial"/>
                <w:sz w:val="16"/>
                <w:szCs w:val="16"/>
              </w:rPr>
              <w:t>Any arrest event has occurred; webbing cuts, abrasion, or chemical damage; buckle or connector malfunction; manufacture date exceeds service life</w:t>
            </w:r>
          </w:p>
        </w:tc>
      </w:tr>
      <w:tr>
        <w:tc>
          <w:tcPr>
            <w:tcW w:type="dxa" w:w="4513"/>
          </w:tcPr>
          <w:p>
            <w:pPr>
              <w:pStyle w:val="TableContents"/>
              <w:spacing w:before="0" w:after="0" w:line="240" w:lineRule="atLeast"/>
            </w:pPr>
            <w:r>
              <w:rPr>
                <w:rFonts w:ascii="Arial" w:hAnsi="Arial" w:cs="Arial" w:eastAsia="Arial"/>
                <w:sz w:val="16"/>
                <w:szCs w:val="16"/>
              </w:rPr>
              <w:t>Disposable RPE</w:t>
            </w:r>
          </w:p>
        </w:tc>
        <w:tc>
          <w:tcPr>
            <w:tcW w:type="dxa" w:w="4513"/>
          </w:tcPr>
          <w:p>
            <w:pPr>
              <w:pStyle w:val="TableContents"/>
              <w:spacing w:before="0" w:after="0" w:line="240" w:lineRule="atLeast"/>
            </w:pPr>
            <w:r>
              <w:rPr>
                <w:rFonts w:ascii="Arial" w:hAnsi="Arial" w:cs="Arial" w:eastAsia="Arial"/>
                <w:sz w:val="16"/>
                <w:szCs w:val="16"/>
              </w:rPr>
              <w:t>Single shift use only; seal check failure before use; visible damage to filter material or nose piece</w:t>
            </w:r>
          </w:p>
        </w:tc>
      </w:tr>
      <w:tr>
        <w:tc>
          <w:tcPr>
            <w:tcW w:type="dxa" w:w="4513"/>
          </w:tcPr>
          <w:p>
            <w:pPr>
              <w:pStyle w:val="TableContents"/>
              <w:spacing w:before="0" w:after="0" w:line="240" w:lineRule="atLeast"/>
            </w:pPr>
            <w:r>
              <w:rPr>
                <w:rFonts w:ascii="Arial" w:hAnsi="Arial" w:cs="Arial" w:eastAsia="Arial"/>
                <w:sz w:val="16"/>
                <w:szCs w:val="16"/>
              </w:rPr>
              <w:t>Reusable RPE</w:t>
            </w:r>
          </w:p>
        </w:tc>
        <w:tc>
          <w:tcPr>
            <w:tcW w:type="dxa" w:w="4513"/>
          </w:tcPr>
          <w:p>
            <w:pPr>
              <w:pStyle w:val="TableContents"/>
              <w:spacing w:before="0" w:after="0" w:line="240" w:lineRule="atLeast"/>
            </w:pPr>
            <w:r>
              <w:rPr>
                <w:rFonts w:ascii="Arial" w:hAnsi="Arial" w:cs="Arial" w:eastAsia="Arial"/>
                <w:sz w:val="16"/>
                <w:szCs w:val="16"/>
              </w:rPr>
              <w:t>Degraded face seal; failed quantitative or qualitative fit test; damaged valve or cartridge housing; cartridge service life expired</w:t>
            </w:r>
          </w:p>
        </w:tc>
      </w:tr>
      <w:tr>
        <w:tc>
          <w:tcPr>
            <w:tcW w:type="dxa" w:w="4513"/>
          </w:tcPr>
          <w:p>
            <w:pPr>
              <w:pStyle w:val="TableContents"/>
              <w:spacing w:before="0" w:after="0" w:line="240" w:lineRule="atLeast"/>
            </w:pPr>
            <w:r>
              <w:rPr>
                <w:rFonts w:ascii="Arial" w:hAnsi="Arial" w:cs="Arial" w:eastAsia="Arial"/>
                <w:sz w:val="16"/>
                <w:szCs w:val="16"/>
              </w:rPr>
              <w:t>Hearing protection - reusable</w:t>
            </w:r>
          </w:p>
        </w:tc>
        <w:tc>
          <w:tcPr>
            <w:tcW w:type="dxa" w:w="4513"/>
          </w:tcPr>
          <w:p>
            <w:pPr>
              <w:pStyle w:val="TableContents"/>
              <w:spacing w:before="0" w:after="0" w:line="240" w:lineRule="atLeast"/>
            </w:pPr>
            <w:r>
              <w:rPr>
                <w:rFonts w:ascii="Arial" w:hAnsi="Arial" w:cs="Arial" w:eastAsia="Arial"/>
                <w:sz w:val="16"/>
                <w:szCs w:val="16"/>
              </w:rPr>
              <w:t>Visible damage to ear cups, seal, or headband; loss of acoustic seal when fitted</w:t>
            </w:r>
          </w:p>
        </w:tc>
      </w:tr>
      <w:tr>
        <w:tc>
          <w:tcPr>
            <w:tcW w:type="dxa" w:w="4513"/>
          </w:tcPr>
          <w:p>
            <w:pPr>
              <w:pStyle w:val="TableContents"/>
              <w:spacing w:before="0" w:after="0" w:line="240" w:lineRule="atLeast"/>
            </w:pPr>
            <w:r>
              <w:rPr>
                <w:rFonts w:ascii="Arial" w:hAnsi="Arial" w:cs="Arial" w:eastAsia="Arial"/>
                <w:b/>
                <w:bCs/>
                <w:color w:val="0059D1"/>
                <w:sz w:val="16"/>
                <w:szCs w:val="16"/>
              </w:rPr>
              <w:t>[INSERT: additional PPE category]</w:t>
            </w:r>
          </w:p>
        </w:tc>
        <w:tc>
          <w:tcPr>
            <w:tcW w:type="dxa" w:w="4513"/>
          </w:tcPr>
          <w:p>
            <w:pPr>
              <w:pStyle w:val="TableContents"/>
              <w:spacing w:before="0" w:after="0" w:line="240" w:lineRule="atLeast"/>
            </w:pPr>
            <w:r>
              <w:rPr>
                <w:rFonts w:ascii="Arial" w:hAnsi="Arial" w:cs="Arial" w:eastAsia="Arial"/>
                <w:b/>
                <w:bCs/>
                <w:color w:val="0059D1"/>
                <w:sz w:val="16"/>
                <w:szCs w:val="16"/>
              </w:rPr>
              <w:t>[INSERT: removal-from-service criteria]</w:t>
            </w:r>
          </w:p>
        </w:tc>
      </w:tr>
    </w:tbl>
    <w:p>
      <w:pPr>
        <w:pStyle w:val="NormalNumberedtext"/>
      </w:pPr>
    </w:p>
    <w:p>
      <w:pPr>
        <w:pStyle w:val="NormalNumberedtext"/>
      </w:pPr>
      <w:r>
        <w:t>Replacement records are maintained for all PPE removed from service. The</w:t>
      </w:r>
    </w:p>
    <w:p>
      <w:pPr>
        <w:pStyle w:val="NormalNumberedtext"/>
      </w:pPr>
      <w:r>
        <w:rPr>
          <w:b/>
          <w:bCs/>
          <w:color w:val="0059D1"/>
        </w:rPr>
        <w:t>[INSERT: ppe_replacement_record_owner] — Role responsible for maintaining PPE replacement records, e.g. HSESC Manager or site supervisor</w:t>
      </w:r>
    </w:p>
    <w:p>
      <w:pPr>
        <w:pStyle w:val="NormalNumberedtext"/>
      </w:pPr>
      <w:r>
        <w:t>maintains replacement records in</w:t>
      </w:r>
    </w:p>
    <w:p>
      <w:pPr>
        <w:pStyle w:val="NormalNumberedtext"/>
      </w:pPr>
      <w:r>
        <w:rPr>
          <w:b/>
          <w:bCs/>
          <w:color w:val="0059D1"/>
        </w:rPr>
        <w:t>[INSERT: ppe_replacement_record_location] — Location where PPE replacement records are stored, e.g. document management system name and folder path</w:t>
      </w:r>
    </w:p>
    <w:p>
      <w:pPr>
        <w:pStyle w:val="NormalNumberedtext"/>
      </w:pPr>
      <w:r>
        <w:t>and confirms all replaced PPE is disposed of in a manner that prevents its return to service.</w:t>
      </w:r>
    </w:p>
    <w:p>
      <w:pPr>
        <w:pStyle w:val="NormalNumberedtext"/>
      </w:pPr>
    </w:p>
    <w:p>
      <w:pPr>
        <w:pStyle w:val="Heading2Numbered"/>
        <w:numPr>
          <w:ilvl w:val="1"/>
          <w:numId w:val="1"/>
        </w:numPr>
      </w:pPr>
      <w:r>
        <w:rPr>
          <w:rFonts w:ascii="Arial" w:hAnsi="Arial" w:cs="Arial" w:eastAsia="Arial"/>
        </w:rPr>
        <w:t>PPE Storage and Maintenance</w:t>
      </w:r>
    </w:p>
    <w:p>
      <w:pPr>
        <w:pStyle w:val="NormalNumberedtext"/>
      </w:pPr>
      <w:r>
        <w:t>This section defines storage requirements and periodic maintenance obligations for all PPE categories used on the project.</w:t>
      </w:r>
    </w:p>
    <w:p>
      <w:pPr>
        <w:pStyle w:val="NormalNumberedtext"/>
      </w:pPr>
      <w:r>
        <w:t>All PPE is stored appropriately to prevent deterioration or damage between uses. Storage arrangements are consistent with the manufacturer's instructions for each PPE category and protect PPE from ultraviolet exposure, chemical contamination, extreme temperature, and mechanical damage.</w:t>
      </w:r>
    </w:p>
    <w:p>
      <w:pPr>
        <w:pStyle w:val="NormalNumberedtext"/>
      </w:pPr>
      <w:r>
        <w:t>The minimum storage requirements for PPE on this project are:</w:t>
      </w:r>
    </w:p>
    <w:p>
      <w:pPr>
        <w:pStyle w:val="NumberedBulletL1"/>
      </w:pPr>
      <w:r>
        <w:t>Safety helmets are stored away from direct sunlight and chemical vapours when not in use and are not stored in vehicle rear windows or areas subject to high heat.</w:t>
      </w:r>
    </w:p>
    <w:p>
      <w:pPr>
        <w:pStyle w:val="NumberedBulletL1"/>
      </w:pPr>
      <w:r>
        <w:t>Respiratory protective equipment is stored in sealed cases or bags to prevent contamination of filter media and face seals between uses.</w:t>
      </w:r>
    </w:p>
    <w:p>
      <w:pPr>
        <w:pStyle w:val="NumberedBulletL1"/>
      </w:pPr>
      <w:r>
        <w:t>Full body harnesses are stored hung or laid flat in a clean, dry, UV-protected location and are not stored in contact with chemicals, oils, or sharp edges.</w:t>
      </w:r>
    </w:p>
    <w:p>
      <w:pPr>
        <w:pStyle w:val="NumberedBulletL1"/>
      </w:pPr>
      <w:r>
        <w:rPr>
          <w:color w:val="C55A11"/>
        </w:rPr>
        <w:t>Disposable PPE items - including disposable respirators and single-use gloves - are stored in their original sealed packaging until the point of use and are not pre-opened or carried loosely in pockets or toolboxes.</w:t>
      </w:r>
    </w:p>
    <w:p>
      <w:pPr>
        <w:pStyle w:val="NumberedBulletL1"/>
      </w:pPr>
      <w:r>
        <w:rPr>
          <w:color w:val="C55A11"/>
        </w:rPr>
        <w:t>A dedicated PPE storage area is designated at the site laydown or crib facility, with labelled storage for each PPE category and clear separation of serviceable and removed-from-service items.</w:t>
      </w:r>
    </w:p>
    <w:p>
      <w:pPr>
        <w:pStyle w:val="NormalNumberedtext"/>
      </w:pPr>
      <w:r>
        <w:t>Inspection records for PPE subject to periodic formal inspection - including full body harnesses, fall arrest devices, and reusable RPE - are maintained in</w:t>
      </w:r>
    </w:p>
    <w:p>
      <w:pPr>
        <w:pStyle w:val="NormalNumberedtext"/>
      </w:pPr>
      <w:r>
        <w:rPr>
          <w:b/>
          <w:bCs/>
          <w:color w:val="0059D1"/>
        </w:rPr>
        <w:t>[INSERT: ppe_inspection_record_location] — Location where periodic PPE inspection records are stored, e.g. document management system name and folder path</w:t>
      </w:r>
    </w:p>
    <w:p>
      <w:pPr>
        <w:pStyle w:val="NormalNumberedtext"/>
      </w:pPr>
      <w:r>
        <w:t>Periodic formal inspections are conducted at the frequency defined in Table 5 or at the manufacturer's recommended interval, whichever is more frequent.</w:t>
      </w:r>
    </w:p>
    <w:p>
      <w:pPr>
        <w:pStyle w:val="NormalNumberedtext"/>
      </w:pPr>
      <w:r>
        <w:t>Table 5: Periodic PPE Inspection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PPE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Inspection 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Inspection Method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Record Location</w:t>
            </w:r>
          </w:p>
        </w:tc>
      </w:tr>
      <w:tr>
        <w:tc>
          <w:tcPr>
            <w:tcW w:type="dxa" w:w="2256"/>
          </w:tcPr>
          <w:p>
            <w:pPr>
              <w:pStyle w:val="TableContents"/>
              <w:spacing w:before="0" w:after="0" w:line="240" w:lineRule="atLeast"/>
            </w:pPr>
            <w:r>
              <w:rPr>
                <w:rFonts w:ascii="Arial" w:hAnsi="Arial" w:cs="Arial" w:eastAsia="Arial"/>
                <w:sz w:val="16"/>
                <w:szCs w:val="16"/>
              </w:rPr>
              <w:t>Full body harness and lanyards</w:t>
            </w:r>
          </w:p>
        </w:tc>
        <w:tc>
          <w:tcPr>
            <w:tcW w:type="dxa" w:w="2256"/>
          </w:tcPr>
          <w:p>
            <w:pPr>
              <w:pStyle w:val="TableContents"/>
              <w:spacing w:before="0" w:after="0" w:line="240" w:lineRule="atLeast"/>
            </w:pPr>
            <w:r>
              <w:rPr>
                <w:rFonts w:ascii="Arial" w:hAnsi="Arial" w:cs="Arial" w:eastAsia="Arial"/>
                <w:sz w:val="16"/>
                <w:szCs w:val="16"/>
              </w:rPr>
              <w:t>Before each use by the wearer; formal inspection every 6 months by a competent person</w:t>
            </w:r>
          </w:p>
        </w:tc>
        <w:tc>
          <w:tcPr>
            <w:tcW w:type="dxa" w:w="2256"/>
          </w:tcPr>
          <w:p>
            <w:pPr>
              <w:pStyle w:val="TableContents"/>
              <w:spacing w:before="0" w:after="0" w:line="240" w:lineRule="atLeast"/>
            </w:pPr>
            <w:r>
              <w:rPr>
                <w:rFonts w:ascii="Arial" w:hAnsi="Arial" w:cs="Arial" w:eastAsia="Arial"/>
                <w:sz w:val="16"/>
                <w:szCs w:val="16"/>
              </w:rPr>
              <w:t>Visual and tactile inspection per manufacturer checklist</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r>
        <w:tc>
          <w:tcPr>
            <w:tcW w:type="dxa" w:w="2256"/>
          </w:tcPr>
          <w:p>
            <w:pPr>
              <w:pStyle w:val="TableContents"/>
              <w:spacing w:before="0" w:after="0" w:line="240" w:lineRule="atLeast"/>
            </w:pPr>
            <w:r>
              <w:rPr>
                <w:rFonts w:ascii="Arial" w:hAnsi="Arial" w:cs="Arial" w:eastAsia="Arial"/>
                <w:sz w:val="16"/>
                <w:szCs w:val="16"/>
              </w:rPr>
              <w:t>Reusable RPE - face piece and valves</w:t>
            </w:r>
          </w:p>
        </w:tc>
        <w:tc>
          <w:tcPr>
            <w:tcW w:type="dxa" w:w="2256"/>
          </w:tcPr>
          <w:p>
            <w:pPr>
              <w:pStyle w:val="TableContents"/>
              <w:spacing w:before="0" w:after="0" w:line="240" w:lineRule="atLeast"/>
            </w:pPr>
            <w:r>
              <w:rPr>
                <w:rFonts w:ascii="Arial" w:hAnsi="Arial" w:cs="Arial" w:eastAsia="Arial"/>
                <w:sz w:val="16"/>
                <w:szCs w:val="16"/>
              </w:rPr>
              <w:t>Before each use by the wearer; formal inspection per manufacturer service interval</w:t>
            </w:r>
          </w:p>
        </w:tc>
        <w:tc>
          <w:tcPr>
            <w:tcW w:type="dxa" w:w="2256"/>
          </w:tcPr>
          <w:p>
            <w:pPr>
              <w:pStyle w:val="TableContents"/>
              <w:spacing w:before="0" w:after="0" w:line="240" w:lineRule="atLeast"/>
            </w:pPr>
            <w:r>
              <w:rPr>
                <w:rFonts w:ascii="Arial" w:hAnsi="Arial" w:cs="Arial" w:eastAsia="Arial"/>
                <w:sz w:val="16"/>
                <w:szCs w:val="16"/>
              </w:rPr>
              <w:t>Visual inspection and seal check per manufacturer guidance</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r>
        <w:tc>
          <w:tcPr>
            <w:tcW w:type="dxa" w:w="2256"/>
          </w:tcPr>
          <w:p>
            <w:pPr>
              <w:pStyle w:val="TableContents"/>
              <w:spacing w:before="0" w:after="0" w:line="240" w:lineRule="atLeast"/>
            </w:pPr>
            <w:r>
              <w:rPr>
                <w:rFonts w:ascii="Arial" w:hAnsi="Arial" w:cs="Arial" w:eastAsia="Arial"/>
                <w:sz w:val="16"/>
                <w:szCs w:val="16"/>
              </w:rPr>
              <w:t>Reusable hearing protection</w:t>
            </w:r>
          </w:p>
        </w:tc>
        <w:tc>
          <w:tcPr>
            <w:tcW w:type="dxa" w:w="2256"/>
          </w:tcPr>
          <w:p>
            <w:pPr>
              <w:pStyle w:val="TableContents"/>
              <w:spacing w:before="0" w:after="0" w:line="240" w:lineRule="atLeast"/>
            </w:pPr>
            <w:r>
              <w:rPr>
                <w:rFonts w:ascii="Arial" w:hAnsi="Arial" w:cs="Arial" w:eastAsia="Arial"/>
                <w:sz w:val="16"/>
                <w:szCs w:val="16"/>
              </w:rPr>
              <w:t>Before each use by the wearer</w:t>
            </w:r>
          </w:p>
        </w:tc>
        <w:tc>
          <w:tcPr>
            <w:tcW w:type="dxa" w:w="2256"/>
          </w:tcPr>
          <w:p>
            <w:pPr>
              <w:pStyle w:val="TableContents"/>
              <w:spacing w:before="0" w:after="0" w:line="240" w:lineRule="atLeast"/>
            </w:pPr>
            <w:r>
              <w:rPr>
                <w:rFonts w:ascii="Arial" w:hAnsi="Arial" w:cs="Arial" w:eastAsia="Arial"/>
                <w:sz w:val="16"/>
                <w:szCs w:val="16"/>
              </w:rPr>
              <w:t>Visual inspection for damage to cup, seal, and headband</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PPE requiring periodic inspection]</w:t>
            </w:r>
          </w:p>
        </w:tc>
        <w:tc>
          <w:tcPr>
            <w:tcW w:type="dxa" w:w="2256"/>
          </w:tcPr>
          <w:p>
            <w:pPr>
              <w:pStyle w:val="TableContents"/>
              <w:spacing w:before="0" w:after="0" w:line="240" w:lineRule="atLeast"/>
            </w:pPr>
            <w:r>
              <w:rPr>
                <w:rFonts w:ascii="Arial" w:hAnsi="Arial" w:cs="Arial" w:eastAsia="Arial"/>
                <w:b/>
                <w:bCs/>
                <w:color w:val="0059D1"/>
                <w:sz w:val="16"/>
                <w:szCs w:val="16"/>
              </w:rPr>
              <w:t>[INSERT: inspection frequency]</w:t>
            </w:r>
          </w:p>
        </w:tc>
        <w:tc>
          <w:tcPr>
            <w:tcW w:type="dxa" w:w="2256"/>
          </w:tcPr>
          <w:p>
            <w:pPr>
              <w:pStyle w:val="TableContents"/>
              <w:spacing w:before="0" w:after="0" w:line="240" w:lineRule="atLeast"/>
            </w:pPr>
            <w:r>
              <w:rPr>
                <w:rFonts w:ascii="Arial" w:hAnsi="Arial" w:cs="Arial" w:eastAsia="Arial"/>
                <w:b/>
                <w:bCs/>
                <w:color w:val="0059D1"/>
                <w:sz w:val="16"/>
                <w:szCs w:val="16"/>
              </w:rPr>
              <w:t>[INSERT: inspection method]</w:t>
            </w:r>
          </w:p>
        </w:tc>
        <w:tc>
          <w:tcPr>
            <w:tcW w:type="dxa" w:w="2258"/>
          </w:tcPr>
          <w:p>
            <w:pPr>
              <w:pStyle w:val="TableContents"/>
              <w:spacing w:before="0" w:after="0" w:line="240" w:lineRule="atLeast"/>
            </w:pPr>
            <w:r>
              <w:rPr>
                <w:rFonts w:ascii="Arial" w:hAnsi="Arial" w:cs="Arial" w:eastAsia="Arial"/>
                <w:b/>
                <w:bCs/>
                <w:color w:val="0059D1"/>
                <w:sz w:val="16"/>
                <w:szCs w:val="16"/>
              </w:rPr>
              <w:t>[INSERT: record location]</w:t>
            </w:r>
          </w:p>
        </w:tc>
      </w:tr>
    </w:tbl>
    <w:p>
      <w:pPr>
        <w:pStyle w:val="NormalNumberedtext"/>
      </w:pPr>
    </w:p>
    <w:p>
      <w:pPr>
        <w:pStyle w:val="Heading2Numbered"/>
        <w:numPr>
          <w:ilvl w:val="1"/>
          <w:numId w:val="1"/>
        </w:numPr>
      </w:pPr>
      <w:r>
        <w:rPr>
          <w:rFonts w:ascii="Arial" w:hAnsi="Arial" w:cs="Arial" w:eastAsia="Arial"/>
        </w:rPr>
        <w:t>Compliance with Applicable Standards</w:t>
      </w:r>
    </w:p>
    <w:p>
      <w:pPr>
        <w:pStyle w:val="NormalNumberedtext"/>
      </w:pPr>
      <w:r>
        <w:t>This section confirms the standard-setting hierarchy for PPE on the project and the process for resolving conflicts between jurisdictional requirements and Rio Tinto standards.</w:t>
      </w:r>
    </w:p>
    <w:p>
      <w:pPr>
        <w:pStyle w:val="NormalNumberedtext"/>
      </w:pPr>
      <w:r>
        <w:t>All PPE used on the project meets or exceeds Applicable Laws. Where Rio Tinto standards are more stringent than local legislation or jurisdictional requirements, the Rio Tinto standard applies. The</w:t>
      </w:r>
    </w:p>
    <w:p>
      <w:pPr>
        <w:pStyle w:val="NormalNumberedtext"/>
      </w:pPr>
      <w:r>
        <w:rPr>
          <w:b/>
          <w:bCs/>
          <w:color w:val="0059D1"/>
        </w:rPr>
        <w:t>[INSERT: ppe_compliance_owner] — Role responsible for confirming PPE meets applicable standards, e.g. HSESC Manager</w:t>
      </w:r>
    </w:p>
    <w:p>
      <w:pPr>
        <w:pStyle w:val="NormalNumberedtext"/>
      </w:pPr>
      <w:r>
        <w:t>confirms compliance with Applicable Laws during the procurement and acceptance process for all PPE categories before they are approved for use on the project.</w:t>
      </w:r>
    </w:p>
    <w:p>
      <w:pPr>
        <w:pStyle w:val="NormalNumberedtext"/>
      </w:pPr>
      <w:r>
        <w:t>The applicable standards and certification marks accepted for each PPE category on this project are defined in Appendix A. PPE that does not carry the required certification mark or that cannot be verified against a recognised testing standard is not accepted for use on the project.</w:t>
      </w:r>
    </w:p>
    <w:p>
      <w:pPr>
        <w:pStyle w:val="NormalNumberedtext"/>
      </w:pPr>
      <w:r>
        <w:t>Report all incidents and near misses involving PPE failure or inadequacy per project requirements,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any device or appliance designed to be worn or held by an individual for protection against one or more health and safety hazards.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Sustainability Committee - the governing body responsible for overseeing HSES performance and compliance on Rio Tinto owner-led projects.</w:t>
            </w:r>
          </w:p>
        </w:tc>
      </w:tr>
      <w:tr>
        <w:tc>
          <w:tcPr>
            <w:tcW w:type="dxa" w:w="4888"/>
          </w:tcPr>
          <w:p>
            <w:pPr>
              <w:pStyle w:val="TableContents"/>
              <w:spacing w:before="0" w:after="0" w:line="240" w:lineRule="atLeast"/>
            </w:pPr>
            <w:r>
              <w:rPr>
                <w:rFonts w:ascii="Arial" w:hAnsi="Arial" w:cs="Arial" w:eastAsia="Arial"/>
                <w:sz w:val="16"/>
                <w:szCs w:val="16"/>
              </w:rPr>
              <w:t>HSES</w:t>
            </w:r>
          </w:p>
        </w:tc>
        <w:tc>
          <w:tcPr>
            <w:tcW w:type="dxa" w:w="4889"/>
          </w:tcPr>
          <w:p>
            <w:pPr>
              <w:pStyle w:val="TableContents"/>
              <w:spacing w:before="0" w:after="0" w:line="240" w:lineRule="atLeast"/>
            </w:pPr>
            <w:r>
              <w:rPr>
                <w:rFonts w:ascii="Arial" w:hAnsi="Arial" w:cs="Arial" w:eastAsia="Arial"/>
                <w:sz w:val="16"/>
                <w:szCs w:val="16"/>
              </w:rPr>
              <w:t>Health, Safety, Environment and Sustainability - the integrated discipline encompassing occupational health, safety, environmental protection, and sustainability management.</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project owner and parent organisation responsible for setting minimum HSES standards applicable to all owner-led project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project-specific prefix designating procedures, registers, forms, and plans developed under the Rio Tinto owner-led project management system.</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describing the mandatory steps, responsibilities, and requirements for carrying out a defined activity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document used to record, track, and maintain evidence of specific activities, assessments, or compliance items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technique that identifies hazards associated with each step of a task and determines appropriate controls, including PPE requirements, before work commences.</w:t>
            </w:r>
          </w:p>
        </w:tc>
      </w:tr>
      <w:tr>
        <w:tc>
          <w:tcPr>
            <w:tcW w:type="dxa" w:w="4888"/>
          </w:tcPr>
          <w:p>
            <w:pPr>
              <w:pStyle w:val="TableContents"/>
              <w:spacing w:before="0" w:after="0" w:line="240" w:lineRule="atLeast"/>
            </w:pPr>
            <w:r>
              <w:rPr>
                <w:rFonts w:ascii="Arial" w:hAnsi="Arial" w:cs="Arial" w:eastAsia="Arial"/>
                <w:sz w:val="16"/>
                <w:szCs w:val="16"/>
              </w:rPr>
              <w:t>SWP</w:t>
            </w:r>
          </w:p>
        </w:tc>
        <w:tc>
          <w:tcPr>
            <w:tcW w:type="dxa" w:w="4889"/>
          </w:tcPr>
          <w:p>
            <w:pPr>
              <w:pStyle w:val="TableContents"/>
              <w:spacing w:before="0" w:after="0" w:line="240" w:lineRule="atLeast"/>
            </w:pPr>
            <w:r>
              <w:rPr>
                <w:rFonts w:ascii="Arial" w:hAnsi="Arial" w:cs="Arial" w:eastAsia="Arial"/>
                <w:sz w:val="16"/>
                <w:szCs w:val="16"/>
              </w:rPr>
              <w:t>Safe Work Procedure - a documented, step-by-step set of instructions describing how to perform a task safely, incorporating identified hazard controls and required PPE.</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required for high-risk construction work that identifies the work to be carried out, associated hazards, and the controls, including PPE, to be implemented.</w:t>
            </w:r>
          </w:p>
        </w:tc>
      </w:tr>
      <w:tr>
        <w:tc>
          <w:tcPr>
            <w:tcW w:type="dxa" w:w="4888"/>
          </w:tcPr>
          <w:p>
            <w:pPr>
              <w:pStyle w:val="TableContents"/>
              <w:spacing w:before="0" w:after="0" w:line="240" w:lineRule="atLeast"/>
            </w:pPr>
            <w:r>
              <w:rPr>
                <w:rFonts w:ascii="Arial" w:hAnsi="Arial" w:cs="Arial" w:eastAsia="Arial"/>
                <w:sz w:val="16"/>
                <w:szCs w:val="16"/>
              </w:rPr>
              <w:t>HRA</w:t>
            </w:r>
          </w:p>
        </w:tc>
        <w:tc>
          <w:tcPr>
            <w:tcW w:type="dxa" w:w="4889"/>
          </w:tcPr>
          <w:p>
            <w:pPr>
              <w:pStyle w:val="TableContents"/>
              <w:spacing w:before="0" w:after="0" w:line="240" w:lineRule="atLeast"/>
            </w:pPr>
            <w:r>
              <w:rPr>
                <w:rFonts w:ascii="Arial" w:hAnsi="Arial" w:cs="Arial" w:eastAsia="Arial"/>
                <w:sz w:val="16"/>
                <w:szCs w:val="16"/>
              </w:rPr>
              <w:t>High-Risk Activity - any task or operation identified through risk assessment as having the potential to cause serious injury or illness, requiring enhanced PPE selection and additional controls.</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document provided by a chemical manufacturer or supplier that contains information on the properties, hazards, safe handling, storage, and required PPE for a hazardous chemical.</w:t>
            </w:r>
          </w:p>
        </w:tc>
      </w:tr>
      <w:tr>
        <w:tc>
          <w:tcPr>
            <w:tcW w:type="dxa" w:w="4888"/>
          </w:tcPr>
          <w:p>
            <w:pPr>
              <w:pStyle w:val="TableContents"/>
              <w:spacing w:before="0" w:after="0" w:line="240" w:lineRule="atLeast"/>
            </w:pPr>
            <w:r>
              <w:rPr>
                <w:rFonts w:ascii="Arial" w:hAnsi="Arial" w:cs="Arial" w:eastAsia="Arial"/>
                <w:sz w:val="16"/>
                <w:szCs w:val="16"/>
              </w:rPr>
              <w:t>RPE</w:t>
            </w:r>
          </w:p>
        </w:tc>
        <w:tc>
          <w:tcPr>
            <w:tcW w:type="dxa" w:w="4889"/>
          </w:tcPr>
          <w:p>
            <w:pPr>
              <w:pStyle w:val="TableContents"/>
              <w:spacing w:before="0" w:after="0" w:line="240" w:lineRule="atLeast"/>
            </w:pPr>
            <w:r>
              <w:rPr>
                <w:rFonts w:ascii="Arial" w:hAnsi="Arial" w:cs="Arial" w:eastAsia="Arial"/>
                <w:sz w:val="16"/>
                <w:szCs w:val="16"/>
              </w:rPr>
              <w:t>Respiratory Protective Equipment - a category of PPE designed to protect the wearer from inhaling hazardous substances, including dusts, fumes, vapours, gases, and biological agents.</w:t>
            </w:r>
          </w:p>
        </w:tc>
      </w:tr>
      <w:tr>
        <w:tc>
          <w:tcPr>
            <w:tcW w:type="dxa" w:w="4888"/>
          </w:tcPr>
          <w:p>
            <w:pPr>
              <w:pStyle w:val="TableContents"/>
              <w:spacing w:before="0" w:after="0" w:line="240" w:lineRule="atLeast"/>
            </w:pPr>
            <w:r>
              <w:rPr>
                <w:rFonts w:ascii="Arial" w:hAnsi="Arial" w:cs="Arial" w:eastAsia="Arial"/>
                <w:sz w:val="16"/>
                <w:szCs w:val="16"/>
              </w:rPr>
              <w:t>APF</w:t>
            </w:r>
          </w:p>
        </w:tc>
        <w:tc>
          <w:tcPr>
            <w:tcW w:type="dxa" w:w="4889"/>
          </w:tcPr>
          <w:p>
            <w:pPr>
              <w:pStyle w:val="TableContents"/>
              <w:spacing w:before="0" w:after="0" w:line="240" w:lineRule="atLeast"/>
            </w:pPr>
            <w:r>
              <w:rPr>
                <w:rFonts w:ascii="Arial" w:hAnsi="Arial" w:cs="Arial" w:eastAsia="Arial"/>
                <w:sz w:val="16"/>
                <w:szCs w:val="16"/>
              </w:rPr>
              <w:t>Assigned Protection Factor - a measure of the minimum anticipated level of respiratory protection provided by a correctly fitted and functioning respirator to a trained and properly equipped wearer.</w:t>
            </w:r>
          </w:p>
        </w:tc>
      </w:tr>
      <w:tr>
        <w:tc>
          <w:tcPr>
            <w:tcW w:type="dxa" w:w="4888"/>
          </w:tcPr>
          <w:p>
            <w:pPr>
              <w:pStyle w:val="TableContents"/>
              <w:spacing w:before="0" w:after="0" w:line="240" w:lineRule="atLeast"/>
            </w:pPr>
            <w:r>
              <w:rPr>
                <w:rFonts w:ascii="Arial" w:hAnsi="Arial" w:cs="Arial" w:eastAsia="Arial"/>
                <w:sz w:val="16"/>
                <w:szCs w:val="16"/>
              </w:rPr>
              <w:t>dB</w:t>
            </w:r>
          </w:p>
        </w:tc>
        <w:tc>
          <w:tcPr>
            <w:tcW w:type="dxa" w:w="4889"/>
          </w:tcPr>
          <w:p>
            <w:pPr>
              <w:pStyle w:val="TableContents"/>
              <w:spacing w:before="0" w:after="0" w:line="240" w:lineRule="atLeast"/>
            </w:pPr>
            <w:r>
              <w:rPr>
                <w:rFonts w:ascii="Arial" w:hAnsi="Arial" w:cs="Arial" w:eastAsia="Arial"/>
                <w:sz w:val="16"/>
                <w:szCs w:val="16"/>
              </w:rPr>
              <w:t xml:space="preserve">Decibel - the unit of measurement used to express sound pressure levels; used in noise assessments to determine hearing protection requirements under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TWA</w:t>
            </w:r>
          </w:p>
        </w:tc>
        <w:tc>
          <w:tcPr>
            <w:tcW w:type="dxa" w:w="4889"/>
          </w:tcPr>
          <w:p>
            <w:pPr>
              <w:pStyle w:val="TableContents"/>
              <w:spacing w:before="0" w:after="0" w:line="240" w:lineRule="atLeast"/>
            </w:pPr>
            <w:r>
              <w:rPr>
                <w:rFonts w:ascii="Arial" w:hAnsi="Arial" w:cs="Arial" w:eastAsia="Arial"/>
                <w:sz w:val="16"/>
                <w:szCs w:val="16"/>
              </w:rPr>
              <w:t>Time-Weighted Average - the average exposure level over a defined period, typically an eight-hour work shift, used to assess noise and chemical exposure against occupational exposure limits.</w:t>
            </w:r>
          </w:p>
        </w:tc>
      </w:tr>
      <w:tr>
        <w:tc>
          <w:tcPr>
            <w:tcW w:type="dxa" w:w="4888"/>
          </w:tcPr>
          <w:p>
            <w:pPr>
              <w:pStyle w:val="TableContents"/>
              <w:spacing w:before="0" w:after="0" w:line="240" w:lineRule="atLeast"/>
            </w:pPr>
            <w:r>
              <w:rPr>
                <w:rFonts w:ascii="Arial" w:hAnsi="Arial" w:cs="Arial" w:eastAsia="Arial"/>
                <w:sz w:val="16"/>
                <w:szCs w:val="16"/>
              </w:rPr>
              <w:t>OEL</w:t>
            </w:r>
          </w:p>
        </w:tc>
        <w:tc>
          <w:tcPr>
            <w:tcW w:type="dxa" w:w="4889"/>
          </w:tcPr>
          <w:p>
            <w:pPr>
              <w:pStyle w:val="TableContents"/>
              <w:spacing w:before="0" w:after="0" w:line="240" w:lineRule="atLeast"/>
            </w:pPr>
            <w:r>
              <w:rPr>
                <w:rFonts w:ascii="Arial" w:hAnsi="Arial" w:cs="Arial" w:eastAsia="Arial"/>
                <w:sz w:val="16"/>
                <w:szCs w:val="16"/>
              </w:rPr>
              <w:t>Occupational Exposure Limit - the maximum concentration of a hazardous substance in the workplace air to which workers may be exposed, used to determine the need for respiratory or chemical-resistant PPE.</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specifying minimum performance, testing, and certification requirements for PPE and related equipment used in Australian workplaces.</w:t>
            </w:r>
          </w:p>
        </w:tc>
      </w:tr>
      <w:tr>
        <w:tc>
          <w:tcPr>
            <w:tcW w:type="dxa" w:w="4888"/>
          </w:tcPr>
          <w:p>
            <w:pPr>
              <w:pStyle w:val="TableContents"/>
              <w:spacing w:before="0" w:after="0" w:line="240" w:lineRule="atLeast"/>
            </w:pPr>
            <w:r>
              <w:rPr>
                <w:rFonts w:ascii="Arial" w:hAnsi="Arial" w:cs="Arial" w:eastAsia="Arial"/>
                <w:sz w:val="16"/>
                <w:szCs w:val="16"/>
              </w:rPr>
              <w:t>AS/NZS</w:t>
            </w:r>
          </w:p>
        </w:tc>
        <w:tc>
          <w:tcPr>
            <w:tcW w:type="dxa" w:w="4889"/>
          </w:tcPr>
          <w:p>
            <w:pPr>
              <w:pStyle w:val="TableContents"/>
              <w:spacing w:before="0" w:after="0" w:line="240" w:lineRule="atLeast"/>
            </w:pPr>
            <w:r>
              <w:rPr>
                <w:rFonts w:ascii="Arial" w:hAnsi="Arial" w:cs="Arial" w:eastAsia="Arial"/>
                <w:sz w:val="16"/>
                <w:szCs w:val="16"/>
              </w:rPr>
              <w:t>Australian and New Zealand Standard - a jointly published standard by Standards Australia and Standards New Zealand specifying minimum performance and certification requirements applicable in both jurisdictions.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management of health and safety risks in Australian workplaces, including obligations related to the provision and use of PPE.</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legal term under WHS legislation referring to the entity with the primary duty of care to ensure, so far as is reasonably practicable, the health and safety of workers, including the provision of adequate PPE.</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requiring that residual risk, after the application of higher-order controls, be reduced to a level that is as low as reasonably practicable before PPE is relied upon as a final layer of protection.</w:t>
            </w:r>
          </w:p>
        </w:tc>
      </w:tr>
      <w:tr>
        <w:tc>
          <w:tcPr>
            <w:tcW w:type="dxa" w:w="4888"/>
          </w:tcPr>
          <w:p>
            <w:pPr>
              <w:pStyle w:val="TableContents"/>
              <w:spacing w:before="0" w:after="0" w:line="240" w:lineRule="atLeast"/>
            </w:pPr>
            <w:r>
              <w:rPr>
                <w:rFonts w:ascii="Arial" w:hAnsi="Arial" w:cs="Arial" w:eastAsia="Arial"/>
                <w:sz w:val="16"/>
                <w:szCs w:val="16"/>
              </w:rPr>
              <w:t>HiPo</w:t>
            </w:r>
          </w:p>
        </w:tc>
        <w:tc>
          <w:tcPr>
            <w:tcW w:type="dxa" w:w="4889"/>
          </w:tcPr>
          <w:p>
            <w:pPr>
              <w:pStyle w:val="TableContents"/>
              <w:spacing w:before="0" w:after="0" w:line="240" w:lineRule="atLeast"/>
            </w:pPr>
            <w:r>
              <w:rPr>
                <w:rFonts w:ascii="Arial" w:hAnsi="Arial" w:cs="Arial" w:eastAsia="Arial"/>
                <w:sz w:val="16"/>
                <w:szCs w:val="16"/>
              </w:rPr>
              <w:t>High Potential - a classification applied to incidents or hazards that have the potential to result in a fatality or permanent disabling injury, triggering mandatory investigation and enhanced PPE and control requirements.</w:t>
            </w:r>
          </w:p>
        </w:tc>
      </w:tr>
      <w:tr>
        <w:tc>
          <w:tcPr>
            <w:tcW w:type="dxa" w:w="4888"/>
          </w:tcPr>
          <w:p>
            <w:pPr>
              <w:pStyle w:val="TableContents"/>
              <w:spacing w:before="0" w:after="0" w:line="240" w:lineRule="atLeast"/>
            </w:pPr>
            <w:r>
              <w:rPr>
                <w:rFonts w:ascii="Arial" w:hAnsi="Arial" w:cs="Arial" w:eastAsia="Arial"/>
                <w:sz w:val="16"/>
                <w:szCs w:val="16"/>
              </w:rPr>
              <w:t>arc flash</w:t>
            </w:r>
          </w:p>
        </w:tc>
        <w:tc>
          <w:tcPr>
            <w:tcW w:type="dxa" w:w="4889"/>
          </w:tcPr>
          <w:p>
            <w:pPr>
              <w:pStyle w:val="TableContents"/>
              <w:spacing w:before="0" w:after="0" w:line="240" w:lineRule="atLeast"/>
            </w:pPr>
            <w:r>
              <w:rPr>
                <w:rFonts w:ascii="Arial" w:hAnsi="Arial" w:cs="Arial" w:eastAsia="Arial"/>
                <w:sz w:val="16"/>
                <w:szCs w:val="16"/>
              </w:rPr>
              <w:t xml:space="preserve">A release of energy caused by an electric arc, producing intense heat, pressure waves, and molten metal capable of causing severe burns; requires arc-rated PPE as specified in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cal/cm²</w:t>
            </w:r>
          </w:p>
        </w:tc>
        <w:tc>
          <w:tcPr>
            <w:tcW w:type="dxa" w:w="4889"/>
          </w:tcPr>
          <w:p>
            <w:pPr>
              <w:pStyle w:val="TableContents"/>
              <w:spacing w:before="0" w:after="0" w:line="240" w:lineRule="atLeast"/>
            </w:pPr>
            <w:r>
              <w:rPr>
                <w:rFonts w:ascii="Arial" w:hAnsi="Arial" w:cs="Arial" w:eastAsia="Arial"/>
                <w:sz w:val="16"/>
                <w:szCs w:val="16"/>
              </w:rPr>
              <w:t>Calories per square centimetre - the unit used to express the incident energy of an arc flash event, used to determine the arc flash PPE category and minimum arc rating required for electrical work.</w:t>
            </w:r>
          </w:p>
        </w:tc>
      </w:tr>
      <w:tr>
        <w:tc>
          <w:tcPr>
            <w:tcW w:type="dxa" w:w="4888"/>
          </w:tcPr>
          <w:p>
            <w:pPr>
              <w:pStyle w:val="TableContents"/>
              <w:spacing w:before="0" w:after="0" w:line="240" w:lineRule="atLeast"/>
            </w:pPr>
            <w:r>
              <w:rPr>
                <w:rFonts w:ascii="Arial" w:hAnsi="Arial" w:cs="Arial" w:eastAsia="Arial"/>
                <w:sz w:val="16"/>
                <w:szCs w:val="16"/>
              </w:rPr>
              <w:t>ATPV</w:t>
            </w:r>
          </w:p>
        </w:tc>
        <w:tc>
          <w:tcPr>
            <w:tcW w:type="dxa" w:w="4889"/>
          </w:tcPr>
          <w:p>
            <w:pPr>
              <w:pStyle w:val="TableContents"/>
              <w:spacing w:before="0" w:after="0" w:line="240" w:lineRule="atLeast"/>
            </w:pPr>
            <w:r>
              <w:rPr>
                <w:rFonts w:ascii="Arial" w:hAnsi="Arial" w:cs="Arial" w:eastAsia="Arial"/>
                <w:sz w:val="16"/>
                <w:szCs w:val="16"/>
              </w:rPr>
              <w:t>Arc Thermal Performance Value - a rating assigned to arc-rated PPE fabrics expressing the incident energy level at which there is a 50 percent probability that sufficient heat transfer through the material would cause the onset of second-degree burns.</w:t>
            </w:r>
          </w:p>
        </w:tc>
      </w:tr>
      <w:tr>
        <w:tc>
          <w:tcPr>
            <w:tcW w:type="dxa" w:w="4888"/>
          </w:tcPr>
          <w:p>
            <w:pPr>
              <w:pStyle w:val="TableContents"/>
              <w:spacing w:before="0" w:after="0" w:line="240" w:lineRule="atLeast"/>
            </w:pPr>
            <w:r>
              <w:rPr>
                <w:rFonts w:ascii="Arial" w:hAnsi="Arial" w:cs="Arial" w:eastAsia="Arial"/>
                <w:sz w:val="16"/>
                <w:szCs w:val="16"/>
              </w:rPr>
              <w:t>SIL</w:t>
            </w:r>
          </w:p>
        </w:tc>
        <w:tc>
          <w:tcPr>
            <w:tcW w:type="dxa" w:w="4889"/>
          </w:tcPr>
          <w:p>
            <w:pPr>
              <w:pStyle w:val="TableContents"/>
              <w:spacing w:before="0" w:after="0" w:line="240" w:lineRule="atLeast"/>
            </w:pPr>
            <w:r>
              <w:rPr>
                <w:rFonts w:ascii="Arial" w:hAnsi="Arial" w:cs="Arial" w:eastAsia="Arial"/>
                <w:sz w:val="16"/>
                <w:szCs w:val="16"/>
              </w:rPr>
              <w:t>Safety Integrity Level - a measure of the risk reduction provided by a safety function; referenced in risk assessment processes that determine the adequacy of PPE as a last-resort control within the hierarchy.</w:t>
            </w:r>
          </w:p>
        </w:tc>
      </w:tr>
      <w:tr>
        <w:tc>
          <w:tcPr>
            <w:tcW w:type="dxa" w:w="4888"/>
          </w:tcPr>
          <w:p>
            <w:pPr>
              <w:pStyle w:val="TableContents"/>
              <w:spacing w:before="0" w:after="0" w:line="240" w:lineRule="atLeast"/>
            </w:pPr>
            <w:r>
              <w:rPr>
                <w:rFonts w:ascii="Arial" w:hAnsi="Arial" w:cs="Arial" w:eastAsia="Arial"/>
                <w:sz w:val="16"/>
                <w:szCs w:val="16"/>
              </w:rPr>
              <w:t>COSHH</w:t>
            </w:r>
          </w:p>
        </w:tc>
        <w:tc>
          <w:tcPr>
            <w:tcW w:type="dxa" w:w="4889"/>
          </w:tcPr>
          <w:p>
            <w:pPr>
              <w:pStyle w:val="TableContents"/>
              <w:spacing w:before="0" w:after="0" w:line="240" w:lineRule="atLeast"/>
            </w:pPr>
            <w:r>
              <w:rPr>
                <w:rFonts w:ascii="Arial" w:hAnsi="Arial" w:cs="Arial" w:eastAsia="Arial"/>
                <w:sz w:val="16"/>
                <w:szCs w:val="16"/>
              </w:rPr>
              <w:t xml:space="preserve">Control of Substances Hazardous to Health - a framework for assessing and controlling exposure to hazardous substances, informing the selection of chemical-resistant PPE in accordance with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PPE Training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Noise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Chemicals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Minimum Control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Safety Standard</w:t>
            </w:r>
          </w:p>
        </w:tc>
        <w:tc>
          <w:tcPr>
            <w:tcW w:type="dxa" w:w="3259"/>
          </w:tcPr>
          <w:p>
            <w:pPr>
              <w:pStyle w:val="TableContents"/>
              <w:spacing w:before="0" w:after="0" w:line="240" w:lineRule="atLeast"/>
            </w:pPr>
            <w:r>
              <w:rPr>
                <w:rFonts w:ascii="Arial" w:hAnsi="Arial" w:cs="Arial" w:eastAsia="Arial"/>
                <w:sz w:val="16"/>
                <w:szCs w:val="16"/>
              </w:rPr>
              <w:t>RT Safety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Standard</w:t>
            </w:r>
          </w:p>
        </w:tc>
        <w:tc>
          <w:tcPr>
            <w:tcW w:type="dxa" w:w="3259"/>
          </w:tcPr>
          <w:p>
            <w:pPr>
              <w:pStyle w:val="TableContents"/>
              <w:spacing w:before="0" w:after="0" w:line="240" w:lineRule="atLeast"/>
            </w:pPr>
            <w:r>
              <w:rPr>
                <w:rFonts w:ascii="Arial" w:hAnsi="Arial" w:cs="Arial" w:eastAsia="Arial"/>
                <w:sz w:val="16"/>
                <w:szCs w:val="16"/>
              </w:rPr>
              <w:t>RT Health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Work Health and Safety Act 2011</w:t>
            </w:r>
          </w:p>
        </w:tc>
        <w:tc>
          <w:tcPr>
            <w:tcW w:type="dxa" w:w="3259"/>
          </w:tcPr>
          <w:p>
            <w:pPr>
              <w:pStyle w:val="TableContents"/>
              <w:spacing w:before="0" w:after="0" w:line="240" w:lineRule="atLeast"/>
            </w:pPr>
            <w:r>
              <w:rPr>
                <w:rFonts w:ascii="Arial" w:hAnsi="Arial" w:cs="Arial" w:eastAsia="Arial"/>
                <w:sz w:val="16"/>
                <w:szCs w:val="16"/>
              </w:rPr>
              <w:t>WHS Act 2011 (Cth/applicable jurisdiction)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2011</w:t>
            </w:r>
          </w:p>
        </w:tc>
        <w:tc>
          <w:tcPr>
            <w:tcW w:type="dxa" w:w="3259"/>
          </w:tcPr>
          <w:p>
            <w:pPr>
              <w:pStyle w:val="TableContents"/>
              <w:spacing w:before="0" w:after="0" w:line="240" w:lineRule="atLeast"/>
            </w:pPr>
            <w:r>
              <w:rPr>
                <w:rFonts w:ascii="Arial" w:hAnsi="Arial" w:cs="Arial" w:eastAsia="Arial"/>
                <w:sz w:val="16"/>
                <w:szCs w:val="16"/>
              </w:rPr>
              <w:t>WHS Regulations 2011 (Cth/applicable jurisdiction)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Eye and Face Protection</w:t>
            </w:r>
          </w:p>
        </w:tc>
        <w:tc>
          <w:tcPr>
            <w:tcW w:type="dxa" w:w="3259"/>
          </w:tcPr>
          <w:p>
            <w:pPr>
              <w:pStyle w:val="TableContents"/>
              <w:spacing w:before="0" w:after="0" w:line="240" w:lineRule="atLeast"/>
            </w:pPr>
            <w:r>
              <w:rPr>
                <w:rFonts w:ascii="Arial" w:hAnsi="Arial" w:cs="Arial" w:eastAsia="Arial"/>
                <w:sz w:val="16"/>
                <w:szCs w:val="16"/>
              </w:rPr>
              <w:t>AS/NZS 1336:2014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Recommended Practices for Occupational Eye Protection</w:t>
            </w:r>
          </w:p>
        </w:tc>
        <w:tc>
          <w:tcPr>
            <w:tcW w:type="dxa" w:w="3259"/>
          </w:tcPr>
          <w:p>
            <w:pPr>
              <w:pStyle w:val="TableContents"/>
              <w:spacing w:before="0" w:after="0" w:line="240" w:lineRule="atLeast"/>
            </w:pPr>
            <w:r>
              <w:rPr>
                <w:rFonts w:ascii="Arial" w:hAnsi="Arial" w:cs="Arial" w:eastAsia="Arial"/>
                <w:sz w:val="16"/>
                <w:szCs w:val="16"/>
              </w:rPr>
              <w:t>AS/NZS 1337.1:2010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Occupational Protective Footwear</w:t>
            </w:r>
          </w:p>
        </w:tc>
        <w:tc>
          <w:tcPr>
            <w:tcW w:type="dxa" w:w="3259"/>
          </w:tcPr>
          <w:p>
            <w:pPr>
              <w:pStyle w:val="TableContents"/>
              <w:spacing w:before="0" w:after="0" w:line="240" w:lineRule="atLeast"/>
            </w:pPr>
            <w:r>
              <w:rPr>
                <w:rFonts w:ascii="Arial" w:hAnsi="Arial" w:cs="Arial" w:eastAsia="Arial"/>
                <w:sz w:val="16"/>
                <w:szCs w:val="16"/>
              </w:rPr>
              <w:t>AS/NZS 2210.1:2010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Industrial Safety Helmets</w:t>
            </w:r>
          </w:p>
        </w:tc>
        <w:tc>
          <w:tcPr>
            <w:tcW w:type="dxa" w:w="3259"/>
          </w:tcPr>
          <w:p>
            <w:pPr>
              <w:pStyle w:val="TableContents"/>
              <w:spacing w:before="0" w:after="0" w:line="240" w:lineRule="atLeast"/>
            </w:pPr>
            <w:r>
              <w:rPr>
                <w:rFonts w:ascii="Arial" w:hAnsi="Arial" w:cs="Arial" w:eastAsia="Arial"/>
                <w:sz w:val="16"/>
                <w:szCs w:val="16"/>
              </w:rPr>
              <w:t>AS/NZS 1801:1997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Hearing Protectors</w:t>
            </w:r>
          </w:p>
        </w:tc>
        <w:tc>
          <w:tcPr>
            <w:tcW w:type="dxa" w:w="3259"/>
          </w:tcPr>
          <w:p>
            <w:pPr>
              <w:pStyle w:val="TableContents"/>
              <w:spacing w:before="0" w:after="0" w:line="240" w:lineRule="atLeast"/>
            </w:pPr>
            <w:r>
              <w:rPr>
                <w:rFonts w:ascii="Arial" w:hAnsi="Arial" w:cs="Arial" w:eastAsia="Arial"/>
                <w:sz w:val="16"/>
                <w:szCs w:val="16"/>
              </w:rPr>
              <w:t>AS/NZS 1270:2002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Respiratory Protective Devices</w:t>
            </w:r>
          </w:p>
        </w:tc>
        <w:tc>
          <w:tcPr>
            <w:tcW w:type="dxa" w:w="3259"/>
          </w:tcPr>
          <w:p>
            <w:pPr>
              <w:pStyle w:val="TableContents"/>
              <w:spacing w:before="0" w:after="0" w:line="240" w:lineRule="atLeast"/>
            </w:pPr>
            <w:r>
              <w:rPr>
                <w:rFonts w:ascii="Arial" w:hAnsi="Arial" w:cs="Arial" w:eastAsia="Arial"/>
                <w:sz w:val="16"/>
                <w:szCs w:val="16"/>
              </w:rPr>
              <w:t>AS/NZS 1715:2009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Selection, Use and Maintenance of Respiratory Protective Equipment</w:t>
            </w:r>
          </w:p>
        </w:tc>
        <w:tc>
          <w:tcPr>
            <w:tcW w:type="dxa" w:w="3259"/>
          </w:tcPr>
          <w:p>
            <w:pPr>
              <w:pStyle w:val="TableContents"/>
              <w:spacing w:before="0" w:after="0" w:line="240" w:lineRule="atLeast"/>
            </w:pPr>
            <w:r>
              <w:rPr>
                <w:rFonts w:ascii="Arial" w:hAnsi="Arial" w:cs="Arial" w:eastAsia="Arial"/>
                <w:sz w:val="16"/>
                <w:szCs w:val="16"/>
              </w:rPr>
              <w:t>AS/NZS 1716:2012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High Visibility Safety Garments</w:t>
            </w:r>
          </w:p>
        </w:tc>
        <w:tc>
          <w:tcPr>
            <w:tcW w:type="dxa" w:w="3259"/>
          </w:tcPr>
          <w:p>
            <w:pPr>
              <w:pStyle w:val="TableContents"/>
              <w:spacing w:before="0" w:after="0" w:line="240" w:lineRule="atLeast"/>
            </w:pPr>
            <w:r>
              <w:rPr>
                <w:rFonts w:ascii="Arial" w:hAnsi="Arial" w:cs="Arial" w:eastAsia="Arial"/>
                <w:sz w:val="16"/>
                <w:szCs w:val="16"/>
              </w:rPr>
              <w:t>AS/NZS 4602.1:2011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Protective Gloves Against Chemicals and Micro-organisms</w:t>
            </w:r>
          </w:p>
        </w:tc>
        <w:tc>
          <w:tcPr>
            <w:tcW w:type="dxa" w:w="3259"/>
          </w:tcPr>
          <w:p>
            <w:pPr>
              <w:pStyle w:val="TableContents"/>
              <w:spacing w:before="0" w:after="0" w:line="240" w:lineRule="atLeast"/>
            </w:pPr>
            <w:r>
              <w:rPr>
                <w:rFonts w:ascii="Arial" w:hAnsi="Arial" w:cs="Arial" w:eastAsia="Arial"/>
                <w:sz w:val="16"/>
                <w:szCs w:val="16"/>
              </w:rPr>
              <w:t>AS/NZS ISO 374-1:2019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Protective and Occupational Footwear</w:t>
            </w:r>
          </w:p>
        </w:tc>
        <w:tc>
          <w:tcPr>
            <w:tcW w:type="dxa" w:w="3259"/>
          </w:tcPr>
          <w:p>
            <w:pPr>
              <w:pStyle w:val="TableContents"/>
              <w:spacing w:before="0" w:after="0" w:line="240" w:lineRule="atLeast"/>
            </w:pPr>
            <w:r>
              <w:rPr>
                <w:rFonts w:ascii="Arial" w:hAnsi="Arial" w:cs="Arial" w:eastAsia="Arial"/>
                <w:sz w:val="16"/>
                <w:szCs w:val="16"/>
              </w:rPr>
              <w:t>AS/NZS 2210.3:2019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Arc Flash Hazard Calculation Studies and Protective Equipment Selection</w:t>
            </w:r>
          </w:p>
        </w:tc>
        <w:tc>
          <w:tcPr>
            <w:tcW w:type="dxa" w:w="3259"/>
          </w:tcPr>
          <w:p>
            <w:pPr>
              <w:pStyle w:val="TableContents"/>
              <w:spacing w:before="0" w:after="0" w:line="240" w:lineRule="atLeast"/>
            </w:pPr>
            <w:r>
              <w:rPr>
                <w:rFonts w:ascii="Arial" w:hAnsi="Arial" w:cs="Arial" w:eastAsia="Arial"/>
                <w:sz w:val="16"/>
                <w:szCs w:val="16"/>
              </w:rPr>
              <w:t>IEEE 1584:2018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Standard for Electrical Safety in the Workplace</w:t>
            </w:r>
          </w:p>
        </w:tc>
        <w:tc>
          <w:tcPr>
            <w:tcW w:type="dxa" w:w="3259"/>
          </w:tcPr>
          <w:p>
            <w:pPr>
              <w:pStyle w:val="TableContents"/>
              <w:spacing w:before="0" w:after="0" w:line="240" w:lineRule="atLeast"/>
            </w:pPr>
            <w:r>
              <w:rPr>
                <w:rFonts w:ascii="Arial" w:hAnsi="Arial" w:cs="Arial" w:eastAsia="Arial"/>
                <w:sz w:val="16"/>
                <w:szCs w:val="16"/>
              </w:rPr>
              <w:t>NFPA 70E:2021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§37</w:t>
            </w:r>
          </w:p>
        </w:tc>
        <w:tc>
          <w:tcPr>
            <w:tcW w:type="dxa" w:w="2256"/>
          </w:tcPr>
          <w:p>
            <w:pPr>
              <w:pStyle w:val="TableContents"/>
              <w:spacing w:before="0" w:after="0" w:line="240" w:lineRule="atLeast"/>
            </w:pPr>
            <w:r>
              <w:rPr>
                <w:rFonts w:ascii="Arial" w:hAnsi="Arial" w:cs="Arial" w:eastAsia="Arial"/>
                <w:sz w:val="16"/>
                <w:szCs w:val="16"/>
              </w:rPr>
              <w:t>Requires minimum PPE for all site personnel including head, eye, foot, hand, and hearing protection and protective clothing, meeting or exceeding applicable laws and industry best practices.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§37.1</w:t>
            </w:r>
          </w:p>
        </w:tc>
        <w:tc>
          <w:tcPr>
            <w:tcW w:type="dxa" w:w="2256"/>
          </w:tcPr>
          <w:p>
            <w:pPr>
              <w:pStyle w:val="TableContents"/>
              <w:spacing w:before="0" w:after="0" w:line="240" w:lineRule="atLeast"/>
            </w:pPr>
            <w:r>
              <w:rPr>
                <w:rFonts w:ascii="Arial" w:hAnsi="Arial" w:cs="Arial" w:eastAsia="Arial"/>
                <w:sz w:val="16"/>
                <w:szCs w:val="16"/>
              </w:rPr>
              <w:t>Requires all PPE to meet or exceed applicable laws, with the more stringent Company standard applied where it exceeds local legislation.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§37.2</w:t>
            </w:r>
          </w:p>
        </w:tc>
        <w:tc>
          <w:tcPr>
            <w:tcW w:type="dxa" w:w="2256"/>
          </w:tcPr>
          <w:p>
            <w:pPr>
              <w:pStyle w:val="TableContents"/>
              <w:spacing w:before="0" w:after="0" w:line="240" w:lineRule="atLeast"/>
            </w:pPr>
            <w:r>
              <w:rPr>
                <w:rFonts w:ascii="Arial" w:hAnsi="Arial" w:cs="Arial" w:eastAsia="Arial"/>
                <w:sz w:val="16"/>
                <w:szCs w:val="16"/>
              </w:rPr>
              <w:t>Defines the minimum PPE standard for all site personnel covering head, eye, foot, hand, and hearing protection and full-length protective clothing.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§37.3</w:t>
            </w:r>
          </w:p>
        </w:tc>
        <w:tc>
          <w:tcPr>
            <w:tcW w:type="dxa" w:w="2256"/>
          </w:tcPr>
          <w:p>
            <w:pPr>
              <w:pStyle w:val="TableContents"/>
              <w:spacing w:before="0" w:after="0" w:line="240" w:lineRule="atLeast"/>
            </w:pPr>
            <w:r>
              <w:rPr>
                <w:rFonts w:ascii="Arial" w:hAnsi="Arial" w:cs="Arial" w:eastAsia="Arial"/>
                <w:sz w:val="16"/>
                <w:szCs w:val="16"/>
              </w:rPr>
              <w:t>Requires task-specific PPE for high-risk activities to be identified in the JHA and specified in the relevant permit.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§37.4</w:t>
            </w:r>
          </w:p>
        </w:tc>
        <w:tc>
          <w:tcPr>
            <w:tcW w:type="dxa" w:w="2256"/>
          </w:tcPr>
          <w:p>
            <w:pPr>
              <w:pStyle w:val="TableContents"/>
              <w:spacing w:before="0" w:after="0" w:line="240" w:lineRule="atLeast"/>
            </w:pPr>
            <w:r>
              <w:rPr>
                <w:rFonts w:ascii="Arial" w:hAnsi="Arial" w:cs="Arial" w:eastAsia="Arial"/>
                <w:sz w:val="16"/>
                <w:szCs w:val="16"/>
              </w:rPr>
              <w:t>Requires training in PPE use before deployment, immediate removal of damaged PPE from service, and maintenance of replacement records.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§2.7</w:t>
            </w:r>
          </w:p>
        </w:tc>
        <w:tc>
          <w:tcPr>
            <w:tcW w:type="dxa" w:w="2256"/>
          </w:tcPr>
          <w:p>
            <w:pPr>
              <w:pStyle w:val="TableContents"/>
              <w:spacing w:before="0" w:after="0" w:line="240" w:lineRule="atLeast"/>
            </w:pPr>
            <w:r>
              <w:rPr>
                <w:rFonts w:ascii="Arial" w:hAnsi="Arial" w:cs="Arial" w:eastAsia="Arial"/>
                <w:sz w:val="16"/>
                <w:szCs w:val="16"/>
              </w:rPr>
              <w:t>Requires PPE to be appropriate for identified hazards, stored to prevent deterioration, and that inspection records are maintained.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C2 - Contact with Electricity Standard / RT C4 - Fall from Height Standard</w:t>
            </w:r>
          </w:p>
        </w:tc>
        <w:tc>
          <w:tcPr>
            <w:tcW w:type="dxa" w:w="2256"/>
          </w:tcPr>
          <w:p>
            <w:pPr>
              <w:pStyle w:val="TableContents"/>
              <w:spacing w:before="0" w:after="0" w:line="240" w:lineRule="atLeast"/>
            </w:pPr>
            <w:r>
              <w:rPr>
                <w:rFonts w:ascii="Arial" w:hAnsi="Arial" w:cs="Arial" w:eastAsia="Arial"/>
                <w:sz w:val="16"/>
                <w:szCs w:val="16"/>
              </w:rPr>
              <w:t>Requires specialist PPE for high-risk activities including arc flash rated PPE based on incident energy calculations, fall arrest equipment selected to minimise fall distances, and RPE selected based on contaminant type and exposure level.</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