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C7248" w14:textId="77777777" w:rsidR="00240E6E" w:rsidRDefault="00E31E85" w:rsidP="004D6E31">
      <w:pPr>
        <w:pStyle w:val="Subtitle"/>
      </w:pPr>
      <w:r>
        <w:t>Procedure</w:t>
      </w:r>
    </w:p>
    <w:p w14:paraId="66A8DEA3" w14:textId="3F068664" w:rsidR="003C2B09" w:rsidRPr="00DF7812" w:rsidRDefault="00B03658" w:rsidP="00240E6E">
      <w:pPr>
        <w:pStyle w:val="FrontcoverHeading"/>
        <w:spacing w:before="0"/>
      </w:pPr>
      <w:r>
        <w:t>Management of Change</w:t>
      </w:r>
    </w:p>
    <w:p w14:paraId="7772130A" w14:textId="77777777" w:rsidR="00194B94" w:rsidRPr="005157BB" w:rsidRDefault="00194B94" w:rsidP="005157BB">
      <w:pPr>
        <w:pStyle w:val="AutomatedProjectName"/>
        <w:spacing w:before="120" w:after="360"/>
        <w:rPr>
          <w:noProof/>
          <w:color w:val="404040" w:themeColor="text1" w:themeTint="BF"/>
          <w:sz w:val="36"/>
          <w:szCs w:val="36"/>
        </w:rPr>
      </w:pPr>
      <w:r>
        <w:rPr>
          <w:noProof/>
          <w:color w:val="404040" w:themeColor="text1" w:themeTint="BF"/>
          <w:sz w:val="36"/>
          <w:szCs w:val="36"/>
        </w:rPr>
        <mc:AlternateContent>
          <mc:Choice Requires="wps">
            <w:drawing>
              <wp:anchor distT="0" distB="0" distL="114300" distR="114300" simplePos="0" relativeHeight="251666944" behindDoc="1" locked="0" layoutInCell="1" allowOverlap="1" wp14:anchorId="56037885" wp14:editId="12603C25">
                <wp:simplePos x="0" y="0"/>
                <wp:positionH relativeFrom="column">
                  <wp:posOffset>3810</wp:posOffset>
                </wp:positionH>
                <wp:positionV relativeFrom="paragraph">
                  <wp:posOffset>498475</wp:posOffset>
                </wp:positionV>
                <wp:extent cx="6120130" cy="0"/>
                <wp:effectExtent l="0" t="19050" r="52070" b="38100"/>
                <wp:wrapTight wrapText="bothSides">
                  <wp:wrapPolygon edited="0">
                    <wp:start x="0" y="-1"/>
                    <wp:lineTo x="0" y="-1"/>
                    <wp:lineTo x="21717" y="-1"/>
                    <wp:lineTo x="21717" y="-1"/>
                    <wp:lineTo x="0" y="-1"/>
                  </wp:wrapPolygon>
                </wp:wrapTight>
                <wp:docPr id="220367452" name="Straight Connector 6"/>
                <wp:cNvGraphicFramePr/>
                <a:graphic xmlns:a="http://schemas.openxmlformats.org/drawingml/2006/main">
                  <a:graphicData uri="http://schemas.microsoft.com/office/word/2010/wordprocessingShape">
                    <wps:wsp>
                      <wps:cNvCnPr/>
                      <wps:spPr>
                        <a:xfrm>
                          <a:off x="0" y="0"/>
                          <a:ext cx="6120130" cy="0"/>
                        </a:xfrm>
                        <a:prstGeom prst="line">
                          <a:avLst/>
                        </a:prstGeom>
                        <a:ln w="57150">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B9FC26C" id="Straight Connector 6" o:spid="_x0000_s1026" style="position:absolute;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39.25pt" to="482.2pt,39.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HJXF2AEAABkEAAAOAAAAZHJzL2Uyb0RvYy54bWysU8tu2zAQvBfoPxC815IcOCkEyzkkSC/N A318AEMtLQJ8gWQs+e+zJGU5aU8tcqGk3Z3ZneFqez1pRQ7gg7Smo82qpgQMt700+47+/nX35Ssl ITLTM2UNdPQIgV7vPn/ajq6FtR2s6sETJDGhHV1HhxhdW1WBD6BZWFkHBpPCes0ifvp91Xs2IrtW 1bquL6vR+t55yyEEjN6WJN1lfiGAx0chAkSiOoqzxXz6fD6ns9ptWbv3zA2Sz2Ow/5hCM2mw6UJ1 yyIjL17+RaUl9zZYEVfc6soKITlkDaimqf9Q83NgDrIWNCe4xabwcbT84XBjnjzaMLrQBvfkk4pJ eJ2eOB+ZslnHxSyYIuEYvGxw4gv0lJ9y1RnofIjfwGqSXjqqpEk6WMsO30PEZlh6KklhZcjY0c1V s6lzWbBK9ndSqZTMuwA3ypMDw1uMU5Nr1Iu+t32JXW3qer5LDOONl/D6FMZ2C0tu/qYB5pTB4Fl/ fotHBWW0HyCI7FFx6bsQlR6MczCxSYuUmbA6wQQOvwBnUWmnzzreA+f6BIW8tv8CXhC5szVxAWtp rC+Wvu+eXCwji1J/cqDoThY82/6YNyNbg/uXFc7/Slrwt98Zfv6jd68AAAD//wMAUEsDBBQABgAI AAAAIQA73xSf3QAAAAYBAAAPAAAAZHJzL2Rvd25yZXYueG1sTI5fT8IwFMXfTfgOzTXxTToEB8x1 xGAkMfgimBjeSntZF9bbZS1s8Omt8UEfz5+c88sXva3ZGVtfORIwGibAkJTTFZUCPrev9zNgPkjS snaEAi7oYVEMbnKZadfRB543oWRxhHwmBZgQmoxzrwxa6YeuQYrZwbVWhijbkutWdnHc1vwhSVJu ZUXxwcgGlwbVcXOyAt7HdnxdXtfmgOpt1329rC4jtRLi7rZ/fgIWsA9/ZfjBj+hQRKa9O5H2rBaQ xp6A6ewRWEzn6WQCbP9r8CLn//GLbwAAAP//AwBQSwECLQAUAAYACAAAACEAtoM4kv4AAADhAQAA EwAAAAAAAAAAAAAAAAAAAAAAW0NvbnRlbnRfVHlwZXNdLnhtbFBLAQItABQABgAIAAAAIQA4/SH/ 1gAAAJQBAAALAAAAAAAAAAAAAAAAAC8BAABfcmVscy8ucmVsc1BLAQItABQABgAIAAAAIQB0HJXF 2AEAABkEAAAOAAAAAAAAAAAAAAAAAC4CAABkcnMvZTJvRG9jLnhtbFBLAQItABQABgAIAAAAIQA7 3xSf3QAAAAYBAAAPAAAAAAAAAAAAAAAAADIEAABkcnMvZG93bnJldi54bWxQSwUGAAAAAAQABADz AAAAPAUAAAAA " strokecolor="#404040 [2429]" strokeweight="4.5pt">
                <v:stroke joinstyle="miter"/>
                <w10:wrap type="tight"/>
              </v:line>
            </w:pict>
          </mc:Fallback>
        </mc:AlternateContent>
      </w:r>
      <w:r>
        <w:rPr>
          <w:noProof/>
          <w:color w:val="404040" w:themeColor="text1" w:themeTint="BF"/>
          <w:sz w:val="36"/>
          <w:szCs w:val="36"/>
        </w:rPr>
        <w:t>[Enter Project Name]</w:t>
      </w:r>
    </w:p>
    <w:p>
      <w:pPr>
        <w:pStyle w:val="NormalNumberedtext"/>
      </w:pPr>
    </w:p>
    <w:tbl>
      <w:tblPr>
        <w:tblStyle w:val="Holdingtable"/>
        <w:tblW w:w="9026" w:type="dxa"/>
        <w:tblLayout w:type="fixed"/>
        <w:tblCellMar>
          <w:left w:w="108" w:type="dxa"/>
          <w:right w:w="108" w:type="dxa"/>
          <w:top w:type="dxa" w:w="36"/>
          <w:bottom w:type="dxa" w:w="36"/>
        </w:tblCellMar>
        <w:tblLook w:val="04A0" w:firstRow="1" w:lastRow="0" w:firstColumn="1" w:lastColumn="0" w:noHBand="0" w:noVBand="1"/>
        <w:tblInd w:type="dxa" w:w="704"/>
      </w:tblPr>
      <w:tblGrid>
        <w:gridCol w:w="3207"/>
        <w:gridCol w:w="1895"/>
        <w:gridCol w:w="4520"/>
      </w:tblGrid>
      <w:tr w:rsidR="00FC1013" w14:paraId="6E9D92D4" w14:textId="77777777">
        <w:tc>
          <w:tcPr>
            <w:tcW w:w="3008" w:type="dxa"/>
          </w:tcPr>
          <w:p w14:paraId="3495AB40" w14:textId="77777777" w:rsidR="00FC1013" w:rsidRDefault="004C465B">
            <w:pPr>
              <w:rPr>
                <w:rFonts w:ascii="Arial" w:eastAsia="Arial" w:hAnsi="Arial"/>
              </w:rPr>
              <w:spacing w:before="0" w:after="0" w:line="240" w:lineRule="atLeast"/>
            </w:pPr>
            <w:r>
              <w:rPr>
                <w:rFonts w:eastAsia="Arial" w:ascii="Arial" w:hAnsi="Arial" w:cs="Arial"/>
                <w:b/>
                <w:bCs/>
                <w:sz w:val="16"/>
                <w:szCs w:val="16"/>
              </w:rPr>
              <w:t>Document Number</w:t>
            </w:r>
          </w:p>
        </w:tc>
        <w:tc>
          <w:tcPr>
            <w:tcW w:w="3008" w:type="dxa"/>
          </w:tcPr>
          <w:p w14:paraId="6CD78A18" w14:textId="77777777" w:rsidR="00FC1013" w:rsidRDefault="004C465B">
            <w:pPr>
              <w:rPr>
                <w:b/>
                <w:bCs/>
              </w:rPr>
              <w:spacing w:before="0" w:after="0" w:line="240" w:lineRule="atLeast"/>
            </w:pPr>
            <w:r>
              <w:rPr>
                <w:rFonts w:eastAsia="Arial" w:ascii="Arial" w:hAnsi="Arial" w:cs="Arial"/>
                <w:b/>
                <w:bCs/>
                <w:sz w:val="16"/>
                <w:szCs w:val="16"/>
              </w:rPr>
              <w:t>Revision</w:t>
            </w:r>
          </w:p>
        </w:tc>
        <w:tc>
          <w:tcPr>
            <w:tcW w:w="3010" w:type="dxa"/>
          </w:tcPr>
          <w:p w14:paraId="23D99E60" w14:textId="77777777" w:rsidR="00FC1013" w:rsidRDefault="004C465B">
            <w:pPr>
              <w:rPr>
                <w:b/>
                <w:bCs/>
              </w:rPr>
              <w:spacing w:before="0" w:after="0" w:line="240" w:lineRule="atLeast"/>
            </w:pPr>
            <w:r>
              <w:rPr>
                <w:rFonts w:eastAsia="Arial" w:ascii="Arial" w:hAnsi="Arial" w:cs="Arial"/>
                <w:b/>
                <w:bCs/>
                <w:sz w:val="16"/>
                <w:szCs w:val="16"/>
              </w:rPr>
              <w:t>Date</w:t>
            </w:r>
          </w:p>
        </w:tc>
      </w:tr>
      <w:tr w:rsidR="00FC1013" w14:paraId="153840A8" w14:textId="77777777">
        <w:trPr>
          <w:trHeight w:val="466"/>
        </w:trPr>
        <w:tc>
          <w:tcPr>
            <w:tcW w:w="3008" w:type="dxa"/>
          </w:tcPr>
          <w:p w14:paraId="2E16B392" w14:textId="77777777" w:rsidR="00FC1013" w:rsidRDefault="004C465B">
            <w:pPr>
              <w:rPr>
                <w:rFonts w:ascii="Arial" w:eastAsia="Arial" w:hAnsi="Arial"/>
              </w:rPr>
              <w:spacing w:before="0" w:after="0" w:line="240" w:lineRule="atLeast"/>
            </w:pPr>
            <w:r>
              <w:rPr>
                <w:rFonts w:eastAsia="Arial" w:ascii="Arial" w:hAnsi="Arial" w:cs="Arial"/>
                <w:sz w:val="16"/>
                <w:szCs w:val="16"/>
              </w:rPr>
              <w:t>RTPR-HSE-PRO-XXXX</w:t>
            </w:r>
          </w:p>
        </w:tc>
        <w:tc>
          <w:tcPr>
            <w:tcW w:w="3008" w:type="dxa"/>
          </w:tcPr>
          <w:p w14:paraId="37F3B8E3" w14:textId="77777777" w:rsidR="00FC1013" w:rsidRDefault="004C465B">
            <w:pPr>
              <w:rPr>
                <w:rFonts w:ascii="Arial" w:eastAsia="Arial" w:hAnsi="Arial"/>
              </w:rPr>
              <w:spacing w:before="0" w:after="0" w:line="240" w:lineRule="atLeast"/>
            </w:pPr>
            <w:r>
              <w:rPr>
                <w:rFonts w:eastAsia="Arial" w:ascii="Arial" w:hAnsi="Arial" w:cs="Arial"/>
                <w:sz w:val="16"/>
                <w:szCs w:val="16"/>
              </w:rPr>
              <w:t>Rev 0</w:t>
            </w:r>
          </w:p>
        </w:tc>
        <w:tc>
          <w:tcPr>
            <w:tcW w:w="3010" w:type="dxa"/>
          </w:tcPr>
          <w:p w14:paraId="1C08B5EF" w14:textId="77777777" w:rsidR="00FC1013" w:rsidRDefault="00C46050">
            <w:pPr>
              <w:rPr>
                <w:rFonts w:ascii="Arial" w:eastAsia="Arial" w:hAnsi="Arial"/>
              </w:rPr>
              <w:spacing w:before="0" w:after="0" w:line="240" w:lineRule="atLeast"/>
            </w:pPr>
            <w:r>
              <w:rPr>
                <w:rFonts w:eastAsia="Arial" w:ascii="Arial" w:hAnsi="Arial" w:cs="Arial"/>
                <w:sz w:val="16"/>
                <w:szCs w:val="16"/>
              </w:rPr>
              <w:t>30/06/2026</w:t>
            </w:r>
          </w:p>
        </w:tc>
      </w:tr>
    </w:tbl>
    <w:p>
      <w:pPr>
        <w:pStyle w:val="NormalNumberedtext"/>
      </w:pPr>
    </w:p>
    <w:tbl>
      <w:tblPr>
        <w:tblStyle w:val="TableGrid"/>
        <w:tblW w:w="9026" w:type="dxa"/>
        <w:tblInd w:w="704" w:type="dxa"/>
        <w:tblLayout w:type="fixed"/>
        <w:tblLook w:val="04A0" w:firstRow="1" w:lastRow="0" w:firstColumn="1" w:lastColumn="0" w:noHBand="0" w:noVBand="1"/>
        <w:tblCellMar>
          <w:top w:type="dxa" w:w="36"/>
          <w:bottom w:type="dxa" w:w="36"/>
          <w:left w:type="dxa" w:w="108"/>
          <w:right w:type="dxa" w:w="108"/>
        </w:tblCellMar>
      </w:tblPr>
      <w:tblGrid>
        <w:gridCol w:w="1419"/>
        <w:gridCol w:w="1847"/>
        <w:gridCol w:w="3260"/>
        <w:gridCol w:w="3071"/>
      </w:tblGrid>
      <w:tr w:rsidR="00FC1013" w14:paraId="42A4BE91" w14:textId="77777777">
        <w:trPr>
          <w:trHeight w:val="340"/>
        </w:trPr>
        <w:tc>
          <w:tcPr>
            <w:tcW w:w="2256" w:type="dxa"/>
            <w:shd w:val="clear" w:color="auto" w:fill="F2F2F2" w:themeFill="background1" w:themeFillShade="F2"/>
          </w:tcPr>
          <w:p w14:paraId="24665189" w14:textId="77777777" w:rsidR="00FC1013" w:rsidRDefault="004C465B">
            <w:pPr>
              <w:rPr>
                <w:b/>
                <w:bCs/>
              </w:rPr>
              <w:spacing w:before="0" w:after="0" w:line="240" w:lineRule="atLeast"/>
            </w:pPr>
            <w:r>
              <w:rPr>
                <w:rFonts w:eastAsia="Arial" w:ascii="Arial" w:hAnsi="Arial" w:cs="Arial"/>
                <w:b/>
                <w:bCs/>
                <w:sz w:val="16"/>
                <w:szCs w:val="16"/>
              </w:rPr>
              <w:t xml:space="preserve"> Status</w:t>
            </w:r>
          </w:p>
        </w:tc>
        <w:tc>
          <w:tcPr>
            <w:tcW w:w="2256" w:type="dxa"/>
            <w:shd w:val="clear" w:color="auto" w:fill="F2F2F2" w:themeFill="background1" w:themeFillShade="F2"/>
          </w:tcPr>
          <w:p w14:paraId="0452B4B0" w14:textId="77777777" w:rsidR="00FC1013" w:rsidRDefault="004C465B">
            <w:pPr>
              <w:rPr>
                <w:b/>
                <w:bCs/>
              </w:rPr>
              <w:spacing w:before="0" w:after="0" w:line="240" w:lineRule="atLeast"/>
            </w:pPr>
            <w:r>
              <w:rPr>
                <w:rFonts w:eastAsia="Arial" w:ascii="Arial" w:hAnsi="Arial" w:cs="Arial"/>
                <w:b/>
                <w:bCs/>
                <w:sz w:val="16"/>
                <w:szCs w:val="16"/>
              </w:rPr>
              <w:t>Name</w:t>
            </w:r>
          </w:p>
        </w:tc>
        <w:tc>
          <w:tcPr>
            <w:tcW w:w="2256" w:type="dxa"/>
            <w:shd w:val="clear" w:color="auto" w:fill="F2F2F2" w:themeFill="background1" w:themeFillShade="F2"/>
          </w:tcPr>
          <w:p w14:paraId="73EA7516" w14:textId="77777777" w:rsidR="00FC1013" w:rsidRDefault="004C465B">
            <w:pPr>
              <w:rPr>
                <w:b/>
                <w:bCs/>
              </w:rPr>
              <w:spacing w:before="0" w:after="0" w:line="240" w:lineRule="atLeast"/>
            </w:pPr>
            <w:r>
              <w:rPr>
                <w:rFonts w:eastAsia="Arial" w:ascii="Arial" w:hAnsi="Arial" w:cs="Arial"/>
                <w:b/>
                <w:bCs/>
                <w:sz w:val="16"/>
                <w:szCs w:val="16"/>
              </w:rPr>
              <w:t>Position</w:t>
            </w:r>
          </w:p>
        </w:tc>
        <w:tc>
          <w:tcPr>
            <w:tcW w:w="2258" w:type="dxa"/>
            <w:shd w:val="clear" w:color="auto" w:fill="F2F2F2" w:themeFill="background1" w:themeFillShade="F2"/>
          </w:tcPr>
          <w:p w14:paraId="049AD331" w14:textId="77777777" w:rsidR="00FC1013" w:rsidRDefault="004C465B">
            <w:pPr>
              <w:rPr>
                <w:b/>
                <w:bCs/>
              </w:rPr>
              <w:spacing w:before="0" w:after="0" w:line="240" w:lineRule="atLeast"/>
            </w:pPr>
            <w:r>
              <w:rPr>
                <w:rFonts w:eastAsia="Arial" w:ascii="Arial" w:hAnsi="Arial" w:cs="Arial"/>
                <w:b/>
                <w:bCs/>
                <w:sz w:val="16"/>
                <w:szCs w:val="16"/>
              </w:rPr>
              <w:t>Signature</w:t>
            </w:r>
          </w:p>
        </w:tc>
      </w:tr>
      <w:tr w:rsidR="00FC1013" w14:paraId="17860165" w14:textId="77777777">
        <w:trPr>
          <w:trHeight w:val="340"/>
        </w:trPr>
        <w:tc>
          <w:tcPr>
            <w:tcW w:w="2256" w:type="dxa"/>
            <w:tcBorders>
              <w:bottom w:val="dotted" w:sz="4" w:space="0" w:color="000000"/>
            </w:tcBorders>
          </w:tcPr>
          <w:p w14:paraId="452F8A41" w14:textId="77777777" w:rsidR="00FC1013" w:rsidRDefault="004C465B">
            <w:pPr>
              <w:rPr>
                <w:rFonts w:ascii="Arial" w:eastAsia="Arial" w:hAnsi="Arial"/>
              </w:rPr>
              <w:spacing w:before="0" w:after="0" w:line="240" w:lineRule="atLeast"/>
            </w:pPr>
            <w:r>
              <w:rPr>
                <w:rFonts w:eastAsia="Arial" w:ascii="Arial" w:hAnsi="Arial" w:cs="Arial"/>
                <w:sz w:val="16"/>
                <w:szCs w:val="16"/>
              </w:rPr>
              <w:t>Originator</w:t>
            </w:r>
          </w:p>
        </w:tc>
        <w:tc>
          <w:tcPr>
            <w:tcW w:w="2256" w:type="dxa"/>
            <w:tcBorders>
              <w:bottom w:val="dotted" w:sz="4" w:space="0" w:color="000000"/>
            </w:tcBorders>
          </w:tcPr>
          <w:p w14:paraId="4BD7C7B0" w14:textId="77777777" w:rsidR="00FC1013" w:rsidRDefault="004C465B">
            <w:pPr>
              <w:rPr>
                <w:rFonts w:ascii="Arial" w:eastAsia="Arial" w:hAnsi="Arial"/>
              </w:rPr>
              <w:spacing w:before="0" w:after="0" w:line="240" w:lineRule="atLeast"/>
            </w:pPr>
            <w:r>
              <w:rPr>
                <w:rFonts w:eastAsia="Arial" w:ascii="Arial" w:hAnsi="Arial" w:cs="Arial"/>
                <w:sz w:val="16"/>
                <w:szCs w:val="16"/>
              </w:rPr>
              <w:t>Ashleigh Phillips</w:t>
            </w:r>
          </w:p>
        </w:tc>
        <w:tc>
          <w:tcPr>
            <w:tcW w:w="2256" w:type="dxa"/>
            <w:tcBorders>
              <w:bottom w:val="dotted" w:sz="4" w:space="0" w:color="000000"/>
            </w:tcBorders>
          </w:tcPr>
          <w:p w14:paraId="3014903E" w14:textId="77777777" w:rsidR="00FC1013" w:rsidRDefault="004C465B">
            <w:pPr>
              <w:rPr>
                <w:rFonts w:ascii="Arial" w:eastAsia="Arial" w:hAnsi="Arial"/>
              </w:rPr>
              <w:spacing w:before="0" w:after="0" w:line="240" w:lineRule="atLeast"/>
            </w:pPr>
            <w:r>
              <w:rPr>
                <w:rFonts w:ascii="Arial" w:hAnsi="Arial" w:cs="Arial" w:eastAsia="Arial"/>
                <w:b/>
                <w:bCs/>
                <w:color w:val="0059D1"/>
                <w:sz w:val="16"/>
                <w:szCs w:val="16"/>
              </w:rPr>
              <w:t>[External]</w:t>
            </w:r>
            <w:r>
              <w:rPr>
                <w:rFonts w:eastAsia="Arial" w:ascii="Arial" w:hAnsi="Arial" w:cs="Arial"/>
                <w:sz w:val="16"/>
                <w:szCs w:val="16"/>
              </w:rPr>
              <w:t xml:space="preserve"> HSES Industry Partners</w:t>
            </w:r>
          </w:p>
        </w:tc>
        <w:tc>
          <w:tcPr>
            <w:tcW w:w="2258" w:type="dxa"/>
            <w:tcBorders>
              <w:bottom w:val="dotted" w:sz="4" w:space="0" w:color="000000"/>
            </w:tcBorders>
          </w:tcPr>
          <w:p w14:paraId="1FEE642E" w14:textId="77777777" w:rsidR="00FC1013" w:rsidRDefault="00FC1013">
            <w:pPr>
              <w:rPr>
                <w:rFonts w:ascii="Arial" w:eastAsia="Arial" w:hAnsi="Arial"/>
              </w:rPr>
              <w:spacing w:before="0" w:after="0" w:line="240" w:lineRule="atLeast"/>
            </w:pPr>
          </w:p>
        </w:tc>
      </w:tr>
      <w:tr w:rsidR="00FC1013" w14:paraId="3F76D41D" w14:textId="77777777">
        <w:trPr>
          <w:trHeight w:val="340"/>
        </w:trPr>
        <w:tc>
          <w:tcPr>
            <w:tcW w:w="2256" w:type="dxa"/>
            <w:tcBorders>
              <w:top w:val="dotted" w:sz="4" w:space="0" w:color="000000"/>
              <w:bottom w:val="dotted" w:sz="4" w:space="0" w:color="000000"/>
            </w:tcBorders>
          </w:tcPr>
          <w:p w14:paraId="0AF03A84" w14:textId="77777777" w:rsidR="00FC1013" w:rsidRDefault="004C465B">
            <w:pPr>
              <w:rPr>
                <w:rFonts w:ascii="Arial" w:eastAsia="Arial" w:hAnsi="Arial"/>
              </w:rPr>
              <w:spacing w:before="0" w:after="0" w:line="240" w:lineRule="atLeast"/>
            </w:pPr>
            <w:r>
              <w:rPr>
                <w:rFonts w:eastAsia="Arial" w:ascii="Arial" w:hAnsi="Arial" w:cs="Arial"/>
                <w:sz w:val="16"/>
                <w:szCs w:val="16"/>
              </w:rPr>
              <w:t>Reviewed</w:t>
            </w:r>
          </w:p>
        </w:tc>
        <w:tc>
          <w:tcPr>
            <w:tcW w:w="2256" w:type="dxa"/>
            <w:tcBorders>
              <w:top w:val="dotted" w:sz="4" w:space="0" w:color="000000"/>
              <w:bottom w:val="dotted" w:sz="4" w:space="0" w:color="000000"/>
            </w:tcBorders>
          </w:tcPr>
          <w:p w14:paraId="3D017D9F" w14:textId="77777777" w:rsidR="00FC1013" w:rsidRDefault="004C465B">
            <w:pPr>
              <w:rPr>
                <w:rFonts w:ascii="Arial" w:eastAsia="Arial" w:hAnsi="Arial"/>
              </w:rPr>
              <w:spacing w:before="0" w:after="0" w:line="240" w:lineRule="atLeast"/>
            </w:pPr>
            <w:r>
              <w:rPr>
                <w:rFonts w:eastAsia="Arial" w:ascii="Arial" w:hAnsi="Arial" w:cs="Arial"/>
                <w:sz w:val="16"/>
                <w:szCs w:val="16"/>
              </w:rPr>
              <w:t>Kirsten Snyman</w:t>
            </w:r>
          </w:p>
        </w:tc>
        <w:tc>
          <w:tcPr>
            <w:tcW w:w="2256" w:type="dxa"/>
            <w:tcBorders>
              <w:top w:val="dotted" w:sz="4" w:space="0" w:color="000000"/>
              <w:bottom w:val="dotted" w:sz="4" w:space="0" w:color="000000"/>
            </w:tcBorders>
          </w:tcPr>
          <w:p w14:paraId="7D3D01EB" w14:textId="77777777" w:rsidR="00FC1013" w:rsidRDefault="004C465B">
            <w:pPr>
              <w:rPr>
                <w:rFonts w:ascii="Arial" w:eastAsia="Arial" w:hAnsi="Arial"/>
              </w:rPr>
              <w:spacing w:before="0" w:after="0" w:line="240" w:lineRule="atLeast"/>
            </w:pPr>
            <w:r>
              <w:rPr>
                <w:rFonts w:eastAsia="Arial" w:ascii="Arial" w:hAnsi="Arial" w:cs="Arial"/>
                <w:sz w:val="16"/>
                <w:szCs w:val="16"/>
              </w:rPr>
              <w:t>Snr Manager, CSP RioProjects</w:t>
            </w:r>
          </w:p>
        </w:tc>
        <w:tc>
          <w:tcPr>
            <w:tcW w:w="2258" w:type="dxa"/>
            <w:tcBorders>
              <w:top w:val="dotted" w:sz="4" w:space="0" w:color="000000"/>
              <w:bottom w:val="dotted" w:sz="4" w:space="0" w:color="000000"/>
            </w:tcBorders>
          </w:tcPr>
          <w:p w14:paraId="287F8750" w14:textId="77777777" w:rsidR="00FC1013" w:rsidRDefault="00FC1013">
            <w:pPr>
              <w:rPr>
                <w:rFonts w:ascii="Arial" w:eastAsia="Arial" w:hAnsi="Arial"/>
              </w:rPr>
              <w:spacing w:before="0" w:after="0" w:line="240" w:lineRule="atLeast"/>
            </w:pPr>
          </w:p>
        </w:tc>
      </w:tr>
      <w:tr w:rsidR="00FC1013" w14:paraId="14D2A514" w14:textId="77777777">
        <w:trPr>
          <w:trHeight w:val="340"/>
        </w:trPr>
        <w:tc>
          <w:tcPr>
            <w:tcW w:w="2256" w:type="dxa"/>
            <w:tcBorders>
              <w:top w:val="dotted" w:sz="4" w:space="0" w:color="000000"/>
              <w:bottom w:val="dotted" w:sz="4" w:space="0" w:color="000000"/>
            </w:tcBorders>
          </w:tcPr>
          <w:p w14:paraId="4CB44463" w14:textId="77777777" w:rsidR="00FC1013" w:rsidRDefault="004C465B">
            <w:pPr>
              <w:rPr>
                <w:rFonts w:ascii="Arial" w:eastAsia="Arial" w:hAnsi="Arial"/>
              </w:rPr>
              <w:spacing w:before="0" w:after="0" w:line="240" w:lineRule="atLeast"/>
            </w:pPr>
            <w:r>
              <w:rPr>
                <w:rFonts w:eastAsia="Arial" w:ascii="Arial" w:hAnsi="Arial" w:cs="Arial"/>
                <w:sz w:val="16"/>
                <w:szCs w:val="16"/>
              </w:rPr>
              <w:t>Reviewed</w:t>
            </w:r>
          </w:p>
        </w:tc>
        <w:tc>
          <w:tcPr>
            <w:tcW w:w="2256" w:type="dxa"/>
            <w:tcBorders>
              <w:top w:val="dotted" w:sz="4" w:space="0" w:color="000000"/>
              <w:bottom w:val="dotted" w:sz="4" w:space="0" w:color="000000"/>
            </w:tcBorders>
          </w:tcPr>
          <w:p w14:paraId="3AB05A5D" w14:textId="77777777" w:rsidR="00FC1013" w:rsidRDefault="004C465B">
            <w:pPr>
              <w:rPr>
                <w:rFonts w:ascii="Arial" w:eastAsia="Arial" w:hAnsi="Arial"/>
              </w:rPr>
              <w:spacing w:before="0" w:after="0" w:line="240" w:lineRule="atLeast"/>
            </w:pPr>
            <w:r>
              <w:rPr>
                <w:rFonts w:eastAsia="Arial" w:ascii="Arial" w:hAnsi="Arial" w:cs="Arial"/>
                <w:sz w:val="16"/>
                <w:szCs w:val="16"/>
              </w:rPr>
              <w:t>Matt Moroz</w:t>
            </w:r>
          </w:p>
        </w:tc>
        <w:tc>
          <w:tcPr>
            <w:tcW w:w="2256" w:type="dxa"/>
            <w:tcBorders>
              <w:top w:val="dotted" w:sz="4" w:space="0" w:color="000000"/>
              <w:bottom w:val="dotted" w:sz="4" w:space="0" w:color="000000"/>
            </w:tcBorders>
          </w:tcPr>
          <w:p w14:paraId="1A8777CE" w14:textId="77777777" w:rsidR="00FC1013" w:rsidRDefault="004C465B">
            <w:pPr>
              <w:rPr>
                <w:rFonts w:ascii="Arial" w:eastAsia="Arial" w:hAnsi="Arial"/>
              </w:rPr>
              <w:spacing w:before="0" w:after="0" w:line="240" w:lineRule="atLeast"/>
            </w:pPr>
            <w:r>
              <w:rPr>
                <w:rFonts w:eastAsia="Arial" w:ascii="Arial" w:hAnsi="Arial" w:cs="Arial"/>
                <w:sz w:val="16"/>
                <w:szCs w:val="16"/>
              </w:rPr>
              <w:t>Snr Manager, HSES RioProjects</w:t>
            </w:r>
          </w:p>
        </w:tc>
        <w:tc>
          <w:tcPr>
            <w:tcW w:w="2258" w:type="dxa"/>
            <w:tcBorders>
              <w:top w:val="dotted" w:sz="4" w:space="0" w:color="000000"/>
              <w:bottom w:val="dotted" w:sz="4" w:space="0" w:color="000000"/>
            </w:tcBorders>
          </w:tcPr>
          <w:p w14:paraId="5A0BE164" w14:textId="77777777" w:rsidR="00FC1013" w:rsidRDefault="00FC1013">
            <w:pPr>
              <w:rPr>
                <w:rFonts w:ascii="Arial" w:eastAsia="Arial" w:hAnsi="Arial"/>
              </w:rPr>
              <w:spacing w:before="0" w:after="0" w:line="240" w:lineRule="atLeast"/>
            </w:pPr>
          </w:p>
        </w:tc>
      </w:tr>
      <w:tr w:rsidR="00FC1013" w14:paraId="52143E74" w14:textId="77777777">
        <w:trPr>
          <w:trHeight w:val="340"/>
        </w:trPr>
        <w:tc>
          <w:tcPr>
            <w:tcW w:w="2256" w:type="dxa"/>
            <w:tcBorders>
              <w:top w:val="dotted" w:sz="4" w:space="0" w:color="000000"/>
            </w:tcBorders>
          </w:tcPr>
          <w:p w14:paraId="7013AB62" w14:textId="77777777" w:rsidR="00FC1013" w:rsidRDefault="004C465B">
            <w:pPr>
              <w:rPr>
                <w:rFonts w:ascii="Arial" w:eastAsia="Arial" w:hAnsi="Arial"/>
              </w:rPr>
              <w:spacing w:before="0" w:after="0" w:line="240" w:lineRule="atLeast"/>
            </w:pPr>
            <w:r>
              <w:rPr>
                <w:rFonts w:eastAsia="Arial" w:ascii="Arial" w:hAnsi="Arial" w:cs="Arial"/>
                <w:sz w:val="16"/>
                <w:szCs w:val="16"/>
              </w:rPr>
              <w:t>Approved</w:t>
            </w:r>
          </w:p>
        </w:tc>
        <w:tc>
          <w:tcPr>
            <w:tcW w:w="2256" w:type="dxa"/>
            <w:tcBorders>
              <w:top w:val="dotted" w:sz="4" w:space="0" w:color="000000"/>
            </w:tcBorders>
          </w:tcPr>
          <w:p w14:paraId="3DA2B481" w14:textId="77777777" w:rsidR="00FC1013" w:rsidRDefault="004C465B">
            <w:pPr>
              <w:rPr>
                <w:rFonts w:ascii="Arial" w:eastAsia="Arial" w:hAnsi="Arial"/>
              </w:rPr>
              <w:spacing w:before="0" w:after="0" w:line="240" w:lineRule="atLeast"/>
            </w:pPr>
            <w:r>
              <w:rPr>
                <w:rFonts w:eastAsia="Arial" w:ascii="Arial" w:hAnsi="Arial" w:cs="Arial"/>
                <w:sz w:val="16"/>
                <w:szCs w:val="16"/>
              </w:rPr>
              <w:t>Greg Doyle</w:t>
            </w:r>
          </w:p>
        </w:tc>
        <w:tc>
          <w:tcPr>
            <w:tcW w:w="2256" w:type="dxa"/>
            <w:tcBorders>
              <w:top w:val="dotted" w:sz="4" w:space="0" w:color="000000"/>
            </w:tcBorders>
          </w:tcPr>
          <w:p w14:paraId="25F393E7" w14:textId="77777777" w:rsidR="00FC1013" w:rsidRDefault="004C465B">
            <w:pPr>
              <w:rPr>
                <w:rFonts w:ascii="Arial" w:eastAsia="Arial" w:hAnsi="Arial"/>
              </w:rPr>
              <w:spacing w:before="0" w:after="0" w:line="240" w:lineRule="atLeast"/>
            </w:pPr>
            <w:r>
              <w:rPr>
                <w:rFonts w:eastAsia="Arial" w:ascii="Arial" w:hAnsi="Arial" w:cs="Arial"/>
                <w:sz w:val="16"/>
                <w:szCs w:val="16"/>
              </w:rPr>
              <w:t>Vice President HSESC, SD&amp;T</w:t>
            </w:r>
          </w:p>
        </w:tc>
        <w:tc>
          <w:tcPr>
            <w:tcW w:w="2258" w:type="dxa"/>
            <w:tcBorders>
              <w:top w:val="dotted" w:sz="4" w:space="0" w:color="000000"/>
            </w:tcBorders>
          </w:tcPr>
          <w:p w14:paraId="0C7DD2FF" w14:textId="77777777" w:rsidR="00FC1013" w:rsidRDefault="00FC1013">
            <w:pPr>
              <w:rPr>
                <w:rFonts w:ascii="Arial" w:eastAsia="Arial" w:hAnsi="Arial"/>
              </w:rPr>
              <w:spacing w:before="0" w:after="0" w:line="240" w:lineRule="atLeast"/>
            </w:pPr>
          </w:p>
        </w:tc>
      </w:tr>
    </w:tbl>
    <w:p>
      <w:pPr>
        <w:pStyle w:val="NormalNumberedtext"/>
      </w:pPr>
    </w:p>
    <w:p w14:paraId="50532439" w14:textId="77777777" w:rsidR="00FC1013" w:rsidRDefault="004C465B">
      <w:pPr>
        <w:spacing w:after="920"/>
        <w:rPr>
          <w:sz w:val="56"/>
          <w:szCs w:val="56"/>
        </w:rPr>
      </w:pPr>
      <w:r>
        <w:rPr>
          <w:sz w:val="56"/>
          <w:szCs w:val="56"/>
        </w:rPr>
        <w:lastRenderedPageBreak/>
        <w:t>Contents</w:t>
      </w:r>
    </w:p>
    <w:sdt>
      <w:sdtPr>
        <w:id w:val="747538175"/>
        <w:docPartObj>
          <w:docPartGallery w:val="Table of Contents"/>
          <w:docPartUnique/>
        </w:docPartObj>
      </w:sdtPr>
      <w:sdtEndPr/>
      <w:sdtContent>
        <w:p w14:paraId="0D143738" w14:textId="0F56A9A0" w:rsidR="00B03658" w:rsidRDefault="004C465B">
          <w:pPr>
            <w:pStyle w:val="TOC1"/>
            <w:rPr>
              <w:rFonts w:eastAsiaTheme="minorEastAsia"/>
              <w:b w:val="0"/>
              <w:noProof/>
              <w:kern w:val="2"/>
              <w:sz w:val="24"/>
              <w:lang w:val="en-AU" w:eastAsia="en-AU"/>
              <w14:ligatures w14:val="standardContextual"/>
            </w:rPr>
          </w:pPr>
          <w:r>
            <w:fldChar w:fldCharType="begin"/>
          </w:r>
          <w:r>
            <w:rPr>
              <w:rStyle w:val="IndexLink"/>
              <w:webHidden/>
            </w:rPr>
            <w:instrText xml:space="preserve"> TOC \z \o "1-3" \u \h</w:instrText>
          </w:r>
          <w:r>
            <w:rPr>
              <w:rStyle w:val="IndexLink"/>
            </w:rPr>
            <w:fldChar w:fldCharType="separate"/>
          </w:r>
          <w:hyperlink w:anchor="_Toc232534342" w:history="1">
            <w:r w:rsidR="00B03658" w:rsidRPr="00B04E7F">
              <w:rPr>
                <w:rStyle w:val="Hyperlink"/>
                <w:noProof/>
              </w:rPr>
              <w:t>0</w:t>
            </w:r>
            <w:r w:rsidR="00B03658">
              <w:rPr>
                <w:rFonts w:eastAsiaTheme="minorEastAsia"/>
                <w:b w:val="0"/>
                <w:noProof/>
                <w:kern w:val="2"/>
                <w:sz w:val="24"/>
                <w:lang w:val="en-AU" w:eastAsia="en-AU"/>
                <w14:ligatures w14:val="standardContextual"/>
              </w:rPr>
              <w:tab/>
            </w:r>
            <w:r w:rsidR="00B03658" w:rsidRPr="00B04E7F">
              <w:rPr>
                <w:rStyle w:val="Hyperlink"/>
                <w:noProof/>
              </w:rPr>
              <w:t>How to Use This Document</w:t>
            </w:r>
            <w:r w:rsidR="00B03658">
              <w:rPr>
                <w:noProof/>
                <w:webHidden/>
              </w:rPr>
              <w:tab/>
            </w:r>
            <w:r w:rsidR="00B03658">
              <w:rPr>
                <w:noProof/>
                <w:webHidden/>
              </w:rPr>
              <w:fldChar w:fldCharType="begin"/>
            </w:r>
            <w:r w:rsidR="00B03658">
              <w:rPr>
                <w:noProof/>
                <w:webHidden/>
              </w:rPr>
              <w:instrText xml:space="preserve"> PAGEREF _Toc232534342 \h </w:instrText>
            </w:r>
            <w:r w:rsidR="00B03658">
              <w:rPr>
                <w:noProof/>
                <w:webHidden/>
              </w:rPr>
            </w:r>
            <w:r w:rsidR="00B03658">
              <w:rPr>
                <w:noProof/>
                <w:webHidden/>
              </w:rPr>
              <w:fldChar w:fldCharType="separate"/>
            </w:r>
            <w:r w:rsidR="00B03658">
              <w:rPr>
                <w:noProof/>
                <w:webHidden/>
              </w:rPr>
              <w:t>3</w:t>
            </w:r>
            <w:r w:rsidR="00B03658">
              <w:rPr>
                <w:noProof/>
                <w:webHidden/>
              </w:rPr>
              <w:fldChar w:fldCharType="end"/>
            </w:r>
          </w:hyperlink>
        </w:p>
        <w:p w14:paraId="5B971EE2" w14:textId="096CA7A9" w:rsidR="00B03658" w:rsidRDefault="00B03658">
          <w:pPr>
            <w:pStyle w:val="TOC2"/>
            <w:tabs>
              <w:tab w:val="left" w:pos="1134"/>
            </w:tabs>
            <w:rPr>
              <w:rFonts w:eastAsiaTheme="minorEastAsia"/>
              <w:noProof/>
              <w:kern w:val="2"/>
              <w:sz w:val="24"/>
              <w:lang w:val="en-AU" w:eastAsia="en-AU"/>
              <w14:ligatures w14:val="standardContextual"/>
            </w:rPr>
          </w:pPr>
          <w:hyperlink w:anchor="_Toc232534343" w:history="1">
            <w:r w:rsidRPr="00B04E7F">
              <w:rPr>
                <w:rStyle w:val="Hyperlink"/>
                <w:noProof/>
              </w:rPr>
              <w:t>0.1</w:t>
            </w:r>
            <w:r>
              <w:rPr>
                <w:rFonts w:eastAsiaTheme="minorEastAsia"/>
                <w:noProof/>
                <w:kern w:val="2"/>
                <w:sz w:val="24"/>
                <w:lang w:val="en-AU" w:eastAsia="en-AU"/>
                <w14:ligatures w14:val="standardContextual"/>
              </w:rPr>
              <w:tab/>
            </w:r>
            <w:r w:rsidRPr="00B04E7F">
              <w:rPr>
                <w:rStyle w:val="Hyperlink"/>
                <w:noProof/>
              </w:rPr>
              <w:t>Purpose of This Template</w:t>
            </w:r>
            <w:r>
              <w:rPr>
                <w:noProof/>
                <w:webHidden/>
              </w:rPr>
              <w:tab/>
            </w:r>
            <w:r>
              <w:rPr>
                <w:noProof/>
                <w:webHidden/>
              </w:rPr>
              <w:fldChar w:fldCharType="begin"/>
            </w:r>
            <w:r>
              <w:rPr>
                <w:noProof/>
                <w:webHidden/>
              </w:rPr>
              <w:instrText xml:space="preserve"> PAGEREF _Toc232534343 \h </w:instrText>
            </w:r>
            <w:r>
              <w:rPr>
                <w:noProof/>
                <w:webHidden/>
              </w:rPr>
            </w:r>
            <w:r>
              <w:rPr>
                <w:noProof/>
                <w:webHidden/>
              </w:rPr>
              <w:fldChar w:fldCharType="separate"/>
            </w:r>
            <w:r>
              <w:rPr>
                <w:noProof/>
                <w:webHidden/>
              </w:rPr>
              <w:t>3</w:t>
            </w:r>
            <w:r>
              <w:rPr>
                <w:noProof/>
                <w:webHidden/>
              </w:rPr>
              <w:fldChar w:fldCharType="end"/>
            </w:r>
          </w:hyperlink>
        </w:p>
        <w:p w14:paraId="4F889F24" w14:textId="524EB743" w:rsidR="00B03658" w:rsidRDefault="00B03658">
          <w:pPr>
            <w:pStyle w:val="TOC2"/>
            <w:tabs>
              <w:tab w:val="left" w:pos="1134"/>
            </w:tabs>
            <w:rPr>
              <w:rFonts w:eastAsiaTheme="minorEastAsia"/>
              <w:noProof/>
              <w:kern w:val="2"/>
              <w:sz w:val="24"/>
              <w:lang w:val="en-AU" w:eastAsia="en-AU"/>
              <w14:ligatures w14:val="standardContextual"/>
            </w:rPr>
          </w:pPr>
          <w:hyperlink w:anchor="_Toc232534344" w:history="1">
            <w:r w:rsidRPr="00B04E7F">
              <w:rPr>
                <w:rStyle w:val="Hyperlink"/>
                <w:noProof/>
              </w:rPr>
              <w:t>0.2</w:t>
            </w:r>
            <w:r>
              <w:rPr>
                <w:rFonts w:eastAsiaTheme="minorEastAsia"/>
                <w:noProof/>
                <w:kern w:val="2"/>
                <w:sz w:val="24"/>
                <w:lang w:val="en-AU" w:eastAsia="en-AU"/>
                <w14:ligatures w14:val="standardContextual"/>
              </w:rPr>
              <w:tab/>
            </w:r>
            <w:r w:rsidRPr="00B04E7F">
              <w:rPr>
                <w:rStyle w:val="Hyperlink"/>
                <w:noProof/>
              </w:rPr>
              <w:t>How This Document is Structured</w:t>
            </w:r>
            <w:r>
              <w:rPr>
                <w:noProof/>
                <w:webHidden/>
              </w:rPr>
              <w:tab/>
            </w:r>
            <w:r>
              <w:rPr>
                <w:noProof/>
                <w:webHidden/>
              </w:rPr>
              <w:fldChar w:fldCharType="begin"/>
            </w:r>
            <w:r>
              <w:rPr>
                <w:noProof/>
                <w:webHidden/>
              </w:rPr>
              <w:instrText xml:space="preserve"> PAGEREF _Toc232534344 \h </w:instrText>
            </w:r>
            <w:r>
              <w:rPr>
                <w:noProof/>
                <w:webHidden/>
              </w:rPr>
            </w:r>
            <w:r>
              <w:rPr>
                <w:noProof/>
                <w:webHidden/>
              </w:rPr>
              <w:fldChar w:fldCharType="separate"/>
            </w:r>
            <w:r>
              <w:rPr>
                <w:noProof/>
                <w:webHidden/>
              </w:rPr>
              <w:t>3</w:t>
            </w:r>
            <w:r>
              <w:rPr>
                <w:noProof/>
                <w:webHidden/>
              </w:rPr>
              <w:fldChar w:fldCharType="end"/>
            </w:r>
          </w:hyperlink>
        </w:p>
        <w:p w14:paraId="474DF627" w14:textId="1FAF07AB" w:rsidR="00B03658" w:rsidRDefault="00B03658">
          <w:pPr>
            <w:pStyle w:val="TOC2"/>
            <w:tabs>
              <w:tab w:val="left" w:pos="1134"/>
            </w:tabs>
            <w:rPr>
              <w:rFonts w:eastAsiaTheme="minorEastAsia"/>
              <w:noProof/>
              <w:kern w:val="2"/>
              <w:sz w:val="24"/>
              <w:lang w:val="en-AU" w:eastAsia="en-AU"/>
              <w14:ligatures w14:val="standardContextual"/>
            </w:rPr>
          </w:pPr>
          <w:hyperlink w:anchor="_Toc232534345" w:history="1">
            <w:r w:rsidRPr="00B04E7F">
              <w:rPr>
                <w:rStyle w:val="Hyperlink"/>
                <w:noProof/>
              </w:rPr>
              <w:t>0.3</w:t>
            </w:r>
            <w:r>
              <w:rPr>
                <w:rFonts w:eastAsiaTheme="minorEastAsia"/>
                <w:noProof/>
                <w:kern w:val="2"/>
                <w:sz w:val="24"/>
                <w:lang w:val="en-AU" w:eastAsia="en-AU"/>
                <w14:ligatures w14:val="standardContextual"/>
              </w:rPr>
              <w:tab/>
            </w:r>
            <w:r w:rsidRPr="00B04E7F">
              <w:rPr>
                <w:rStyle w:val="Hyperlink"/>
                <w:noProof/>
              </w:rPr>
              <w:t>Step-by-Step Completion Instructions</w:t>
            </w:r>
            <w:r>
              <w:rPr>
                <w:noProof/>
                <w:webHidden/>
              </w:rPr>
              <w:tab/>
            </w:r>
            <w:r>
              <w:rPr>
                <w:noProof/>
                <w:webHidden/>
              </w:rPr>
              <w:fldChar w:fldCharType="begin"/>
            </w:r>
            <w:r>
              <w:rPr>
                <w:noProof/>
                <w:webHidden/>
              </w:rPr>
              <w:instrText xml:space="preserve"> PAGEREF _Toc232534345 \h </w:instrText>
            </w:r>
            <w:r>
              <w:rPr>
                <w:noProof/>
                <w:webHidden/>
              </w:rPr>
            </w:r>
            <w:r>
              <w:rPr>
                <w:noProof/>
                <w:webHidden/>
              </w:rPr>
              <w:fldChar w:fldCharType="separate"/>
            </w:r>
            <w:r>
              <w:rPr>
                <w:noProof/>
                <w:webHidden/>
              </w:rPr>
              <w:t>3</w:t>
            </w:r>
            <w:r>
              <w:rPr>
                <w:noProof/>
                <w:webHidden/>
              </w:rPr>
              <w:fldChar w:fldCharType="end"/>
            </w:r>
          </w:hyperlink>
        </w:p>
        <w:p w14:paraId="14E91A5A" w14:textId="7B88F346" w:rsidR="00B03658" w:rsidRDefault="00B03658">
          <w:pPr>
            <w:pStyle w:val="TOC2"/>
            <w:tabs>
              <w:tab w:val="left" w:pos="1134"/>
            </w:tabs>
            <w:rPr>
              <w:rFonts w:eastAsiaTheme="minorEastAsia"/>
              <w:noProof/>
              <w:kern w:val="2"/>
              <w:sz w:val="24"/>
              <w:lang w:val="en-AU" w:eastAsia="en-AU"/>
              <w14:ligatures w14:val="standardContextual"/>
            </w:rPr>
          </w:pPr>
          <w:hyperlink w:anchor="_Toc232534346" w:history="1">
            <w:r w:rsidRPr="00B04E7F">
              <w:rPr>
                <w:rStyle w:val="Hyperlink"/>
                <w:noProof/>
              </w:rPr>
              <w:t>0.4</w:t>
            </w:r>
            <w:r>
              <w:rPr>
                <w:rFonts w:eastAsiaTheme="minorEastAsia"/>
                <w:noProof/>
                <w:kern w:val="2"/>
                <w:sz w:val="24"/>
                <w:lang w:val="en-AU" w:eastAsia="en-AU"/>
                <w14:ligatures w14:val="standardContextual"/>
              </w:rPr>
              <w:tab/>
            </w:r>
            <w:r w:rsidRPr="00B04E7F">
              <w:rPr>
                <w:rStyle w:val="Hyperlink"/>
                <w:noProof/>
              </w:rPr>
              <w:t>Pre-Issue Checklist</w:t>
            </w:r>
            <w:r>
              <w:rPr>
                <w:noProof/>
                <w:webHidden/>
              </w:rPr>
              <w:tab/>
            </w:r>
            <w:r>
              <w:rPr>
                <w:noProof/>
                <w:webHidden/>
              </w:rPr>
              <w:fldChar w:fldCharType="begin"/>
            </w:r>
            <w:r>
              <w:rPr>
                <w:noProof/>
                <w:webHidden/>
              </w:rPr>
              <w:instrText xml:space="preserve"> PAGEREF _Toc232534346 \h </w:instrText>
            </w:r>
            <w:r>
              <w:rPr>
                <w:noProof/>
                <w:webHidden/>
              </w:rPr>
            </w:r>
            <w:r>
              <w:rPr>
                <w:noProof/>
                <w:webHidden/>
              </w:rPr>
              <w:fldChar w:fldCharType="separate"/>
            </w:r>
            <w:r>
              <w:rPr>
                <w:noProof/>
                <w:webHidden/>
              </w:rPr>
              <w:t>4</w:t>
            </w:r>
            <w:r>
              <w:rPr>
                <w:noProof/>
                <w:webHidden/>
              </w:rPr>
              <w:fldChar w:fldCharType="end"/>
            </w:r>
          </w:hyperlink>
        </w:p>
        <w:p w14:paraId="4DA49C8D" w14:textId="567CA8C6" w:rsidR="00B03658" w:rsidRDefault="00B03658">
          <w:pPr>
            <w:pStyle w:val="TOC2"/>
            <w:tabs>
              <w:tab w:val="left" w:pos="1134"/>
            </w:tabs>
            <w:rPr>
              <w:rFonts w:eastAsiaTheme="minorEastAsia"/>
              <w:noProof/>
              <w:kern w:val="2"/>
              <w:sz w:val="24"/>
              <w:lang w:val="en-AU" w:eastAsia="en-AU"/>
              <w14:ligatures w14:val="standardContextual"/>
            </w:rPr>
          </w:pPr>
          <w:hyperlink w:anchor="_Toc232534347" w:history="1">
            <w:r w:rsidRPr="00B04E7F">
              <w:rPr>
                <w:rStyle w:val="Hyperlink"/>
                <w:noProof/>
              </w:rPr>
              <w:t>0.5</w:t>
            </w:r>
            <w:r>
              <w:rPr>
                <w:rFonts w:eastAsiaTheme="minorEastAsia"/>
                <w:noProof/>
                <w:kern w:val="2"/>
                <w:sz w:val="24"/>
                <w:lang w:val="en-AU" w:eastAsia="en-AU"/>
                <w14:ligatures w14:val="standardContextual"/>
              </w:rPr>
              <w:tab/>
            </w:r>
            <w:r w:rsidRPr="00B04E7F">
              <w:rPr>
                <w:rStyle w:val="Hyperlink"/>
                <w:noProof/>
              </w:rPr>
              <w:t>Document Relationships</w:t>
            </w:r>
            <w:r>
              <w:rPr>
                <w:noProof/>
                <w:webHidden/>
              </w:rPr>
              <w:tab/>
            </w:r>
            <w:r>
              <w:rPr>
                <w:noProof/>
                <w:webHidden/>
              </w:rPr>
              <w:fldChar w:fldCharType="begin"/>
            </w:r>
            <w:r>
              <w:rPr>
                <w:noProof/>
                <w:webHidden/>
              </w:rPr>
              <w:instrText xml:space="preserve"> PAGEREF _Toc232534347 \h </w:instrText>
            </w:r>
            <w:r>
              <w:rPr>
                <w:noProof/>
                <w:webHidden/>
              </w:rPr>
            </w:r>
            <w:r>
              <w:rPr>
                <w:noProof/>
                <w:webHidden/>
              </w:rPr>
              <w:fldChar w:fldCharType="separate"/>
            </w:r>
            <w:r>
              <w:rPr>
                <w:noProof/>
                <w:webHidden/>
              </w:rPr>
              <w:t>4</w:t>
            </w:r>
            <w:r>
              <w:rPr>
                <w:noProof/>
                <w:webHidden/>
              </w:rPr>
              <w:fldChar w:fldCharType="end"/>
            </w:r>
          </w:hyperlink>
        </w:p>
        <w:p w14:paraId="3F16AD5B" w14:textId="1087B8A6" w:rsidR="00B03658" w:rsidRDefault="00B03658">
          <w:pPr>
            <w:pStyle w:val="TOC1"/>
            <w:rPr>
              <w:rFonts w:eastAsiaTheme="minorEastAsia"/>
              <w:b w:val="0"/>
              <w:noProof/>
              <w:kern w:val="2"/>
              <w:sz w:val="24"/>
              <w:lang w:val="en-AU" w:eastAsia="en-AU"/>
              <w14:ligatures w14:val="standardContextual"/>
            </w:rPr>
          </w:pPr>
          <w:hyperlink w:anchor="_Toc232534348" w:history="1">
            <w:r w:rsidRPr="00B04E7F">
              <w:rPr>
                <w:rStyle w:val="Hyperlink"/>
                <w:noProof/>
              </w:rPr>
              <w:t>1</w:t>
            </w:r>
            <w:r>
              <w:rPr>
                <w:rFonts w:eastAsiaTheme="minorEastAsia"/>
                <w:b w:val="0"/>
                <w:noProof/>
                <w:kern w:val="2"/>
                <w:sz w:val="24"/>
                <w:lang w:val="en-AU" w:eastAsia="en-AU"/>
                <w14:ligatures w14:val="standardContextual"/>
              </w:rPr>
              <w:tab/>
            </w:r>
            <w:r w:rsidRPr="00B04E7F">
              <w:rPr>
                <w:rStyle w:val="Hyperlink"/>
                <w:noProof/>
              </w:rPr>
              <w:t>Heading</w:t>
            </w:r>
            <w:r>
              <w:rPr>
                <w:noProof/>
                <w:webHidden/>
              </w:rPr>
              <w:tab/>
            </w:r>
            <w:r>
              <w:rPr>
                <w:noProof/>
                <w:webHidden/>
              </w:rPr>
              <w:fldChar w:fldCharType="begin"/>
            </w:r>
            <w:r>
              <w:rPr>
                <w:noProof/>
                <w:webHidden/>
              </w:rPr>
              <w:instrText xml:space="preserve"> PAGEREF _Toc232534348 \h </w:instrText>
            </w:r>
            <w:r>
              <w:rPr>
                <w:noProof/>
                <w:webHidden/>
              </w:rPr>
            </w:r>
            <w:r>
              <w:rPr>
                <w:noProof/>
                <w:webHidden/>
              </w:rPr>
              <w:fldChar w:fldCharType="separate"/>
            </w:r>
            <w:r>
              <w:rPr>
                <w:noProof/>
                <w:webHidden/>
              </w:rPr>
              <w:t>6</w:t>
            </w:r>
            <w:r>
              <w:rPr>
                <w:noProof/>
                <w:webHidden/>
              </w:rPr>
              <w:fldChar w:fldCharType="end"/>
            </w:r>
          </w:hyperlink>
        </w:p>
        <w:p w14:paraId="7EBEFCE2" w14:textId="6405579E" w:rsidR="00FC1013" w:rsidRDefault="004C465B">
          <w:pPr>
            <w:pStyle w:val="TOC1"/>
            <w:rPr>
              <w:rFonts w:eastAsiaTheme="minorEastAsia"/>
              <w:b w:val="0"/>
              <w:kern w:val="2"/>
              <w:sz w:val="24"/>
              <w:lang w:val="en-AU" w:eastAsia="en-AU"/>
              <w14:ligatures w14:val="standardContextual"/>
            </w:rPr>
          </w:pPr>
          <w:r>
            <w:rPr>
              <w:rStyle w:val="IndexLink"/>
            </w:rPr>
            <w:fldChar w:fldCharType="end"/>
          </w:r>
        </w:p>
      </w:sdtContent>
    </w:sdt>
    <w:p>
      <w:pPr>
        <w:pStyle w:val="NormalNumberedtext"/>
      </w:pPr>
    </w:p>
    <w:p w14:paraId="3F00B330" w14:textId="077DD352" w:rsidR="004C5CA9" w:rsidRDefault="00B03658" w:rsidP="000726E8">
      <w:pPr>
        <w:pStyle w:val="Heading1Numbered"/>
        <w:numPr>
          <w:ilvl w:val="0"/>
          <w:numId w:val="1"/>
        </w:numPr>
      </w:pPr>
      <w:bookmarkStart w:id="0" w:name="_Toc232534348"/>
      <w:r>
        <w:rPr>
          <w:rFonts w:ascii="Arial" w:hAnsi="Arial" w:cs="Arial" w:eastAsia="Arial"/>
        </w:rPr>
        <w:lastRenderedPageBreak/>
        <w:t>Heading</w:t>
      </w:r>
      <w:bookmarkEnd w:id="0"/>
    </w:p>
    <w:p>
      <w:pPr>
        <w:pStyle w:val="NormalNumberedtext"/>
      </w:pPr>
    </w:p>
    <w:tbl>
      <w:tblPr>
        <w:tblStyle w:val="TableOption1"/>
        <w:tblW w:type="dxa" w:w="9777"/>
        <w:tblInd w:type="dxa" w:w="0"/>
        <w:tblCellMar>
          <w:top w:type="dxa" w:w="36"/>
          <w:bottom w:type="dxa" w:w="36"/>
          <w:left w:type="dxa" w:w="108"/>
          <w:right w:type="dxa" w:w="108"/>
        </w:tblCellMar>
      </w:tblPr>
      <w:tr>
        <w:tc>
          <w:tcPr>
            <w:shd w:val="clear" w:color="auto" w:fill="FFF2CC"/>
            <w:tcW w:type="dxa" w:w="9777"/>
          </w:tcPr>
          <w:p>
            <w:pPr>
              <w:pStyle w:val="Instructions"/>
              <w:spacing w:before="0" w:after="0" w:line="240" w:lineRule="atLeast"/>
            </w:pPr>
            <w:r>
              <w:rPr>
                <w:rFonts w:ascii="Arial" w:hAnsi="Arial" w:cs="Arial" w:eastAsia="Arial"/>
                <w:b/>
                <w:bCs/>
                <w:color w:val="C55A11"/>
                <w:sz w:val="16"/>
                <w:szCs w:val="16"/>
              </w:rPr>
              <w:t>INSTRUCTION: Read, action and delete this box before this procedure is issued. Delete the entire Section 0 before this document is submitted for review or approval. It must not appear in any approved version of this procedure.</w:t>
            </w:r>
          </w:p>
        </w:tc>
      </w:tr>
    </w:tbl>
    <w:p>
      <w:pPr>
        <w:pStyle w:val="NormalNumberedtext"/>
      </w:pPr>
    </w:p>
    <w:p>
      <w:pPr>
        <w:pStyle w:val="Heading1Numbered"/>
        <w:numPr>
          <w:ilvl w:val="0"/>
          <w:numId w:val="1"/>
        </w:numPr>
      </w:pPr>
      <w:r>
        <w:rPr>
          <w:rFonts w:ascii="Arial" w:hAnsi="Arial" w:cs="Arial" w:eastAsia="Arial"/>
        </w:rPr>
        <w:t>How to Use This Document</w:t>
      </w:r>
    </w:p>
    <w:p>
      <w:pPr>
        <w:pStyle w:val="NormalNumberedtext"/>
      </w:pPr>
      <w:r>
        <w:t>This section explains the purpose of the template, how it is structured, the sequence for completing it and the checks required before it is issued. It must be read in full before any section of this document is completed. Delete Section 0 in its entirety before issue.</w:t>
      </w:r>
    </w:p>
    <w:p>
      <w:pPr>
        <w:pStyle w:val="NormalNumberedtext"/>
      </w:pPr>
    </w:p>
    <w:p>
      <w:pPr>
        <w:pStyle w:val="Heading2Numbered"/>
        <w:numPr>
          <w:ilvl w:val="1"/>
          <w:numId w:val="1"/>
        </w:numPr>
      </w:pPr>
      <w:r>
        <w:rPr>
          <w:rFonts w:ascii="Arial" w:hAnsi="Arial" w:cs="Arial" w:eastAsia="Arial"/>
        </w:rPr>
        <w:t>Purpose of This Template</w:t>
      </w:r>
    </w:p>
    <w:p>
      <w:pPr>
        <w:pStyle w:val="NormalNumberedtext"/>
      </w:pPr>
      <w:r>
        <w:t>This template supports the preparation of a project-specific Management of Change Procedure for projects delivered under an Owner-Led model. Under this model, Rio Tinto directly manages all project activities, and this procedure applies to all personnel on the project, including Rio Tinto staff and all contractor organisations.</w:t>
      </w:r>
    </w:p>
    <w:p>
      <w:pPr>
        <w:pStyle w:val="NormalNumberedtext"/>
      </w:pPr>
      <w:r>
        <w:t>This template is provided as a 90% draft. Fixed content reflects the minimum Rio Tinto requirement and must not be reduced. The remaining 10% covers role names, register locations, schedules and project-specific triggers, and must be completed by the project team before issue.</w:t>
      </w:r>
    </w:p>
    <w:p>
      <w:pPr>
        <w:pStyle w:val="NormalNumberedtext"/>
      </w:pPr>
    </w:p>
    <w:p>
      <w:pPr>
        <w:pStyle w:val="Heading2Numbered"/>
        <w:numPr>
          <w:ilvl w:val="1"/>
          <w:numId w:val="1"/>
        </w:numPr>
      </w:pPr>
      <w:r>
        <w:rPr>
          <w:rFonts w:ascii="Arial" w:hAnsi="Arial" w:cs="Arial" w:eastAsia="Arial"/>
        </w:rPr>
        <w:t>How This Document is Structured</w:t>
      </w:r>
    </w:p>
    <w:p>
      <w:pPr>
        <w:pStyle w:val="NormalNumberedtext"/>
      </w:pPr>
      <w:r>
        <w:t>This document contains four content types:</w:t>
      </w:r>
    </w:p>
    <w:p>
      <w:pPr>
        <w:pStyle w:val="NormalNumberedtext"/>
      </w:pPr>
      <w:r>
        <w:rPr>
          <w:b/>
          <w:bCs/>
        </w:rPr>
        <w:t xml:space="preserve">Fixed content </w:t>
      </w:r>
      <w:r>
        <w:rPr/>
        <w:t>is plain black text reflecting minimum Rio Tinto requirements. Fixed content must not be reduced, deleted or overridden.</w:t>
      </w:r>
    </w:p>
    <w:p>
      <w:pPr>
        <w:pStyle w:val="NormalNumberedtext"/>
      </w:pPr>
      <w:r>
        <w:rPr>
          <w:b/>
          <w:bCs/>
          <w:color w:val="0059D1"/>
        </w:rPr>
        <w:t xml:space="preserve">[INSERT: placeholder text] </w:t>
      </w:r>
      <w:r>
        <w:rPr>
          <w:rFonts w:ascii="Arial" w:hAnsi="Arial" w:cs="Arial" w:eastAsia="Arial"/>
        </w:rPr>
        <w:t>appears in blue bold. Each placeholder must be replaced with accurate, project-specific information before issue.</w:t>
      </w:r>
    </w:p>
    <w:p>
      <w:pPr>
        <w:pStyle w:val="NormalNumberedtext"/>
      </w:pPr>
      <w:r>
        <w:rPr>
          <w:color w:val="C55A11"/>
        </w:rPr>
        <w:t xml:space="preserve">Orange text </w:t>
      </w:r>
      <w:r>
        <w:rPr/>
        <w:t>marks specific who, what, when, or how detail included as a best practice suggestion. The project team may retain, modify, or replace orange detail.</w:t>
      </w:r>
    </w:p>
    <w:p>
      <w:pPr>
        <w:pStyle w:val="NormalNumberedtext"/>
      </w:pPr>
    </w:p>
    <w:p>
      <w:pPr>
        <w:pStyle w:val="Heading2Numbered"/>
        <w:numPr>
          <w:ilvl w:val="1"/>
          <w:numId w:val="1"/>
        </w:numPr>
      </w:pPr>
      <w:r>
        <w:rPr>
          <w:rFonts w:ascii="Arial" w:hAnsi="Arial" w:cs="Arial" w:eastAsia="Arial"/>
        </w:rPr>
        <w:t>Pre-Issue Checklist</w:t>
      </w:r>
    </w:p>
    <w:p>
      <w:pPr>
        <w:pStyle w:val="NormalNumberedtext"/>
      </w:pPr>
      <w:r>
        <w:t>Before submitting this document for review or approval, confirm all items below are complete, then delete this checklist together with the rest of Section 0.</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4513"/>
          </w:tcPr>
          <w:p>
            <w:pPr>
              <w:pStyle w:val="TableContents"/>
              <w:spacing w:before="0" w:after="0" w:line="240" w:lineRule="atLeast"/>
            </w:pPr>
            <w:r>
              <w:rPr>
                <w:rFonts w:ascii="Arial" w:hAnsi="Arial" w:cs="Arial" w:eastAsia="Arial"/>
                <w:b/>
                <w:bCs/>
                <w:color w:val="FFFFFF"/>
                <w:sz w:val="16"/>
                <w:szCs w:val="16"/>
              </w:rPr>
              <w:t>Check</w:t>
            </w:r>
          </w:p>
        </w:tc>
        <w:tc>
          <w:tcPr>
            <w:shd w:val="clear" w:color="auto" w:fill="1F3864"/>
            <w:tcW w:type="dxa" w:w="4513"/>
          </w:tcPr>
          <w:p>
            <w:pPr>
              <w:pStyle w:val="TableContents"/>
              <w:spacing w:before="0" w:after="0" w:line="240" w:lineRule="atLeast"/>
            </w:pPr>
            <w:r>
              <w:rPr>
                <w:rFonts w:ascii="Arial" w:hAnsi="Arial" w:cs="Arial" w:eastAsia="Arial"/>
                <w:b/>
                <w:bCs/>
                <w:color w:val="FFFFFF"/>
                <w:sz w:val="16"/>
                <w:szCs w:val="16"/>
              </w:rPr>
              <w:t>Complete?</w:t>
            </w:r>
          </w:p>
        </w:tc>
      </w:tr>
      <w:tr>
        <w:tc>
          <w:tcPr>
            <w:tcW w:type="dxa" w:w="4513"/>
          </w:tcPr>
          <w:p>
            <w:pPr>
              <w:pStyle w:val="TableContents"/>
              <w:spacing w:before="0" w:after="0" w:line="240" w:lineRule="atLeast"/>
            </w:pPr>
            <w:r>
              <w:rPr>
                <w:rFonts w:ascii="Arial" w:hAnsi="Arial" w:cs="Arial" w:eastAsia="Arial"/>
                <w:sz w:val="16"/>
                <w:szCs w:val="16"/>
              </w:rPr>
              <w:t>Cover page is complete including document number, revision, date and signatories</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 xml:space="preserve">All </w:t>
            </w:r>
            <w:r>
              <w:rPr>
                <w:rFonts w:ascii="Arial" w:hAnsi="Arial" w:cs="Arial" w:eastAsia="Arial"/>
                <w:b/>
                <w:bCs/>
                <w:color w:val="0059D1"/>
                <w:sz w:val="16"/>
                <w:szCs w:val="16"/>
              </w:rPr>
              <w:t>[INSERT:]</w:t>
            </w:r>
            <w:r>
              <w:rPr>
                <w:rFonts w:ascii="Arial" w:hAnsi="Arial" w:cs="Arial" w:eastAsia="Arial"/>
                <w:sz w:val="16"/>
                <w:szCs w:val="16"/>
              </w:rPr>
              <w:t xml:space="preserve"> placeholder text has been replaced with project-specific information</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instruction boxes have been read, actioned and deleted</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role titles match the actual project organisational structure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system and register locations are confirmed and inserted</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workshop and meeting dates are confirmed against the project programme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Related procedures in the References section are issued or being issued concurrently</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17 (Source Requirements Traceability) will be deleted before final issue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16 (Project Localisation Edits) has been populated with all changes made during preparation</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0 has been deleted in its entirety</w:t>
            </w:r>
          </w:p>
        </w:tc>
        <w:tc>
          <w:tcPr>
            <w:tcW w:type="dxa" w:w="4513"/>
          </w:tcPr>
          <w:p>
            <w:pPr>
              <w:pStyle w:val="TableContents"/>
              <w:spacing w:before="0" w:after="0" w:line="240" w:lineRule="atLeast"/>
            </w:pPr>
            <w:r>
              <w:rPr>
                <w:rFonts w:ascii="Arial" w:hAnsi="Arial" w:cs="Arial" w:eastAsia="Arial"/>
                <w:sz w:val="16"/>
                <w:szCs w:val="16"/>
              </w:rPr>
              <w:t>☐</w:t>
            </w:r>
          </w:p>
        </w:tc>
      </w:tr>
    </w:tbl>
    <w:p>
      <w:pPr>
        <w:pStyle w:val="NormalNumberedtext"/>
      </w:pPr>
    </w:p>
    <w:p>
      <w:pPr>
        <w:pStyle w:val="Heading1Numbered"/>
        <w:numPr>
          <w:ilvl w:val="0"/>
          <w:numId w:val="1"/>
        </w:numPr>
      </w:pPr>
      <w:r>
        <w:rPr>
          <w:rFonts w:ascii="Arial" w:hAnsi="Arial" w:cs="Arial" w:eastAsia="Arial"/>
        </w:rPr>
        <w:t>Purpose and Scope</w:t>
      </w:r>
    </w:p>
    <w:p>
      <w:pPr>
        <w:pStyle w:val="NormalNumberedtext"/>
      </w:pPr>
      <w:r>
        <w:t>This section defines the purpose of this procedure, the project lifecycle phases within scope, and the obligations it establishes from project Execution through to Handover.</w:t>
      </w:r>
    </w:p>
    <w:p>
      <w:pPr>
        <w:pStyle w:val="NormalNumberedtext"/>
      </w:pPr>
    </w:p>
    <w:p>
      <w:pPr>
        <w:pStyle w:val="Heading2Numbered"/>
        <w:numPr>
          <w:ilvl w:val="1"/>
          <w:numId w:val="1"/>
        </w:numPr>
      </w:pPr>
      <w:r>
        <w:rPr>
          <w:rFonts w:ascii="Arial" w:hAnsi="Arial" w:cs="Arial" w:eastAsia="Arial"/>
        </w:rPr>
        <w:t>Purpose of This Document</w:t>
      </w:r>
    </w:p>
    <w:p>
      <w:pPr>
        <w:pStyle w:val="NormalNumberedtext"/>
      </w:pPr>
      <w:r>
        <w:t>This section states the purpose of this procedure and the requirements it establishes for the project.</w:t>
      </w:r>
    </w:p>
    <w:p>
      <w:pPr>
        <w:pStyle w:val="NormalNumberedtext"/>
      </w:pPr>
      <w:r>
        <w:t>This procedure defines requirements for assessing and managing HSESC risks associated with any change to project scope, design, organisation, activities, processes, documentation, or external factors. All changes carrying HSESC implications must be assessed before they are approved or implemented.</w:t>
      </w:r>
    </w:p>
    <w:p>
      <w:pPr>
        <w:pStyle w:val="NormalNumberedtext"/>
      </w:pPr>
    </w:p>
    <w:p>
      <w:pPr>
        <w:pStyle w:val="Heading2Numbered"/>
        <w:numPr>
          <w:ilvl w:val="1"/>
          <w:numId w:val="1"/>
        </w:numPr>
      </w:pPr>
      <w:r>
        <w:rPr>
          <w:rFonts w:ascii="Arial" w:hAnsi="Arial" w:cs="Arial" w:eastAsia="Arial"/>
        </w:rPr>
        <w:t>Scope of This Document</w:t>
      </w:r>
    </w:p>
    <w:p>
      <w:pPr>
        <w:pStyle w:val="NormalNumberedtext"/>
      </w:pPr>
      <w:r>
        <w:t>This section defines which activities and lifecycle phases are governed by this document.</w:t>
      </w:r>
    </w:p>
    <w:p>
      <w:pPr>
        <w:pStyle w:val="NormalNumberedtext"/>
      </w:pPr>
      <w:r>
        <w:t>This procedure applies to all Rio Tinto project personnel and all contractor organisations performing work under an Owner-Led project. It governs management of change from project Execution through to Handover.</w:t>
      </w:r>
    </w:p>
    <w:p>
      <w:pPr>
        <w:pStyle w:val="NormalNumberedtext"/>
      </w:pPr>
      <w:r>
        <w:rPr>
          <w:b/>
          <w:bCs/>
          <w:color w:val="0059D1"/>
        </w:rPr>
        <w:t>[INSERT: scope qualifications] — note any activities, phases, or locations excluded from this procedure's scope</w:t>
      </w:r>
    </w:p>
    <w:p>
      <w:pPr>
        <w:pStyle w:val="NormalNumberedtext"/>
      </w:pPr>
    </w:p>
    <w:p>
      <w:pPr>
        <w:pStyle w:val="Heading1Numbered"/>
        <w:numPr>
          <w:ilvl w:val="0"/>
          <w:numId w:val="1"/>
        </w:numPr>
      </w:pPr>
      <w:r>
        <w:rPr>
          <w:rFonts w:ascii="Arial" w:hAnsi="Arial" w:cs="Arial" w:eastAsia="Arial"/>
        </w:rPr>
        <w:t>Roles and Responsibilities</w:t>
      </w:r>
    </w:p>
    <w:p>
      <w:pPr>
        <w:pStyle w:val="NormalNumberedtext"/>
      </w:pPr>
      <w:r>
        <w:t>This section defines the responsibilities for all project roles relevant to this procedure, covering the Rio Tinto project team and all contractor organisations. Responsibilities are aligned to governance, oversight, assessment execution, reporting, and control verification.</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Responsibilities</w:t>
            </w:r>
          </w:p>
        </w:tc>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Company</w:t>
            </w:r>
          </w:p>
        </w:tc>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Contractor</w:t>
            </w:r>
          </w:p>
        </w:tc>
        <w:tc>
          <w:tcPr>
            <w:shd w:val="clear" w:color="auto" w:fill="1F3864"/>
            <w:tcW w:type="dxa" w:w="2445"/>
          </w:tcPr>
          <w:p>
            <w:pPr>
              <w:pStyle w:val="TableContents"/>
              <w:spacing w:before="0" w:after="0" w:line="240" w:lineRule="atLeast"/>
            </w:pPr>
            <w:r>
              <w:rPr>
                <w:rFonts w:ascii="Arial" w:hAnsi="Arial" w:cs="Arial" w:eastAsia="Arial"/>
                <w:b/>
                <w:bCs/>
                <w:color w:val="FFFFFF"/>
                <w:sz w:val="16"/>
                <w:szCs w:val="16"/>
              </w:rPr>
              <w:t>Section</w:t>
            </w:r>
          </w:p>
        </w:tc>
      </w:tr>
      <w:tr>
        <w:tc>
          <w:tcPr>
            <w:gridSpan w:val="4"/>
            <w:tcW w:type="dxa" w:w="9777"/>
          </w:tcPr>
          <w:p>
            <w:pPr>
              <w:pStyle w:val="TableHeading"/>
              <w:spacing w:before="0" w:after="0" w:line="240" w:lineRule="atLeast"/>
            </w:pPr>
            <w:r>
              <w:rPr>
                <w:rFonts w:ascii="Arial" w:hAnsi="Arial" w:cs="Arial" w:eastAsia="Arial"/>
                <w:sz w:val="16"/>
                <w:szCs w:val="16"/>
              </w:rPr>
              <w:t>Project Management</w:t>
            </w:r>
          </w:p>
        </w:tc>
      </w:tr>
      <w:tr>
        <w:tc>
          <w:tcPr>
            <w:tcW w:type="dxa" w:w="2444"/>
          </w:tcPr>
          <w:p>
            <w:pPr>
              <w:pStyle w:val="TableBulletPoints"/>
              <w:spacing w:before="0" w:after="0" w:line="240" w:lineRule="atLeast"/>
            </w:pPr>
            <w:r>
              <w:rPr>
                <w:rFonts w:ascii="Arial" w:hAnsi="Arial" w:cs="Arial" w:eastAsia="Arial"/>
                <w:sz w:val="16"/>
                <w:szCs w:val="16"/>
              </w:rPr>
              <w:t>Holds overall accountability for project compliance with this procedure and approves this procedure and any material amendment.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Accepts residual risk at the highest risk class level and authorises continuation where escalation is required.</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HSE/CSP Management</w:t>
            </w:r>
          </w:p>
        </w:tc>
      </w:tr>
      <w:tr>
        <w:tc>
          <w:tcPr>
            <w:tcW w:type="dxa" w:w="2444"/>
          </w:tcPr>
          <w:p>
            <w:pPr>
              <w:pStyle w:val="TableBulletPoints"/>
              <w:spacing w:before="0" w:after="0" w:line="240" w:lineRule="atLeast"/>
            </w:pPr>
            <w:r>
              <w:rPr>
                <w:rFonts w:ascii="Arial" w:hAnsi="Arial" w:cs="Arial" w:eastAsia="Arial"/>
                <w:sz w:val="16"/>
                <w:szCs w:val="16"/>
              </w:rPr>
              <w:t>Maintains and implements this procedure and confirms all activities meet its requirements before work proceeds.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Reviews and approves all required assessments, plans, and registers produced under this procedure.</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Reports performance against this procedure at the agreed project HSESC performance meeting.</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Reviews performance data, identifies trends, and incorporates systemic findings into corrective action programmes.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Frontline Supervision</w:t>
            </w:r>
          </w:p>
        </w:tc>
      </w:tr>
      <w:tr>
        <w:tc>
          <w:tcPr>
            <w:tcW w:type="dxa" w:w="2444"/>
          </w:tcPr>
          <w:p>
            <w:pPr>
              <w:pStyle w:val="TableBulletPoints"/>
              <w:spacing w:before="0" w:after="0" w:line="240" w:lineRule="atLeast"/>
            </w:pPr>
            <w:r>
              <w:rPr>
                <w:rFonts w:ascii="Arial" w:hAnsi="Arial" w:cs="Arial" w:eastAsia="Arial"/>
                <w:sz w:val="16"/>
                <w:szCs w:val="16"/>
              </w:rPr>
              <w:t>Ensures work crew compliance with this procedure before and during all relevant task executions.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Stops work when the requirements of this procedure cannot be met and notifies the HSESC Manager.</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Confirms all personnel under their supervision are trained and competent before commencing relevant activities.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All Project Personnel / Workers</w:t>
            </w:r>
          </w:p>
        </w:tc>
      </w:tr>
      <w:tr>
        <w:tc>
          <w:tcPr>
            <w:tcW w:type="dxa" w:w="2444"/>
          </w:tcPr>
          <w:p>
            <w:pPr>
              <w:pStyle w:val="TableBulletPoints"/>
              <w:spacing w:before="0" w:after="0" w:line="240" w:lineRule="atLeast"/>
            </w:pPr>
            <w:r>
              <w:rPr>
                <w:rFonts w:ascii="Arial" w:hAnsi="Arial" w:cs="Arial" w:eastAsia="Arial"/>
                <w:sz w:val="16"/>
                <w:szCs w:val="16"/>
              </w:rPr>
              <w:t>Complies with the requirements of this procedure in all relevant work activities.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Reports any non-compliance with this procedure immediately to their supervisor.</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bl>
    <w:p>
      <w:pPr>
        <w:pStyle w:val="NormalNumberedtext"/>
      </w:pPr>
    </w:p>
    <w:p>
      <w:pPr>
        <w:pStyle w:val="Heading1Numbered"/>
        <w:numPr>
          <w:ilvl w:val="0"/>
          <w:numId w:val="1"/>
        </w:numPr>
      </w:pPr>
      <w:r>
        <w:rPr>
          <w:rFonts w:ascii="Arial" w:hAnsi="Arial" w:cs="Arial" w:eastAsia="Arial"/>
        </w:rPr>
        <w:t>Purpose and Scope</w:t>
      </w:r>
    </w:p>
    <w:p>
      <w:pPr>
        <w:pStyle w:val="NormalNumberedtext"/>
      </w:pPr>
      <w:r>
        <w:t>This section states the purpose of this procedure, the scope of change categories it governs, and the lifecycle phases across which it applies.</w:t>
      </w:r>
    </w:p>
    <w:p>
      <w:pPr>
        <w:pStyle w:val="NormalNumberedtext"/>
      </w:pPr>
    </w:p>
    <w:p>
      <w:pPr>
        <w:pStyle w:val="Heading2Numbered"/>
        <w:numPr>
          <w:ilvl w:val="1"/>
          <w:numId w:val="1"/>
        </w:numPr>
      </w:pPr>
      <w:r>
        <w:rPr>
          <w:rFonts w:ascii="Arial" w:hAnsi="Arial" w:cs="Arial" w:eastAsia="Arial"/>
        </w:rPr>
        <w:t>Purpose of This Document</w:t>
      </w:r>
    </w:p>
    <w:p>
      <w:pPr>
        <w:pStyle w:val="NormalNumberedtext"/>
      </w:pPr>
      <w:r>
        <w:t>This section defines the purpose of this procedure and the management system element it operationalises.</w:t>
      </w:r>
    </w:p>
    <w:p>
      <w:pPr>
        <w:pStyle w:val="NormalNumberedtext"/>
      </w:pPr>
      <w:r>
        <w:t>This procedure meets the following purpose requirements:</w:t>
      </w:r>
    </w:p>
    <w:p>
      <w:pPr>
        <w:pStyle w:val="NormalNumberedtext"/>
      </w:pPr>
      <w:r>
        <w:t>This procedure operationalises Element 11 - Management of Change requirements into a documented, project-specific process for identifying, assessing, approving, communicating, and closing out changes that could introduce new or modified HSESC risks.</w:t>
      </w:r>
    </w:p>
    <w:p>
      <w:pPr>
        <w:pStyle w:val="NormalNumberedtext"/>
      </w:pPr>
      <w:r>
        <w:t>This procedure defines the change management requirements that apply from project Execution through to Handover. It applies to all changes initiated by Rio Tinto project personnel and all contractor organisations working on the project.</w:t>
      </w:r>
    </w:p>
    <w:p>
      <w:pPr>
        <w:pStyle w:val="NormalNumberedtext"/>
      </w:pPr>
      <w:r>
        <w:t>This procedure does not reproduce the risk assessment methodology, training requirements, document control process, or incident management process. Those processes are governed by [INSERT: Project Document Number], [INSERT: Project Document Number], [INSERT: Project Document Number], and [INSERT: Project Document Number] respectively. This procedure defines when and how those processes are triggered by a change.</w:t>
      </w:r>
    </w:p>
    <w:p>
      <w:pPr>
        <w:pStyle w:val="NormalNumberedtext"/>
      </w:pPr>
    </w:p>
    <w:p>
      <w:pPr>
        <w:pStyle w:val="Heading2Numbered"/>
        <w:numPr>
          <w:ilvl w:val="1"/>
          <w:numId w:val="1"/>
        </w:numPr>
      </w:pPr>
      <w:r>
        <w:rPr>
          <w:rFonts w:ascii="Arial" w:hAnsi="Arial" w:cs="Arial" w:eastAsia="Arial"/>
        </w:rPr>
        <w:t>Scope of This Document</w:t>
      </w:r>
    </w:p>
    <w:p>
      <w:pPr>
        <w:pStyle w:val="NormalNumberedtext"/>
      </w:pPr>
      <w:r>
        <w:t>This section defines which change categories and project phases are governed by this procedure.</w:t>
      </w:r>
    </w:p>
    <w:p>
      <w:pPr>
        <w:pStyle w:val="NormalNumberedtext"/>
      </w:pPr>
      <w:r>
        <w:t>This procedure applies the following scope requirements:</w:t>
      </w:r>
    </w:p>
    <w:p>
      <w:pPr>
        <w:pStyle w:val="NormalNumberedtext"/>
      </w:pPr>
      <w:r>
        <w:t>This procedure governs the formal Management of Change process applied during the execution, commissioning, and handover phases of the project. It covers both permanent and temporary changes.</w:t>
      </w:r>
    </w:p>
    <w:p>
      <w:pPr>
        <w:pStyle w:val="NormalNumberedtext"/>
      </w:pPr>
      <w:r>
        <w:t>Changes that arise from incidents are identified through the incident investigation process and entered into the MoC process as corrective actions where applicable. Incident reporting and investigation are governed by [INSERT: Project Document Number]. Changes that arise from improvement planning are governed by [INSERT: Project Document Number].</w:t>
      </w:r>
    </w:p>
    <w:p>
      <w:pPr>
        <w:pStyle w:val="NormalNumberedtext"/>
      </w:pPr>
      <w:r>
        <w:t>The scope of this procedure starts at the point a potential change is identified and finishes at formal MoC closeout, including verification that all required actions, document updates, and training have been completed.</w:t>
      </w:r>
    </w:p>
    <w:p>
      <w:pPr>
        <w:pStyle w:val="NormalNumberedtext"/>
      </w:pPr>
    </w:p>
    <w:p>
      <w:pPr>
        <w:pStyle w:val="Heading1Numbered"/>
        <w:numPr>
          <w:ilvl w:val="0"/>
          <w:numId w:val="1"/>
        </w:numPr>
      </w:pPr>
      <w:r>
        <w:rPr>
          <w:rFonts w:ascii="Arial" w:hAnsi="Arial" w:cs="Arial" w:eastAsia="Arial"/>
        </w:rPr>
        <w:t>MoC Triggers and Scope</w:t>
      </w:r>
    </w:p>
    <w:p>
      <w:pPr>
        <w:pStyle w:val="NormalNumberedtext"/>
      </w:pPr>
      <w:r>
        <w:t>This section defines the categories of change that require a formal MoC assessment and the obligations for communicating changes to the project owner.</w:t>
      </w:r>
    </w:p>
    <w:p>
      <w:pPr>
        <w:pStyle w:val="NormalNumberedtext"/>
      </w:pPr>
    </w:p>
    <w:p>
      <w:pPr>
        <w:pStyle w:val="Heading2Numbered"/>
        <w:numPr>
          <w:ilvl w:val="1"/>
          <w:numId w:val="1"/>
        </w:numPr>
      </w:pPr>
      <w:r>
        <w:rPr>
          <w:rFonts w:ascii="Arial" w:hAnsi="Arial" w:cs="Arial" w:eastAsia="Arial"/>
        </w:rPr>
        <w:t>Categories of Change Requiring Formal MoC Assessment</w:t>
      </w:r>
    </w:p>
    <w:p>
      <w:pPr>
        <w:pStyle w:val="NormalNumberedtext"/>
      </w:pPr>
      <w:r>
        <w:t>This section defines the change categories that trigger the MoC process, consistent with the RT Risk Management Standard.</w:t>
      </w:r>
    </w:p>
    <w:p>
      <w:pPr>
        <w:pStyle w:val="NormalNumberedtext"/>
      </w:pPr>
      <w:r>
        <w:t>All project personnel are responsible for identifying changes within their area of work that fall within the categories below and initiating an MoC request before implementation. The following categories of change require a formal MoC assessment:</w:t>
      </w:r>
    </w:p>
    <w:p>
      <w:pPr>
        <w:pStyle w:val="NormalNumberedtext"/>
      </w:pPr>
      <w:r>
        <w:t>Change categories requiring a formal MoC assessment include:</w:t>
      </w:r>
    </w:p>
    <w:p>
      <w:pPr>
        <w:pStyle w:val="NumberedBulletL1"/>
      </w:pPr>
      <w:r>
        <w:t>Changes to project scope, design, or engineering, including changes to drawings, specifications, or engineering standards.</w:t>
      </w:r>
    </w:p>
    <w:p>
      <w:pPr>
        <w:pStyle w:val="NumberedBulletL1"/>
      </w:pPr>
      <w:r>
        <w:t>Changes to organisational structure or key personnel, including changes to roles with defined HSESC responsibilities.</w:t>
      </w:r>
    </w:p>
    <w:p>
      <w:pPr>
        <w:pStyle w:val="NumberedBulletL1"/>
      </w:pPr>
      <w:r>
        <w:t>Changes to work activities, processes, or procedures, including the introduction of new work methods or the modification of existing Safe Work Method Statements or Job Hazard Analyses.</w:t>
      </w:r>
    </w:p>
    <w:p>
      <w:pPr>
        <w:pStyle w:val="NumberedBulletL1"/>
      </w:pPr>
      <w:r>
        <w:t>Changes to legislation, permits, or approvals, including changes to environmental approvals, permit conditions, or the approved project footprint.</w:t>
      </w:r>
    </w:p>
    <w:p>
      <w:pPr>
        <w:pStyle w:val="NumberedBulletL1"/>
      </w:pPr>
      <w:r>
        <w:t>Changes to the physical environment or site conditions that affect risks identified in the project risk register.</w:t>
      </w:r>
    </w:p>
    <w:p>
      <w:pPr>
        <w:pStyle w:val="NumberedBulletL1"/>
      </w:pPr>
      <w:r>
        <w:rPr>
          <w:color w:val="C55A11"/>
        </w:rPr>
        <w:t>Changes to contractor organisations, activities, or documentation that may introduce new environmental or social risks.</w:t>
      </w:r>
    </w:p>
    <w:p>
      <w:pPr>
        <w:pStyle w:val="NormalNumberedtext"/>
      </w:pPr>
      <w:r>
        <w:t>The management system includes a process for identifying and assessing changes that could introduce new or modified environmental and social risks, consistent with IFC Performance Standard 1, paragraph 7. Where a change is assessed and found to introduce new or modified environmental or social risks, the relevant risk assessments and management plans are updated before the change is implemented. Risk assessment updates are conducted in accordance with [INSERT: Project Document Number].</w:t>
      </w:r>
    </w:p>
    <w:p>
      <w:pPr>
        <w:pStyle w:val="NormalNumberedtext"/>
      </w:pPr>
      <w:r>
        <w:t>Where a potential change does not clearly fall within a defined category, the initiating personnel escalate the question to the HSESC Manager for determination before proceeding.</w:t>
      </w:r>
    </w:p>
    <w:p>
      <w:pPr>
        <w:pStyle w:val="NormalNumberedtext"/>
      </w:pPr>
    </w:p>
    <w:p>
      <w:pPr>
        <w:pStyle w:val="Heading2Numbered"/>
        <w:numPr>
          <w:ilvl w:val="1"/>
          <w:numId w:val="1"/>
        </w:numPr>
      </w:pPr>
      <w:r>
        <w:rPr>
          <w:rFonts w:ascii="Arial" w:hAnsi="Arial" w:cs="Arial" w:eastAsia="Arial"/>
        </w:rPr>
        <w:t>Communication of Changes to the Project Owner</w:t>
      </w:r>
    </w:p>
    <w:p>
      <w:pPr>
        <w:pStyle w:val="NormalNumberedtext"/>
      </w:pPr>
      <w:r>
        <w:t>This section defines the obligations for communicating changes to the project owner and entering MoC records into the project action tracking system.</w:t>
      </w:r>
    </w:p>
    <w:p>
      <w:pPr>
        <w:pStyle w:val="NormalNumberedtext"/>
      </w:pPr>
      <w:r>
        <w:t>Changes are communicated to the project owner in a timely and structured manner, consistent with Appendix C, C-1, paragraph 26. The MoC record is entered into the project action tracking system upon initiation and updated at each stage of the MoC process through to closeout.</w:t>
      </w:r>
    </w:p>
    <w:p>
      <w:pPr>
        <w:pStyle w:val="NormalNumberedtext"/>
      </w:pPr>
      <w:r>
        <w:rPr>
          <w:b/>
          <w:bCs/>
          <w:color w:val="0059D1"/>
        </w:rPr>
        <w:t>[INSERT: MoC tracking system name and reference] — Define the project action tracking system used to record and track MoC requests, e.g. a named digital system or a controlled physical register. Specify the document reference or system location.</w:t>
      </w:r>
    </w:p>
    <w:p>
      <w:pPr>
        <w:pStyle w:val="NormalNumberedtext"/>
      </w:pPr>
      <w:r>
        <w:t>Changes affecting environmental approvals, permit conditions, or the approved project footprint are communicated to the Company before implementation, consistent with Appendix C, C-4, paragraph 91.0.1. The Project Manager is responsible for confirming this communication has occurred before the change proceeds.</w:t>
      </w:r>
    </w:p>
    <w:p>
      <w:pPr>
        <w:pStyle w:val="NormalNumberedtext"/>
      </w:pPr>
    </w:p>
    <w:p>
      <w:pPr>
        <w:pStyle w:val="Heading1Numbered"/>
        <w:numPr>
          <w:ilvl w:val="0"/>
          <w:numId w:val="1"/>
        </w:numPr>
      </w:pPr>
      <w:r>
        <w:rPr>
          <w:rFonts w:ascii="Arial" w:hAnsi="Arial" w:cs="Arial" w:eastAsia="Arial"/>
        </w:rPr>
        <w:t>MoC Assessment Process</w:t>
      </w:r>
    </w:p>
    <w:p>
      <w:pPr>
        <w:pStyle w:val="NormalNumberedtext"/>
      </w:pPr>
      <w:r>
        <w:t>This section defines the steps of the MoC assessment process, the requirements for enhanced assessment of safety-critical changes, and the requirements for temporary changes.</w:t>
      </w:r>
    </w:p>
    <w:p>
      <w:pPr>
        <w:pStyle w:val="NormalNumberedtext"/>
      </w:pPr>
    </w:p>
    <w:p>
      <w:pPr>
        <w:pStyle w:val="Heading2Numbered"/>
        <w:numPr>
          <w:ilvl w:val="1"/>
          <w:numId w:val="1"/>
        </w:numPr>
      </w:pPr>
      <w:r>
        <w:rPr>
          <w:rFonts w:ascii="Arial" w:hAnsi="Arial" w:cs="Arial" w:eastAsia="Arial"/>
        </w:rPr>
        <w:t>Standard MoC Assessment Steps</w:t>
      </w:r>
    </w:p>
    <w:p>
      <w:pPr>
        <w:pStyle w:val="NormalNumberedtext"/>
      </w:pPr>
      <w:r>
        <w:t>This section defines the sequential steps of the standard MoC assessment process from initiation through to closeout.</w:t>
      </w:r>
    </w:p>
    <w:p>
      <w:pPr>
        <w:pStyle w:val="NormalNumberedtext"/>
      </w:pPr>
      <w:r>
        <w:t>The MoC Coordinator confirms all MoC requests progress through the following steps in sequence. No step is skipped, and the MoC record is updated in the project action tracking system at each step:</w:t>
      </w:r>
    </w:p>
    <w:p>
      <w:pPr>
        <w:pStyle w:val="NormalNumberedtext"/>
      </w:pPr>
      <w:r>
        <w:t>Standard MoC assessment steps are:</w:t>
      </w:r>
    </w:p>
    <w:p>
      <w:pPr>
        <w:pStyle w:val="NumberedBulletL1"/>
      </w:pPr>
      <w:r>
        <w:t>Step 1 - Document the change: The initiator completes the MoC request form, describing the proposed change, the reason for the change, and the affected activities, documents, and personnel.</w:t>
      </w:r>
    </w:p>
    <w:p>
      <w:pPr>
        <w:pStyle w:val="NumberedBulletL1"/>
      </w:pPr>
      <w:r>
        <w:t>Step 2 - Identify and assess HSESC risks: The HSESC Manager or nominated assessor identifies and assesses all HSESC risks associated with the proposed change using the RT 5×5 Risk Matrix, in accordance with [INSERT: Project Document Number].</w:t>
      </w:r>
    </w:p>
    <w:p>
      <w:pPr>
        <w:pStyle w:val="NumberedBulletL1"/>
      </w:pPr>
      <w:r>
        <w:t>Step 3 - Identify required controls: Required controls are identified and documented for each assessed risk, applying the hierarchy of controls. Where the change affects an existing JHA or risk register entry, those documents are updated as part of this step.</w:t>
      </w:r>
    </w:p>
    <w:p>
      <w:pPr>
        <w:pStyle w:val="NumberedBulletL1"/>
      </w:pPr>
      <w:r>
        <w:t>Step 4 - Determine the approval authority level: The residual risk rating from Step 2 determines the approval authority tier, as defined in the MoC Approval Authority Matrix in Section 4.</w:t>
      </w:r>
    </w:p>
    <w:p>
      <w:pPr>
        <w:pStyle w:val="NumberedBulletL1"/>
      </w:pPr>
      <w:r>
        <w:t>Step 5 - Communicate the change: The approved change is communicated to all affected personnel before implementation, in accordance with the communication requirements defined in Section 5.</w:t>
      </w:r>
    </w:p>
    <w:p>
      <w:pPr>
        <w:pStyle w:val="NumberedBulletL1"/>
      </w:pPr>
      <w:r>
        <w:t>Step 6 - Implement the change: The change is implemented in accordance with the approved MoC record. No implementation commences before the required approval is obtained.</w:t>
      </w:r>
    </w:p>
    <w:p>
      <w:pPr>
        <w:pStyle w:val="NumberedBulletL1"/>
      </w:pPr>
      <w:r>
        <w:t>Step 7 - Verify the change: The approving authority confirms the change has been implemented as approved and that all required controls are in place before normal operations resume.</w:t>
      </w:r>
    </w:p>
    <w:p>
      <w:pPr>
        <w:pStyle w:val="NumberedBulletL1"/>
      </w:pPr>
      <w:r>
        <w:t>Step 8 - Close out: The MoC Coordinator confirms all required document updates, JHA revisions, risk register updates, and training have been completed, and formally closes the MoC record in the project action tracking system.</w:t>
      </w:r>
    </w:p>
    <w:p>
      <w:pPr>
        <w:pStyle w:val="NormalNumberedtext"/>
      </w:pPr>
      <w:r>
        <w:t>Document updates required as a MoC output, including updates to procedures, JHAs, and risk registers, are processed in accordance with [INSERT: Project Document Number]. Training triggered by an approved change is managed in accordance with [INSERT: Project Document Number].</w:t>
      </w:r>
    </w:p>
    <w:p>
      <w:pPr>
        <w:pStyle w:val="NormalNumberedtext"/>
      </w:pPr>
    </w:p>
    <w:p>
      <w:pPr>
        <w:pStyle w:val="Heading2Numbered"/>
        <w:numPr>
          <w:ilvl w:val="1"/>
          <w:numId w:val="1"/>
        </w:numPr>
      </w:pPr>
      <w:r>
        <w:rPr>
          <w:rFonts w:ascii="Arial" w:hAnsi="Arial" w:cs="Arial" w:eastAsia="Arial"/>
        </w:rPr>
        <w:t>Enhanced MoC Process for Safety-Critical Changes</w:t>
      </w:r>
    </w:p>
    <w:p>
      <w:pPr>
        <w:pStyle w:val="NormalNumberedtext"/>
      </w:pPr>
      <w:r>
        <w:t>This section defines the enhanced assessment requirements that apply to changes involving safety instrumented systems, process safety controls, and critical safety devices.</w:t>
      </w:r>
    </w:p>
    <w:p>
      <w:pPr>
        <w:pStyle w:val="NormalNumberedtext"/>
      </w:pPr>
      <w:r>
        <w:t>Changes to safety instrumented systems, process safety controls, and critical safety devices follow an enhanced MoC process, consistent with the RT Energy Isolation Standard and the RT Electrical Standard. The enhanced process applies a higher approval threshold and requires mandatory verification testing before return to service.</w:t>
      </w:r>
    </w:p>
    <w:p>
      <w:pPr>
        <w:pStyle w:val="NormalNumberedtext"/>
      </w:pPr>
      <w:r>
        <w:t>The enhanced MoC process includes all steps defined in Section 3.1, with the following additional requirements:</w:t>
      </w:r>
    </w:p>
    <w:p>
      <w:pPr>
        <w:pStyle w:val="NormalNumberedtext"/>
      </w:pPr>
      <w:r>
        <w:t>Additional requirements for the enhanced MoC process include:</w:t>
      </w:r>
    </w:p>
    <w:p>
      <w:pPr>
        <w:pStyle w:val="NumberedBulletL1"/>
      </w:pPr>
      <w:r>
        <w:t>The change is reviewed by a suitably qualified and experienced person with competency in the relevant safety system or critical safety device before approval.</w:t>
      </w:r>
    </w:p>
    <w:p>
      <w:pPr>
        <w:pStyle w:val="NumberedBulletL1"/>
      </w:pPr>
      <w:r>
        <w:t>The approving authority for enhanced MoC is the Project Manager as a minimum, regardless of the residual risk rating.</w:t>
      </w:r>
    </w:p>
    <w:p>
      <w:pPr>
        <w:pStyle w:val="NumberedBulletL1"/>
      </w:pPr>
      <w:r>
        <w:t>Mandatory verification testing is completed and documented before the affected system or device is returned to service.</w:t>
      </w:r>
    </w:p>
    <w:p>
      <w:pPr>
        <w:pStyle w:val="NumberedBulletL1"/>
      </w:pPr>
      <w:r>
        <w:t>The verification testing record is attached to the MoC record in the project action tracking system at closeout.</w:t>
      </w:r>
    </w:p>
    <w:p>
      <w:pPr>
        <w:pStyle w:val="NumberedBulletL1"/>
      </w:pPr>
      <w:r>
        <w:rPr>
          <w:color w:val="C55A11"/>
        </w:rPr>
        <w:t>The HSESC Manager confirms the enhanced MoC checklist is completed in full for every change captured under this section before approval is granted.</w:t>
      </w:r>
    </w:p>
    <w:p>
      <w:pPr>
        <w:pStyle w:val="NormalNumberedtext"/>
      </w:pPr>
    </w:p>
    <w:p>
      <w:pPr>
        <w:pStyle w:val="Heading2Numbered"/>
        <w:numPr>
          <w:ilvl w:val="1"/>
          <w:numId w:val="1"/>
        </w:numPr>
      </w:pPr>
      <w:r>
        <w:rPr>
          <w:rFonts w:ascii="Arial" w:hAnsi="Arial" w:cs="Arial" w:eastAsia="Arial"/>
        </w:rPr>
        <w:t>Temporary Changes</w:t>
      </w:r>
    </w:p>
    <w:p>
      <w:pPr>
        <w:pStyle w:val="NormalNumberedtext"/>
      </w:pPr>
      <w:r>
        <w:t>This section defines the requirements for temporary changes, including assessment rigour, defined expiry dates, and extension approval.</w:t>
      </w:r>
    </w:p>
    <w:p>
      <w:pPr>
        <w:pStyle w:val="NormalNumberedtext"/>
      </w:pPr>
      <w:r>
        <w:t>Temporary changes are assessed with the same rigour as permanent changes, consistent with OSHA Hazard Prevention and Control guidance. Temporary changes can introduce unique risks due to time pressure and unfamiliarity, and the assessment process does not reduce any step defined in Section 3.1 on account of the temporary nature of the change.</w:t>
      </w:r>
    </w:p>
    <w:p>
      <w:pPr>
        <w:pStyle w:val="NormalNumberedtext"/>
      </w:pPr>
      <w:r>
        <w:t>A defined expiry date is set for all temporary change approvals at the time of approval. A temporary change that has not been reversed or made permanent before its expiry date requires a new MoC assessment before the expiry date passes.</w:t>
      </w:r>
    </w:p>
    <w:p>
      <w:pPr>
        <w:pStyle w:val="NormalNumberedtext"/>
      </w:pPr>
      <w:r>
        <w:rPr>
          <w:b/>
          <w:bCs/>
          <w:color w:val="0059D1"/>
        </w:rPr>
        <w:t>[INSERT: Maximum duration of a temporary change] — Define the maximum permitted duration for a temporary change before it must be made permanent or reversed, e.g. 30 days. Define who approves an extension beyond the standard maximum duration.</w:t>
      </w:r>
    </w:p>
    <w:p>
      <w:pPr>
        <w:pStyle w:val="NormalNumberedtext"/>
      </w:pPr>
      <w:r>
        <w:rPr>
          <w:color w:val="C55A11"/>
        </w:rPr>
        <w:t>The MoC Coordinator monitors all open temporary change records in the project action tracking system and notifies the approving authority at least five working days before the expiry date of each temporary change.</w:t>
      </w:r>
    </w:p>
    <w:p>
      <w:pPr>
        <w:pStyle w:val="NormalNumberedtext"/>
      </w:pPr>
    </w:p>
    <w:p>
      <w:pPr>
        <w:pStyle w:val="Heading1Numbered"/>
        <w:numPr>
          <w:ilvl w:val="0"/>
          <w:numId w:val="1"/>
        </w:numPr>
      </w:pPr>
      <w:r>
        <w:rPr>
          <w:rFonts w:ascii="Arial" w:hAnsi="Arial" w:cs="Arial" w:eastAsia="Arial"/>
        </w:rPr>
        <w:t>MoC Approval Authority Matrix</w:t>
      </w:r>
    </w:p>
    <w:p>
      <w:pPr>
        <w:pStyle w:val="NormalNumberedtext"/>
      </w:pPr>
      <w:r>
        <w:t>This section defines the approval authority tiers for MoC requests based on residual risk rating and the roles assigned to each tier on this project.</w:t>
      </w:r>
    </w:p>
    <w:p>
      <w:pPr>
        <w:pStyle w:val="NormalNumberedtext"/>
      </w:pPr>
    </w:p>
    <w:p>
      <w:pPr>
        <w:pStyle w:val="Heading2Numbered"/>
        <w:numPr>
          <w:ilvl w:val="1"/>
          <w:numId w:val="1"/>
        </w:numPr>
      </w:pPr>
      <w:r>
        <w:rPr>
          <w:rFonts w:ascii="Arial" w:hAnsi="Arial" w:cs="Arial" w:eastAsia="Arial"/>
        </w:rPr>
        <w:t>Approval Authority Tiers</w:t>
      </w:r>
    </w:p>
    <w:p>
      <w:pPr>
        <w:pStyle w:val="NormalNumberedtext"/>
      </w:pPr>
      <w:r>
        <w:t>This section defines the three approval authority tiers and the roles assigned to each tier for this project.</w:t>
      </w:r>
    </w:p>
    <w:p>
      <w:pPr>
        <w:pStyle w:val="NormalNumberedtext"/>
      </w:pPr>
      <w:r>
        <w:t>The residual risk rating determined at Step 4 of the MoC assessment process determines the minimum approval authority required before implementation. The MoC request must not proceed to implementation until the required authority has approved the MoC record in the project action tracking system.</w:t>
      </w:r>
    </w:p>
    <w:p>
      <w:pPr>
        <w:pStyle w:val="NormalNumberedtext"/>
      </w:pPr>
      <w:r>
        <w:t>The MoC Approval Authority Matrix for this project is defined in Table 1. The project assigns specific roles to each tier within the thresholds set by this procedure.</w:t>
      </w:r>
    </w:p>
    <w:p>
      <w:pPr>
        <w:pStyle w:val="NormalNumberedtext"/>
      </w:pPr>
      <w:r>
        <w:t>Table 1: MoC Approval Authority Matrix</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Residual Risk Rating (RT 5×5 Matrix)</w:t>
            </w:r>
          </w:p>
        </w:tc>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Minimum Approval Authority</w:t>
            </w:r>
          </w:p>
        </w:tc>
        <w:tc>
          <w:tcPr>
            <w:shd w:val="clear" w:color="auto" w:fill="1F3864"/>
            <w:tcW w:type="dxa" w:w="3010"/>
          </w:tcPr>
          <w:p>
            <w:pPr>
              <w:pStyle w:val="TableContents"/>
              <w:spacing w:before="0" w:after="0" w:line="240" w:lineRule="atLeast"/>
            </w:pPr>
            <w:r>
              <w:rPr>
                <w:rFonts w:ascii="Arial" w:hAnsi="Arial" w:cs="Arial" w:eastAsia="Arial"/>
                <w:b/>
                <w:bCs/>
                <w:color w:val="FFFFFF"/>
                <w:sz w:val="16"/>
                <w:szCs w:val="16"/>
              </w:rPr>
              <w:t>Project Role Assigned</w:t>
            </w:r>
          </w:p>
        </w:tc>
      </w:tr>
      <w:tr>
        <w:tc>
          <w:tcPr>
            <w:tcW w:type="dxa" w:w="3008"/>
          </w:tcPr>
          <w:p>
            <w:pPr>
              <w:pStyle w:val="TableContents"/>
              <w:spacing w:before="0" w:after="0" w:line="240" w:lineRule="atLeast"/>
            </w:pPr>
            <w:r>
              <w:rPr>
                <w:rFonts w:ascii="Arial" w:hAnsi="Arial" w:cs="Arial" w:eastAsia="Arial"/>
                <w:sz w:val="16"/>
                <w:szCs w:val="16"/>
              </w:rPr>
              <w:t>Low (1-4)</w:t>
            </w:r>
          </w:p>
        </w:tc>
        <w:tc>
          <w:tcPr>
            <w:tcW w:type="dxa" w:w="3008"/>
          </w:tcPr>
          <w:p>
            <w:pPr>
              <w:pStyle w:val="TableContents"/>
              <w:spacing w:before="0" w:after="0" w:line="240" w:lineRule="atLeast"/>
            </w:pPr>
            <w:r>
              <w:rPr>
                <w:rFonts w:ascii="Arial" w:hAnsi="Arial" w:cs="Arial" w:eastAsia="Arial"/>
                <w:sz w:val="16"/>
                <w:szCs w:val="16"/>
              </w:rPr>
              <w:t>HSESC Manager or Senior Supervisor</w:t>
            </w:r>
          </w:p>
        </w:tc>
        <w:tc>
          <w:tcPr>
            <w:tcW w:type="dxa" w:w="3010"/>
          </w:tcPr>
          <w:p>
            <w:pPr>
              <w:pStyle w:val="TableContents"/>
              <w:spacing w:before="0" w:after="0" w:line="240" w:lineRule="atLeast"/>
            </w:pPr>
            <w:r>
              <w:rPr>
                <w:rFonts w:ascii="Arial" w:hAnsi="Arial" w:cs="Arial" w:eastAsia="Arial"/>
                <w:b/>
                <w:bCs/>
                <w:color w:val="0059D1"/>
                <w:sz w:val="16"/>
                <w:szCs w:val="16"/>
              </w:rPr>
              <w:t>[INSERT: Project role assigned to Low risk MoC approval]</w:t>
            </w:r>
          </w:p>
        </w:tc>
      </w:tr>
      <w:tr>
        <w:tc>
          <w:tcPr>
            <w:tcW w:type="dxa" w:w="3008"/>
          </w:tcPr>
          <w:p>
            <w:pPr>
              <w:pStyle w:val="TableContents"/>
              <w:spacing w:before="0" w:after="0" w:line="240" w:lineRule="atLeast"/>
            </w:pPr>
            <w:r>
              <w:rPr>
                <w:rFonts w:ascii="Arial" w:hAnsi="Arial" w:cs="Arial" w:eastAsia="Arial"/>
                <w:sz w:val="16"/>
                <w:szCs w:val="16"/>
              </w:rPr>
              <w:t>Medium (5-12)</w:t>
            </w:r>
          </w:p>
        </w:tc>
        <w:tc>
          <w:tcPr>
            <w:tcW w:type="dxa" w:w="3008"/>
          </w:tcPr>
          <w:p>
            <w:pPr>
              <w:pStyle w:val="TableContents"/>
              <w:spacing w:before="0" w:after="0" w:line="240" w:lineRule="atLeast"/>
            </w:pPr>
            <w:r>
              <w:rPr>
                <w:rFonts w:ascii="Arial" w:hAnsi="Arial" w:cs="Arial" w:eastAsia="Arial"/>
                <w:sz w:val="16"/>
                <w:szCs w:val="16"/>
              </w:rPr>
              <w:t>Construction Manager or equivalent</w:t>
            </w:r>
          </w:p>
        </w:tc>
        <w:tc>
          <w:tcPr>
            <w:tcW w:type="dxa" w:w="3010"/>
          </w:tcPr>
          <w:p>
            <w:pPr>
              <w:pStyle w:val="TableContents"/>
              <w:spacing w:before="0" w:after="0" w:line="240" w:lineRule="atLeast"/>
            </w:pPr>
            <w:r>
              <w:rPr>
                <w:rFonts w:ascii="Arial" w:hAnsi="Arial" w:cs="Arial" w:eastAsia="Arial"/>
                <w:b/>
                <w:bCs/>
                <w:color w:val="0059D1"/>
                <w:sz w:val="16"/>
                <w:szCs w:val="16"/>
              </w:rPr>
              <w:t>[INSERT: Project role assigned to Medium risk MoC approval]</w:t>
            </w:r>
          </w:p>
        </w:tc>
      </w:tr>
      <w:tr>
        <w:tc>
          <w:tcPr>
            <w:tcW w:type="dxa" w:w="3008"/>
          </w:tcPr>
          <w:p>
            <w:pPr>
              <w:pStyle w:val="TableContents"/>
              <w:spacing w:before="0" w:after="0" w:line="240" w:lineRule="atLeast"/>
            </w:pPr>
            <w:r>
              <w:rPr>
                <w:rFonts w:ascii="Arial" w:hAnsi="Arial" w:cs="Arial" w:eastAsia="Arial"/>
                <w:sz w:val="16"/>
                <w:szCs w:val="16"/>
              </w:rPr>
              <w:t>High (15-25)</w:t>
            </w:r>
          </w:p>
        </w:tc>
        <w:tc>
          <w:tcPr>
            <w:tcW w:type="dxa" w:w="3008"/>
          </w:tcPr>
          <w:p>
            <w:pPr>
              <w:pStyle w:val="TableContents"/>
              <w:spacing w:before="0" w:after="0" w:line="240" w:lineRule="atLeast"/>
            </w:pPr>
            <w:r>
              <w:rPr>
                <w:rFonts w:ascii="Arial" w:hAnsi="Arial" w:cs="Arial" w:eastAsia="Arial"/>
                <w:sz w:val="16"/>
                <w:szCs w:val="16"/>
              </w:rPr>
              <w:t>Project Manager</w:t>
            </w:r>
          </w:p>
        </w:tc>
        <w:tc>
          <w:tcPr>
            <w:tcW w:type="dxa" w:w="3010"/>
          </w:tcPr>
          <w:p>
            <w:pPr>
              <w:pStyle w:val="TableContents"/>
              <w:spacing w:before="0" w:after="0" w:line="240" w:lineRule="atLeast"/>
            </w:pPr>
            <w:r>
              <w:rPr>
                <w:rFonts w:ascii="Arial" w:hAnsi="Arial" w:cs="Arial" w:eastAsia="Arial"/>
                <w:b/>
                <w:bCs/>
                <w:color w:val="0059D1"/>
                <w:sz w:val="16"/>
                <w:szCs w:val="16"/>
              </w:rPr>
              <w:t>[INSERT: Project role assigned to High risk MoC approval]</w:t>
            </w:r>
          </w:p>
        </w:tc>
      </w:tr>
      <w:tr>
        <w:tc>
          <w:tcPr>
            <w:tcW w:type="dxa" w:w="3008"/>
          </w:tcPr>
          <w:p>
            <w:pPr>
              <w:pStyle w:val="TableContents"/>
              <w:spacing w:before="0" w:after="0" w:line="240" w:lineRule="atLeast"/>
            </w:pPr>
            <w:r>
              <w:rPr>
                <w:rFonts w:ascii="Arial" w:hAnsi="Arial" w:cs="Arial" w:eastAsia="Arial"/>
                <w:sz w:val="16"/>
                <w:szCs w:val="16"/>
              </w:rPr>
              <w:t>Enhanced MoC (safety-critical systems, any rating)</w:t>
            </w:r>
          </w:p>
        </w:tc>
        <w:tc>
          <w:tcPr>
            <w:tcW w:type="dxa" w:w="3008"/>
          </w:tcPr>
          <w:p>
            <w:pPr>
              <w:pStyle w:val="TableContents"/>
              <w:spacing w:before="0" w:after="0" w:line="240" w:lineRule="atLeast"/>
            </w:pPr>
            <w:r>
              <w:rPr>
                <w:rFonts w:ascii="Arial" w:hAnsi="Arial" w:cs="Arial" w:eastAsia="Arial"/>
                <w:sz w:val="16"/>
                <w:szCs w:val="16"/>
              </w:rPr>
              <w:t>Project Manager - mandatory</w:t>
            </w:r>
          </w:p>
        </w:tc>
        <w:tc>
          <w:tcPr>
            <w:tcW w:type="dxa" w:w="3010"/>
          </w:tcPr>
          <w:p>
            <w:pPr>
              <w:pStyle w:val="TableContents"/>
              <w:spacing w:before="0" w:after="0" w:line="240" w:lineRule="atLeast"/>
            </w:pPr>
            <w:r>
              <w:rPr>
                <w:rFonts w:ascii="Arial" w:hAnsi="Arial" w:cs="Arial" w:eastAsia="Arial"/>
                <w:b/>
                <w:bCs/>
                <w:color w:val="0059D1"/>
                <w:sz w:val="16"/>
                <w:szCs w:val="16"/>
              </w:rPr>
              <w:t>[INSERT: Confirm Project Manager role title for this project]</w:t>
            </w:r>
          </w:p>
        </w:tc>
      </w:tr>
    </w:tbl>
    <w:p>
      <w:pPr>
        <w:pStyle w:val="NormalNumberedtext"/>
      </w:pPr>
    </w:p>
    <w:p>
      <w:pPr>
        <w:pStyle w:val="NormalNumberedtext"/>
      </w:pPr>
      <w:r>
        <w:t>Where the initiating personnel are uncertain of the correct approval authority tier, the HSESC Manager makes the determination before the MoC request proceeds to approval.</w:t>
      </w:r>
    </w:p>
    <w:p>
      <w:pPr>
        <w:pStyle w:val="NormalNumberedtext"/>
      </w:pPr>
    </w:p>
    <w:p>
      <w:pPr>
        <w:pStyle w:val="Heading1Numbered"/>
        <w:numPr>
          <w:ilvl w:val="0"/>
          <w:numId w:val="1"/>
        </w:numPr>
      </w:pPr>
      <w:r>
        <w:rPr>
          <w:rFonts w:ascii="Arial" w:hAnsi="Arial" w:cs="Arial" w:eastAsia="Arial"/>
        </w:rPr>
        <w:t>Communication, Training and Records</w:t>
      </w:r>
    </w:p>
    <w:p>
      <w:pPr>
        <w:pStyle w:val="NormalNumberedtext"/>
      </w:pPr>
      <w:r>
        <w:t>This section defines the requirements for communicating approved changes, the training obligations triggered by the MoC process, and the record requirements that apply to all MoC activity.</w:t>
      </w:r>
    </w:p>
    <w:p>
      <w:pPr>
        <w:pStyle w:val="NormalNumberedtext"/>
      </w:pPr>
    </w:p>
    <w:p>
      <w:pPr>
        <w:pStyle w:val="Heading2Numbered"/>
        <w:numPr>
          <w:ilvl w:val="1"/>
          <w:numId w:val="1"/>
        </w:numPr>
      </w:pPr>
      <w:r>
        <w:rPr>
          <w:rFonts w:ascii="Arial" w:hAnsi="Arial" w:cs="Arial" w:eastAsia="Arial"/>
        </w:rPr>
        <w:t>Communication of Approved Changes</w:t>
      </w:r>
    </w:p>
    <w:p>
      <w:pPr>
        <w:pStyle w:val="NormalNumberedtext"/>
      </w:pPr>
      <w:r>
        <w:t>This section defines how approved changes are communicated to all affected personnel before implementation.</w:t>
      </w:r>
    </w:p>
    <w:p>
      <w:pPr>
        <w:pStyle w:val="NormalNumberedtext"/>
      </w:pPr>
      <w:r>
        <w:t>Approved changes are communicated to all affected personnel before implementation, consistent with Appendix C, C-1, paragraph 26. Communication is the responsibility of the approving authority, supported by the HSESC Manager and the relevant work supervisor.</w:t>
      </w:r>
    </w:p>
    <w:p>
      <w:pPr>
        <w:pStyle w:val="NormalNumberedtext"/>
      </w:pPr>
      <w:r>
        <w:t>The approved MoC record defines the personnel and roles to whom communication is required. The work supervisor confirms that all affected personnel have received and understood the communication before work commences under the new conditions.</w:t>
      </w:r>
    </w:p>
    <w:p>
      <w:pPr>
        <w:pStyle w:val="NormalNumberedtext"/>
      </w:pPr>
      <w:r>
        <w:rPr>
          <w:b/>
          <w:bCs/>
          <w:color w:val="0059D1"/>
        </w:rPr>
        <w:t>[INSERT: MoC communication method and maximum lag time] — Define how approved changes are communicated to all affected personnel, e.g. pre-start meeting, toolbox talk, written notice. Define the maximum permitted time between MoC approval and communication to affected personnel.</w:t>
      </w:r>
    </w:p>
    <w:p>
      <w:pPr>
        <w:pStyle w:val="NormalNumberedtext"/>
      </w:pPr>
      <w:r>
        <w:t>Changes affecting environmental approvals, permit conditions, or the approved project footprint are communicated to the Company before implementation, consistent with Appendix C, C-4, paragraph 91.0.1. The Project Manager confirms this communication is recorded in the MoC record before the change proceeds.</w:t>
      </w:r>
    </w:p>
    <w:p>
      <w:pPr>
        <w:pStyle w:val="NormalNumberedtext"/>
      </w:pPr>
    </w:p>
    <w:p>
      <w:pPr>
        <w:pStyle w:val="Heading2Numbered"/>
        <w:numPr>
          <w:ilvl w:val="1"/>
          <w:numId w:val="1"/>
        </w:numPr>
      </w:pPr>
      <w:r>
        <w:rPr>
          <w:rFonts w:ascii="Arial" w:hAnsi="Arial" w:cs="Arial" w:eastAsia="Arial"/>
        </w:rPr>
        <w:t>Training Requirements Triggered by MoC</w:t>
      </w:r>
    </w:p>
    <w:p>
      <w:pPr>
        <w:pStyle w:val="NormalNumberedtext"/>
      </w:pPr>
      <w:r>
        <w:t>This section defines training obligations that arise from specific types of approved change and the baseline MoC awareness training requirement.</w:t>
      </w:r>
    </w:p>
    <w:p>
      <w:pPr>
        <w:pStyle w:val="NormalNumberedtext"/>
      </w:pPr>
      <w:r>
        <w:t>Training requirements triggered by specific types of change are identified at Step 3 of the MoC assessment process and documented in the MoC record. Training triggered by an approved change is completed before the affected personnel commence work under the new conditions. Training delivery and records are managed in accordance with [INSERT: Project Document Number].</w:t>
      </w:r>
    </w:p>
    <w:p>
      <w:pPr>
        <w:pStyle w:val="NormalNumberedtext"/>
      </w:pPr>
      <w:r>
        <w:t>All project personnel receive training in how to identify a change that triggers the MoC process and in the change management procedures before project mobilisation, consistent with Appendix C, C-4, paragraph 91.0.3. The HSESC Manager confirms this training is recorded in the project training register before mobilisation commences.</w:t>
      </w:r>
    </w:p>
    <w:p>
      <w:pPr>
        <w:pStyle w:val="NormalNumberedtext"/>
      </w:pPr>
      <w:r>
        <w:t>Minimum MoC awareness training content includes:</w:t>
      </w:r>
    </w:p>
    <w:p>
      <w:pPr>
        <w:pStyle w:val="NumberedBulletL1"/>
      </w:pPr>
      <w:r>
        <w:t>The categories of change that require a formal MoC assessment.</w:t>
      </w:r>
    </w:p>
    <w:p>
      <w:pPr>
        <w:pStyle w:val="NumberedBulletL1"/>
      </w:pPr>
      <w:r>
        <w:t>How to initiate an MoC request using the project MoC form or system.</w:t>
      </w:r>
    </w:p>
    <w:p>
      <w:pPr>
        <w:pStyle w:val="NumberedBulletL1"/>
      </w:pPr>
      <w:r>
        <w:t>The consequences of implementing a change without MoC approval.</w:t>
      </w:r>
    </w:p>
    <w:p>
      <w:pPr>
        <w:pStyle w:val="NumberedBulletL1"/>
      </w:pPr>
      <w:r>
        <w:rPr>
          <w:color w:val="C55A11"/>
        </w:rPr>
        <w:t>Practical examples of changes relevant to the specific work activities on this project.</w:t>
      </w:r>
    </w:p>
    <w:p>
      <w:pPr>
        <w:pStyle w:val="NormalNumberedtext"/>
      </w:pPr>
    </w:p>
    <w:p>
      <w:pPr>
        <w:pStyle w:val="Heading2Numbered"/>
        <w:numPr>
          <w:ilvl w:val="1"/>
          <w:numId w:val="1"/>
        </w:numPr>
      </w:pPr>
      <w:r>
        <w:rPr>
          <w:rFonts w:ascii="Arial" w:hAnsi="Arial" w:cs="Arial" w:eastAsia="Arial"/>
        </w:rPr>
        <w:t>MoC Record Requirements</w:t>
      </w:r>
    </w:p>
    <w:p>
      <w:pPr>
        <w:pStyle w:val="NormalNumberedtext"/>
      </w:pPr>
      <w:r>
        <w:t>This section defines what MoC records must contain, where they are held, and how corrective actions are tracked through to closeout.</w:t>
      </w:r>
    </w:p>
    <w:p>
      <w:pPr>
        <w:pStyle w:val="NormalNumberedtext"/>
      </w:pPr>
      <w:r>
        <w:t>MoC records are maintained for the duration of the project and are available for audit and review at any time. MoC records are stored in the project action tracking system and in the project document management system in accordance with [INSERT: Project Document Number].</w:t>
      </w:r>
    </w:p>
    <w:p>
      <w:pPr>
        <w:pStyle w:val="NormalNumberedtext"/>
      </w:pPr>
      <w:r>
        <w:rPr>
          <w:b/>
          <w:bCs/>
          <w:color w:val="0059D1"/>
        </w:rPr>
        <w:t>[INSERT: MoC form and tracking system] — Define whether a digital system or a physical form is used for MoC records on this project. Provide the form reference or system name and location. Reference the approved MoC form template if one exists.</w:t>
      </w:r>
    </w:p>
    <w:p>
      <w:pPr>
        <w:pStyle w:val="NormalNumberedtext"/>
      </w:pPr>
      <w:r>
        <w:t>Each MoC record contains, at a minimum, the following information:</w:t>
      </w:r>
    </w:p>
    <w:p>
      <w:pPr>
        <w:pStyle w:val="NormalNumberedtext"/>
      </w:pPr>
      <w:r>
        <w:t>Minimum MoC record content includes:</w:t>
      </w:r>
    </w:p>
    <w:p>
      <w:pPr>
        <w:pStyle w:val="NumberedBulletL1"/>
      </w:pPr>
      <w:r>
        <w:t>A description of the proposed change and the reason for the change.</w:t>
      </w:r>
    </w:p>
    <w:p>
      <w:pPr>
        <w:pStyle w:val="NumberedBulletL1"/>
      </w:pPr>
      <w:r>
        <w:t>The change category as defined in Section 2.1.</w:t>
      </w:r>
    </w:p>
    <w:p>
      <w:pPr>
        <w:pStyle w:val="NumberedBulletL1"/>
      </w:pPr>
      <w:r>
        <w:t>The HSESC risk assessment outcome, including hazards identified, risk ratings, and controls required.</w:t>
      </w:r>
    </w:p>
    <w:p>
      <w:pPr>
        <w:pStyle w:val="NumberedBulletL1"/>
      </w:pPr>
      <w:r>
        <w:t>The approval authority tier and the name and signature of the approving authority.</w:t>
      </w:r>
    </w:p>
    <w:p>
      <w:pPr>
        <w:pStyle w:val="NumberedBulletL1"/>
      </w:pPr>
      <w:r>
        <w:t>The expiry date, for temporary changes.</w:t>
      </w:r>
    </w:p>
    <w:p>
      <w:pPr>
        <w:pStyle w:val="NumberedBulletL1"/>
      </w:pPr>
      <w:r>
        <w:t>A list of affected personnel, documents, JHAs, and risk register entries.</w:t>
      </w:r>
    </w:p>
    <w:p>
      <w:pPr>
        <w:pStyle w:val="NumberedBulletL1"/>
      </w:pPr>
      <w:r>
        <w:t>Confirmation that communication to affected personnel was completed before implementation.</w:t>
      </w:r>
    </w:p>
    <w:p>
      <w:pPr>
        <w:pStyle w:val="NumberedBulletL1"/>
      </w:pPr>
      <w:r>
        <w:t>Confirmation that all required document updates and training have been completed at closeout.</w:t>
      </w:r>
    </w:p>
    <w:p>
      <w:pPr>
        <w:pStyle w:val="NumberedBulletL1"/>
      </w:pPr>
      <w:r>
        <w:rPr>
          <w:color w:val="C55A11"/>
        </w:rPr>
        <w:t>Confirmation that verification was completed where required, including for enhanced MoC and temporary changes.</w:t>
      </w:r>
    </w:p>
    <w:p>
      <w:pPr>
        <w:pStyle w:val="NormalNumberedtext"/>
      </w:pPr>
      <w:r>
        <w:t>Corrective actions identified through the MoC process are tracked in the project action management system through to completion, consistent with IFC Performance Standard 1, paragraph 11. The MoC Coordinator reviews the status of all open MoC actions at least monthly and reports overdue actions to the HSESC Manager.</w:t>
      </w:r>
    </w:p>
    <w:p>
      <w:pPr>
        <w:pStyle w:val="NormalNumberedtext"/>
      </w:pPr>
      <w:r>
        <w:t>Where a change is assessed and found to require updates to JHAs, risk registers, procedures, or other project documents, those updates are completed as part of MoC closeout and are not deferred. Document updates are processed in accordance with [INSERT: Project Document Number].</w:t>
      </w:r>
    </w:p>
    <w:p>
      <w:pPr>
        <w:pStyle w:val="NormalNumberedtext"/>
      </w:pPr>
    </w:p>
    <w:p>
      <w:pPr>
        <w:pStyle w:val="Heading1Numbered"/>
        <w:numPr>
          <w:ilvl w:val="0"/>
          <w:numId w:val="1"/>
        </w:numPr>
      </w:pPr>
      <w:r>
        <w:rPr>
          <w:rFonts w:ascii="Arial" w:hAnsi="Arial" w:cs="Arial" w:eastAsia="Arial"/>
        </w:rPr>
        <w:t>Definitions and Acronyms</w:t>
      </w:r>
    </w:p>
    <w:p>
      <w:pPr>
        <w:pStyle w:val="NormalNumberedtext"/>
      </w:pPr>
      <w:r>
        <w:t>The following terms are used throughout this procedure. Where a term is also used in other project HSESC procedures, the definition below applies consistently across the system.</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Term</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Definition</w:t>
            </w:r>
          </w:p>
        </w:tc>
      </w:tr>
      <w:tr>
        <w:tc>
          <w:tcPr>
            <w:tcW w:type="dxa" w:w="4888"/>
          </w:tcPr>
          <w:p>
            <w:pPr>
              <w:pStyle w:val="TableContents"/>
              <w:spacing w:before="0" w:after="0" w:line="240" w:lineRule="atLeast"/>
            </w:pPr>
            <w:r>
              <w:rPr>
                <w:rFonts w:ascii="Arial" w:hAnsi="Arial" w:cs="Arial" w:eastAsia="Arial"/>
                <w:sz w:val="16"/>
                <w:szCs w:val="16"/>
              </w:rPr>
              <w:t>MoC</w:t>
            </w:r>
          </w:p>
        </w:tc>
        <w:tc>
          <w:tcPr>
            <w:tcW w:type="dxa" w:w="4889"/>
          </w:tcPr>
          <w:p>
            <w:pPr>
              <w:pStyle w:val="TableContents"/>
              <w:spacing w:before="0" w:after="0" w:line="240" w:lineRule="atLeast"/>
            </w:pPr>
            <w:r>
              <w:rPr>
                <w:rFonts w:ascii="Arial" w:hAnsi="Arial" w:cs="Arial" w:eastAsia="Arial"/>
                <w:sz w:val="16"/>
                <w:szCs w:val="16"/>
              </w:rPr>
              <w:t>Management of Change - a formal process used to identify, assess, approve, implement, and close out changes to people, process, plant, equipment, materials, environment, or procedures to ensure that risks introduced by change are identified and controlled before implementation.</w:t>
            </w:r>
          </w:p>
        </w:tc>
      </w:tr>
      <w:tr>
        <w:tc>
          <w:tcPr>
            <w:tcW w:type="dxa" w:w="4888"/>
          </w:tcPr>
          <w:p>
            <w:pPr>
              <w:pStyle w:val="TableContents"/>
              <w:spacing w:before="0" w:after="0" w:line="240" w:lineRule="atLeast"/>
            </w:pPr>
            <w:r>
              <w:rPr>
                <w:rFonts w:ascii="Arial" w:hAnsi="Arial" w:cs="Arial" w:eastAsia="Arial"/>
                <w:sz w:val="16"/>
                <w:szCs w:val="16"/>
              </w:rPr>
              <w:t>HSESC</w:t>
            </w:r>
          </w:p>
        </w:tc>
        <w:tc>
          <w:tcPr>
            <w:tcW w:type="dxa" w:w="4889"/>
          </w:tcPr>
          <w:p>
            <w:pPr>
              <w:pStyle w:val="TableContents"/>
              <w:spacing w:before="0" w:after="0" w:line="240" w:lineRule="atLeast"/>
            </w:pPr>
            <w:r>
              <w:rPr>
                <w:rFonts w:ascii="Arial" w:hAnsi="Arial" w:cs="Arial" w:eastAsia="Arial"/>
                <w:sz w:val="16"/>
                <w:szCs w:val="16"/>
              </w:rPr>
              <w:t>Health, Safety, Environment and Social Compliance - the integrated management framework governing occupational health, safety, environmental protection, and social compliance obligations on Rio Tinto owner-led projects.</w:t>
            </w:r>
          </w:p>
        </w:tc>
      </w:tr>
      <w:tr>
        <w:tc>
          <w:tcPr>
            <w:tcW w:type="dxa" w:w="4888"/>
          </w:tcPr>
          <w:p>
            <w:pPr>
              <w:pStyle w:val="TableContents"/>
              <w:spacing w:before="0" w:after="0" w:line="240" w:lineRule="atLeast"/>
            </w:pPr>
            <w:r>
              <w:rPr>
                <w:rFonts w:ascii="Arial" w:hAnsi="Arial" w:cs="Arial" w:eastAsia="Arial"/>
                <w:sz w:val="16"/>
                <w:szCs w:val="16"/>
              </w:rPr>
              <w:t>HSE</w:t>
            </w:r>
          </w:p>
        </w:tc>
        <w:tc>
          <w:tcPr>
            <w:tcW w:type="dxa" w:w="4889"/>
          </w:tcPr>
          <w:p>
            <w:pPr>
              <w:pStyle w:val="TableContents"/>
              <w:spacing w:before="0" w:after="0" w:line="240" w:lineRule="atLeast"/>
            </w:pPr>
            <w:r>
              <w:rPr>
                <w:rFonts w:ascii="Arial" w:hAnsi="Arial" w:cs="Arial" w:eastAsia="Arial"/>
                <w:sz w:val="16"/>
                <w:szCs w:val="16"/>
              </w:rPr>
              <w:t>Health, Safety and Environment - the disciplines collectively concerned with the protection of people and the natural environment in the workplace and surrounding community.</w:t>
            </w:r>
          </w:p>
        </w:tc>
      </w:tr>
      <w:tr>
        <w:tc>
          <w:tcPr>
            <w:tcW w:type="dxa" w:w="4888"/>
          </w:tcPr>
          <w:p>
            <w:pPr>
              <w:pStyle w:val="TableContents"/>
              <w:spacing w:before="0" w:after="0" w:line="240" w:lineRule="atLeast"/>
            </w:pPr>
            <w:r>
              <w:rPr>
                <w:rFonts w:ascii="Arial" w:hAnsi="Arial" w:cs="Arial" w:eastAsia="Arial"/>
                <w:sz w:val="16"/>
                <w:szCs w:val="16"/>
              </w:rPr>
              <w:t>RT</w:t>
            </w:r>
          </w:p>
        </w:tc>
        <w:tc>
          <w:tcPr>
            <w:tcW w:type="dxa" w:w="4889"/>
          </w:tcPr>
          <w:p>
            <w:pPr>
              <w:pStyle w:val="TableContents"/>
              <w:spacing w:before="0" w:after="0" w:line="240" w:lineRule="atLeast"/>
            </w:pPr>
            <w:r>
              <w:rPr>
                <w:rFonts w:ascii="Arial" w:hAnsi="Arial" w:cs="Arial" w:eastAsia="Arial"/>
                <w:sz w:val="16"/>
                <w:szCs w:val="16"/>
              </w:rPr>
              <w:t>Rio Tinto - the project owner organisation responsible for establishing and maintaining HSESC management system standards and procedures on owner-led projects.</w:t>
            </w:r>
          </w:p>
        </w:tc>
      </w:tr>
      <w:tr>
        <w:tc>
          <w:tcPr>
            <w:tcW w:type="dxa" w:w="4888"/>
          </w:tcPr>
          <w:p>
            <w:pPr>
              <w:pStyle w:val="TableContents"/>
              <w:spacing w:before="0" w:after="0" w:line="240" w:lineRule="atLeast"/>
            </w:pPr>
            <w:r>
              <w:rPr>
                <w:rFonts w:ascii="Arial" w:hAnsi="Arial" w:cs="Arial" w:eastAsia="Arial"/>
                <w:sz w:val="16"/>
                <w:szCs w:val="16"/>
              </w:rPr>
              <w:t>PRO</w:t>
            </w:r>
          </w:p>
        </w:tc>
        <w:tc>
          <w:tcPr>
            <w:tcW w:type="dxa" w:w="4889"/>
          </w:tcPr>
          <w:p>
            <w:pPr>
              <w:pStyle w:val="TableContents"/>
              <w:spacing w:before="0" w:after="0" w:line="240" w:lineRule="atLeast"/>
            </w:pPr>
            <w:r>
              <w:rPr>
                <w:rFonts w:ascii="Arial" w:hAnsi="Arial" w:cs="Arial" w:eastAsia="Arial"/>
                <w:sz w:val="16"/>
                <w:szCs w:val="16"/>
              </w:rPr>
              <w:t>Procedure - a documented instruction within the Rio Tinto Projects HSESC management system that specifies the required method for carrying out an activity or process.</w:t>
            </w:r>
          </w:p>
        </w:tc>
      </w:tr>
      <w:tr>
        <w:tc>
          <w:tcPr>
            <w:tcW w:type="dxa" w:w="4888"/>
          </w:tcPr>
          <w:p>
            <w:pPr>
              <w:pStyle w:val="TableContents"/>
              <w:spacing w:before="0" w:after="0" w:line="240" w:lineRule="atLeast"/>
            </w:pPr>
            <w:r>
              <w:rPr>
                <w:rFonts w:ascii="Arial" w:hAnsi="Arial" w:cs="Arial" w:eastAsia="Arial"/>
                <w:sz w:val="16"/>
                <w:szCs w:val="16"/>
              </w:rPr>
              <w:t>RTPR</w:t>
            </w:r>
          </w:p>
        </w:tc>
        <w:tc>
          <w:tcPr>
            <w:tcW w:type="dxa" w:w="4889"/>
          </w:tcPr>
          <w:p>
            <w:pPr>
              <w:pStyle w:val="TableContents"/>
              <w:spacing w:before="0" w:after="0" w:line="240" w:lineRule="atLeast"/>
            </w:pPr>
            <w:r>
              <w:rPr>
                <w:rFonts w:ascii="Arial" w:hAnsi="Arial" w:cs="Arial" w:eastAsia="Arial"/>
                <w:sz w:val="16"/>
                <w:szCs w:val="16"/>
              </w:rPr>
              <w:t>Rio Tinto Projects - the Rio Tinto business unit responsible for the delivery of capital projects under an owner-led model, including the development and application of the HSESC management system.</w:t>
            </w:r>
          </w:p>
        </w:tc>
      </w:tr>
      <w:tr>
        <w:tc>
          <w:tcPr>
            <w:tcW w:type="dxa" w:w="4888"/>
          </w:tcPr>
          <w:p>
            <w:pPr>
              <w:pStyle w:val="TableContents"/>
              <w:spacing w:before="0" w:after="0" w:line="240" w:lineRule="atLeast"/>
            </w:pPr>
            <w:r>
              <w:rPr>
                <w:rFonts w:ascii="Arial" w:hAnsi="Arial" w:cs="Arial" w:eastAsia="Arial"/>
                <w:sz w:val="16"/>
                <w:szCs w:val="16"/>
              </w:rPr>
              <w:t>SME</w:t>
            </w:r>
          </w:p>
        </w:tc>
        <w:tc>
          <w:tcPr>
            <w:tcW w:type="dxa" w:w="4889"/>
          </w:tcPr>
          <w:p>
            <w:pPr>
              <w:pStyle w:val="TableContents"/>
              <w:spacing w:before="0" w:after="0" w:line="240" w:lineRule="atLeast"/>
            </w:pPr>
            <w:r>
              <w:rPr>
                <w:rFonts w:ascii="Arial" w:hAnsi="Arial" w:cs="Arial" w:eastAsia="Arial"/>
                <w:sz w:val="16"/>
                <w:szCs w:val="16"/>
              </w:rPr>
              <w:t>Subject Matter Expert - an individual with recognised specialist knowledge, skills, or experience in a particular technical or functional discipline relevant to the change being assessed.</w:t>
            </w:r>
          </w:p>
        </w:tc>
      </w:tr>
      <w:tr>
        <w:tc>
          <w:tcPr>
            <w:tcW w:type="dxa" w:w="4888"/>
          </w:tcPr>
          <w:p>
            <w:pPr>
              <w:pStyle w:val="TableContents"/>
              <w:spacing w:before="0" w:after="0" w:line="240" w:lineRule="atLeast"/>
            </w:pPr>
            <w:r>
              <w:rPr>
                <w:rFonts w:ascii="Arial" w:hAnsi="Arial" w:cs="Arial" w:eastAsia="Arial"/>
                <w:sz w:val="16"/>
                <w:szCs w:val="16"/>
              </w:rPr>
              <w:t>RA</w:t>
            </w:r>
          </w:p>
        </w:tc>
        <w:tc>
          <w:tcPr>
            <w:tcW w:type="dxa" w:w="4889"/>
          </w:tcPr>
          <w:p>
            <w:pPr>
              <w:pStyle w:val="TableContents"/>
              <w:spacing w:before="0" w:after="0" w:line="240" w:lineRule="atLeast"/>
            </w:pPr>
            <w:r>
              <w:rPr>
                <w:rFonts w:ascii="Arial" w:hAnsi="Arial" w:cs="Arial" w:eastAsia="Arial"/>
                <w:sz w:val="16"/>
                <w:szCs w:val="16"/>
              </w:rPr>
              <w:t>Risk Assessment - a systematic process of identifying hazards, analysing the likelihood and consequence of potential harm, evaluating the level of risk, and determining appropriate controls, conducted as part of the MoC assessment process.</w:t>
            </w:r>
          </w:p>
        </w:tc>
      </w:tr>
      <w:tr>
        <w:tc>
          <w:tcPr>
            <w:tcW w:type="dxa" w:w="4888"/>
          </w:tcPr>
          <w:p>
            <w:pPr>
              <w:pStyle w:val="TableContents"/>
              <w:spacing w:before="0" w:after="0" w:line="240" w:lineRule="atLeast"/>
            </w:pPr>
            <w:r>
              <w:rPr>
                <w:rFonts w:ascii="Arial" w:hAnsi="Arial" w:cs="Arial" w:eastAsia="Arial"/>
                <w:sz w:val="16"/>
                <w:szCs w:val="16"/>
              </w:rPr>
              <w:t>ALARP</w:t>
            </w:r>
          </w:p>
        </w:tc>
        <w:tc>
          <w:tcPr>
            <w:tcW w:type="dxa" w:w="4889"/>
          </w:tcPr>
          <w:p>
            <w:pPr>
              <w:pStyle w:val="TableContents"/>
              <w:spacing w:before="0" w:after="0" w:line="240" w:lineRule="atLeast"/>
            </w:pPr>
            <w:r>
              <w:rPr>
                <w:rFonts w:ascii="Arial" w:hAnsi="Arial" w:cs="Arial" w:eastAsia="Arial"/>
                <w:sz w:val="16"/>
                <w:szCs w:val="16"/>
              </w:rPr>
              <w:t>As Low As Reasonably Practicable - the principle requiring that residual risk be reduced to the lowest level achievable unless the cost of further reduction is grossly disproportionate to the benefit gained, used as the risk acceptance criterion within the MoC process.</w:t>
            </w:r>
          </w:p>
        </w:tc>
      </w:tr>
      <w:tr>
        <w:tc>
          <w:tcPr>
            <w:tcW w:type="dxa" w:w="4888"/>
          </w:tcPr>
          <w:p>
            <w:pPr>
              <w:pStyle w:val="TableContents"/>
              <w:spacing w:before="0" w:after="0" w:line="240" w:lineRule="atLeast"/>
            </w:pPr>
            <w:r>
              <w:rPr>
                <w:rFonts w:ascii="Arial" w:hAnsi="Arial" w:cs="Arial" w:eastAsia="Arial"/>
                <w:sz w:val="16"/>
                <w:szCs w:val="16"/>
              </w:rPr>
              <w:t>JSEA</w:t>
            </w:r>
          </w:p>
        </w:tc>
        <w:tc>
          <w:tcPr>
            <w:tcW w:type="dxa" w:w="4889"/>
          </w:tcPr>
          <w:p>
            <w:pPr>
              <w:pStyle w:val="TableContents"/>
              <w:spacing w:before="0" w:after="0" w:line="240" w:lineRule="atLeast"/>
            </w:pPr>
            <w:r>
              <w:rPr>
                <w:rFonts w:ascii="Arial" w:hAnsi="Arial" w:cs="Arial" w:eastAsia="Arial"/>
                <w:sz w:val="16"/>
                <w:szCs w:val="16"/>
              </w:rPr>
              <w:t>Job Safety and Environment Analysis - a task-level risk assessment tool that systematically identifies hazards and controls for each step of a work task, which may be required as an output or trigger within the MoC process.</w:t>
            </w:r>
          </w:p>
        </w:tc>
      </w:tr>
      <w:tr>
        <w:tc>
          <w:tcPr>
            <w:tcW w:type="dxa" w:w="4888"/>
          </w:tcPr>
          <w:p>
            <w:pPr>
              <w:pStyle w:val="TableContents"/>
              <w:spacing w:before="0" w:after="0" w:line="240" w:lineRule="atLeast"/>
            </w:pPr>
            <w:r>
              <w:rPr>
                <w:rFonts w:ascii="Arial" w:hAnsi="Arial" w:cs="Arial" w:eastAsia="Arial"/>
                <w:sz w:val="16"/>
                <w:szCs w:val="16"/>
              </w:rPr>
              <w:t>SWMS</w:t>
            </w:r>
          </w:p>
        </w:tc>
        <w:tc>
          <w:tcPr>
            <w:tcW w:type="dxa" w:w="4889"/>
          </w:tcPr>
          <w:p>
            <w:pPr>
              <w:pStyle w:val="TableContents"/>
              <w:spacing w:before="0" w:after="0" w:line="240" w:lineRule="atLeast"/>
            </w:pPr>
            <w:r>
              <w:rPr>
                <w:rFonts w:ascii="Arial" w:hAnsi="Arial" w:cs="Arial" w:eastAsia="Arial"/>
                <w:sz w:val="16"/>
                <w:szCs w:val="16"/>
              </w:rPr>
              <w:t>Safe Work Method Statement - a document that describes how high-risk construction work will be carried out safely, including identified hazards and the control measures to be applied, and which may be generated or revised as an MoC output.</w:t>
            </w:r>
          </w:p>
        </w:tc>
      </w:tr>
      <w:tr>
        <w:tc>
          <w:tcPr>
            <w:tcW w:type="dxa" w:w="4888"/>
          </w:tcPr>
          <w:p>
            <w:pPr>
              <w:pStyle w:val="TableContents"/>
              <w:spacing w:before="0" w:after="0" w:line="240" w:lineRule="atLeast"/>
            </w:pPr>
            <w:r>
              <w:rPr>
                <w:rFonts w:ascii="Arial" w:hAnsi="Arial" w:cs="Arial" w:eastAsia="Arial"/>
                <w:sz w:val="16"/>
                <w:szCs w:val="16"/>
              </w:rPr>
              <w:t>PMT</w:t>
            </w:r>
          </w:p>
        </w:tc>
        <w:tc>
          <w:tcPr>
            <w:tcW w:type="dxa" w:w="4889"/>
          </w:tcPr>
          <w:p>
            <w:pPr>
              <w:pStyle w:val="TableContents"/>
              <w:spacing w:before="0" w:after="0" w:line="240" w:lineRule="atLeast"/>
            </w:pPr>
            <w:r>
              <w:rPr>
                <w:rFonts w:ascii="Arial" w:hAnsi="Arial" w:cs="Arial" w:eastAsia="Arial"/>
                <w:sz w:val="16"/>
                <w:szCs w:val="16"/>
              </w:rPr>
              <w:t>Project Management Team - the integrated team of Rio Tinto owner personnel and key contractors responsible for the planning, execution, and delivery of the project, whose members may initiate, assess, or approve MoC requests.</w:t>
            </w:r>
          </w:p>
        </w:tc>
      </w:tr>
      <w:tr>
        <w:tc>
          <w:tcPr>
            <w:tcW w:type="dxa" w:w="4888"/>
          </w:tcPr>
          <w:p>
            <w:pPr>
              <w:pStyle w:val="TableContents"/>
              <w:spacing w:before="0" w:after="0" w:line="240" w:lineRule="atLeast"/>
            </w:pPr>
            <w:r>
              <w:rPr>
                <w:rFonts w:ascii="Arial" w:hAnsi="Arial" w:cs="Arial" w:eastAsia="Arial"/>
                <w:sz w:val="16"/>
                <w:szCs w:val="16"/>
              </w:rPr>
              <w:t>PM</w:t>
            </w:r>
          </w:p>
        </w:tc>
        <w:tc>
          <w:tcPr>
            <w:tcW w:type="dxa" w:w="4889"/>
          </w:tcPr>
          <w:p>
            <w:pPr>
              <w:pStyle w:val="TableContents"/>
              <w:spacing w:before="0" w:after="0" w:line="240" w:lineRule="atLeast"/>
            </w:pPr>
            <w:r>
              <w:rPr>
                <w:rFonts w:ascii="Arial" w:hAnsi="Arial" w:cs="Arial" w:eastAsia="Arial"/>
                <w:sz w:val="16"/>
                <w:szCs w:val="16"/>
              </w:rPr>
              <w:t>Project Manager - the senior Rio Tinto representative accountable for the overall delivery of the project scope, schedule, cost, and HSESC performance, and who holds a defined approval authority within the MoC Approval Authority Matrix.</w:t>
            </w:r>
          </w:p>
        </w:tc>
      </w:tr>
      <w:tr>
        <w:tc>
          <w:tcPr>
            <w:tcW w:type="dxa" w:w="4888"/>
          </w:tcPr>
          <w:p>
            <w:pPr>
              <w:pStyle w:val="TableContents"/>
              <w:spacing w:before="0" w:after="0" w:line="240" w:lineRule="atLeast"/>
            </w:pPr>
            <w:r>
              <w:rPr>
                <w:rFonts w:ascii="Arial" w:hAnsi="Arial" w:cs="Arial" w:eastAsia="Arial"/>
                <w:sz w:val="16"/>
                <w:szCs w:val="16"/>
              </w:rPr>
              <w:t>HSESC Manager</w:t>
            </w:r>
          </w:p>
        </w:tc>
        <w:tc>
          <w:tcPr>
            <w:tcW w:type="dxa" w:w="4889"/>
          </w:tcPr>
          <w:p>
            <w:pPr>
              <w:pStyle w:val="TableContents"/>
              <w:spacing w:before="0" w:after="0" w:line="240" w:lineRule="atLeast"/>
            </w:pPr>
            <w:r>
              <w:rPr>
                <w:rFonts w:ascii="Arial" w:hAnsi="Arial" w:cs="Arial" w:eastAsia="Arial"/>
                <w:sz w:val="16"/>
                <w:szCs w:val="16"/>
              </w:rPr>
              <w:t>Health, Safety, Environment and Social Compliance Manager - the senior HSESC professional on the project responsible for the governance and oversight of the HSESC management system, including the MoC process, and who holds a defined role within the MoC Approval Authority Matrix.</w:t>
            </w:r>
          </w:p>
        </w:tc>
      </w:tr>
      <w:tr>
        <w:tc>
          <w:tcPr>
            <w:tcW w:type="dxa" w:w="4888"/>
          </w:tcPr>
          <w:p>
            <w:pPr>
              <w:pStyle w:val="TableContents"/>
              <w:spacing w:before="0" w:after="0" w:line="240" w:lineRule="atLeast"/>
            </w:pPr>
            <w:r>
              <w:rPr>
                <w:rFonts w:ascii="Arial" w:hAnsi="Arial" w:cs="Arial" w:eastAsia="Arial"/>
                <w:sz w:val="16"/>
                <w:szCs w:val="16"/>
              </w:rPr>
              <w:t>TOR</w:t>
            </w:r>
          </w:p>
        </w:tc>
        <w:tc>
          <w:tcPr>
            <w:tcW w:type="dxa" w:w="4889"/>
          </w:tcPr>
          <w:p>
            <w:pPr>
              <w:pStyle w:val="TableContents"/>
              <w:spacing w:before="0" w:after="0" w:line="240" w:lineRule="atLeast"/>
            </w:pPr>
            <w:r>
              <w:rPr>
                <w:rFonts w:ascii="Arial" w:hAnsi="Arial" w:cs="Arial" w:eastAsia="Arial"/>
                <w:sz w:val="16"/>
                <w:szCs w:val="16"/>
              </w:rPr>
              <w:t>Terms of Reference - a document defining the purpose, scope, responsibilities, and operating parameters of a committee, working group, or process, which may be subject to MoC where a scope change affects HSESC obligations.</w:t>
            </w:r>
          </w:p>
        </w:tc>
      </w:tr>
      <w:tr>
        <w:tc>
          <w:tcPr>
            <w:tcW w:type="dxa" w:w="4888"/>
          </w:tcPr>
          <w:p>
            <w:pPr>
              <w:pStyle w:val="TableContents"/>
              <w:spacing w:before="0" w:after="0" w:line="240" w:lineRule="atLeast"/>
            </w:pPr>
            <w:r>
              <w:rPr>
                <w:rFonts w:ascii="Arial" w:hAnsi="Arial" w:cs="Arial" w:eastAsia="Arial"/>
                <w:sz w:val="16"/>
                <w:szCs w:val="16"/>
              </w:rPr>
              <w:t>CAR</w:t>
            </w:r>
          </w:p>
        </w:tc>
        <w:tc>
          <w:tcPr>
            <w:tcW w:type="dxa" w:w="4889"/>
          </w:tcPr>
          <w:p>
            <w:pPr>
              <w:pStyle w:val="TableContents"/>
              <w:spacing w:before="0" w:after="0" w:line="240" w:lineRule="atLeast"/>
            </w:pPr>
            <w:r>
              <w:rPr>
                <w:rFonts w:ascii="Arial" w:hAnsi="Arial" w:cs="Arial" w:eastAsia="Arial"/>
                <w:sz w:val="16"/>
                <w:szCs w:val="16"/>
              </w:rPr>
              <w:t>Corrective Action Request - a formal record of a required corrective action raised as a result of an audit finding, inspection, incident investigation, or improvement planning activity, which may trigger an MoC where the corrective action requires a change to plant, process, or procedure.</w:t>
            </w:r>
          </w:p>
        </w:tc>
      </w:tr>
      <w:tr>
        <w:tc>
          <w:tcPr>
            <w:tcW w:type="dxa" w:w="4888"/>
          </w:tcPr>
          <w:p>
            <w:pPr>
              <w:pStyle w:val="TableContents"/>
              <w:spacing w:before="0" w:after="0" w:line="240" w:lineRule="atLeast"/>
            </w:pPr>
            <w:r>
              <w:rPr>
                <w:rFonts w:ascii="Arial" w:hAnsi="Arial" w:cs="Arial" w:eastAsia="Arial"/>
                <w:sz w:val="16"/>
                <w:szCs w:val="16"/>
              </w:rPr>
              <w:t>KPI</w:t>
            </w:r>
          </w:p>
        </w:tc>
        <w:tc>
          <w:tcPr>
            <w:tcW w:type="dxa" w:w="4889"/>
          </w:tcPr>
          <w:p>
            <w:pPr>
              <w:pStyle w:val="TableContents"/>
              <w:spacing w:before="0" w:after="0" w:line="240" w:lineRule="atLeast"/>
            </w:pPr>
            <w:r>
              <w:rPr>
                <w:rFonts w:ascii="Arial" w:hAnsi="Arial" w:cs="Arial" w:eastAsia="Arial"/>
                <w:sz w:val="16"/>
                <w:szCs w:val="16"/>
              </w:rPr>
              <w:t>Key Performance Indicator - a measurable value used to evaluate the effectiveness of the HSESC management system and MoC process performance, including metrics such as number of MoCs raised, assessed, approved, implemented, and closed.</w:t>
            </w:r>
          </w:p>
        </w:tc>
      </w:tr>
      <w:tr>
        <w:tc>
          <w:tcPr>
            <w:tcW w:type="dxa" w:w="4888"/>
          </w:tcPr>
          <w:p>
            <w:pPr>
              <w:pStyle w:val="TableContents"/>
              <w:spacing w:before="0" w:after="0" w:line="240" w:lineRule="atLeast"/>
            </w:pPr>
            <w:r>
              <w:rPr>
                <w:rFonts w:ascii="Arial" w:hAnsi="Arial" w:cs="Arial" w:eastAsia="Arial"/>
                <w:sz w:val="16"/>
                <w:szCs w:val="16"/>
              </w:rPr>
              <w:t>MOC</w:t>
            </w:r>
          </w:p>
        </w:tc>
        <w:tc>
          <w:tcPr>
            <w:tcW w:type="dxa" w:w="4889"/>
          </w:tcPr>
          <w:p>
            <w:pPr>
              <w:pStyle w:val="TableContents"/>
              <w:spacing w:before="0" w:after="0" w:line="240" w:lineRule="atLeast"/>
            </w:pPr>
            <w:r>
              <w:rPr>
                <w:rFonts w:ascii="Arial" w:hAnsi="Arial" w:cs="Arial" w:eastAsia="Arial"/>
                <w:sz w:val="16"/>
                <w:szCs w:val="16"/>
              </w:rPr>
              <w:t>Management of Change - alternate capitalisation of MoC; a formal structured process to manage changes to scope, design, process, procedures, organisational structure, or personnel in a manner that identifies and controls associated HSESC risks prior to implementation.</w:t>
            </w:r>
          </w:p>
        </w:tc>
      </w:tr>
      <w:tr>
        <w:tc>
          <w:tcPr>
            <w:tcW w:type="dxa" w:w="4888"/>
          </w:tcPr>
          <w:p>
            <w:pPr>
              <w:pStyle w:val="TableContents"/>
              <w:spacing w:before="0" w:after="0" w:line="240" w:lineRule="atLeast"/>
            </w:pPr>
            <w:r>
              <w:rPr>
                <w:rFonts w:ascii="Arial" w:hAnsi="Arial" w:cs="Arial" w:eastAsia="Arial"/>
                <w:sz w:val="16"/>
                <w:szCs w:val="16"/>
              </w:rPr>
              <w:t>ITP</w:t>
            </w:r>
          </w:p>
        </w:tc>
        <w:tc>
          <w:tcPr>
            <w:tcW w:type="dxa" w:w="4889"/>
          </w:tcPr>
          <w:p>
            <w:pPr>
              <w:pStyle w:val="TableContents"/>
              <w:spacing w:before="0" w:after="0" w:line="240" w:lineRule="atLeast"/>
            </w:pPr>
            <w:r>
              <w:rPr>
                <w:rFonts w:ascii="Arial" w:hAnsi="Arial" w:cs="Arial" w:eastAsia="Arial"/>
                <w:sz w:val="16"/>
                <w:szCs w:val="16"/>
              </w:rPr>
              <w:t>Inspection and Test Plan - a document specifying the quality and HSESC inspection and testing activities to be performed at defined hold, witness, and review points, which may require revision as an output of the MoC process.</w:t>
            </w:r>
          </w:p>
        </w:tc>
      </w:tr>
      <w:tr>
        <w:tc>
          <w:tcPr>
            <w:tcW w:type="dxa" w:w="4888"/>
          </w:tcPr>
          <w:p>
            <w:pPr>
              <w:pStyle w:val="TableContents"/>
              <w:spacing w:before="0" w:after="0" w:line="240" w:lineRule="atLeast"/>
            </w:pPr>
            <w:r>
              <w:rPr>
                <w:rFonts w:ascii="Arial" w:hAnsi="Arial" w:cs="Arial" w:eastAsia="Arial"/>
                <w:sz w:val="16"/>
                <w:szCs w:val="16"/>
              </w:rPr>
              <w:t>WMS</w:t>
            </w:r>
          </w:p>
        </w:tc>
        <w:tc>
          <w:tcPr>
            <w:tcW w:type="dxa" w:w="4889"/>
          </w:tcPr>
          <w:p>
            <w:pPr>
              <w:pStyle w:val="TableContents"/>
              <w:spacing w:before="0" w:after="0" w:line="240" w:lineRule="atLeast"/>
            </w:pPr>
            <w:r>
              <w:rPr>
                <w:rFonts w:ascii="Arial" w:hAnsi="Arial" w:cs="Arial" w:eastAsia="Arial"/>
                <w:sz w:val="16"/>
                <w:szCs w:val="16"/>
              </w:rPr>
              <w:t>Work Method Statement - a document describing the methodology, sequence, resources, and controls for undertaking a defined work activity, which may be created or updated as a result of an approved MoC.</w:t>
            </w:r>
          </w:p>
        </w:tc>
      </w:tr>
      <w:tr>
        <w:tc>
          <w:tcPr>
            <w:tcW w:type="dxa" w:w="4888"/>
          </w:tcPr>
          <w:p>
            <w:pPr>
              <w:pStyle w:val="TableContents"/>
              <w:spacing w:before="0" w:after="0" w:line="240" w:lineRule="atLeast"/>
            </w:pPr>
            <w:r>
              <w:rPr>
                <w:rFonts w:ascii="Arial" w:hAnsi="Arial" w:cs="Arial" w:eastAsia="Arial"/>
                <w:b/>
                <w:bCs/>
                <w:color w:val="0059D1"/>
                <w:sz w:val="16"/>
                <w:szCs w:val="16"/>
              </w:rPr>
              <w:t>[INSERT: add project-specific terms]</w:t>
            </w:r>
          </w:p>
        </w:tc>
        <w:tc>
          <w:tcPr>
            <w:tcW w:type="dxa" w:w="4889"/>
          </w:tcPr>
          <w:p>
            <w:pPr>
              <w:pStyle w:val="TableContents"/>
              <w:spacing w:before="0" w:after="0" w:line="240" w:lineRule="atLeast"/>
            </w:pPr>
            <w:r>
              <w:rPr>
                <w:rFonts w:ascii="Arial" w:hAnsi="Arial" w:cs="Arial" w:eastAsia="Arial"/>
                <w:b/>
                <w:bCs/>
                <w:color w:val="0059D1"/>
                <w:sz w:val="16"/>
                <w:szCs w:val="16"/>
              </w:rPr>
              <w:t>[INSERT: definition]</w:t>
            </w:r>
          </w:p>
        </w:tc>
      </w:tr>
    </w:tbl>
    <w:p>
      <w:pPr>
        <w:pStyle w:val="NormalNumberedtext"/>
      </w:pPr>
    </w:p>
    <w:p>
      <w:pPr>
        <w:pStyle w:val="Heading1Numbered"/>
        <w:numPr>
          <w:ilvl w:val="0"/>
          <w:numId w:val="1"/>
        </w:numPr>
      </w:pPr>
      <w:r>
        <w:rPr>
          <w:rFonts w:ascii="Arial" w:hAnsi="Arial" w:cs="Arial" w:eastAsia="Arial"/>
        </w:rPr>
        <w:t>References and Source Information</w:t>
      </w:r>
    </w:p>
    <w:p>
      <w:pPr>
        <w:pStyle w:val="NormalNumberedtext"/>
      </w:pPr>
      <w:r>
        <w:t>This section lists the internal and external documents this procedure relies on. This section remains in the procedure once published. Where a referenced document is updated, this procedure is reviewed to confirm the reference remains current.</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Document</w:t>
            </w:r>
          </w:p>
        </w:tc>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Reference</w:t>
            </w:r>
          </w:p>
        </w:tc>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Type</w:t>
            </w:r>
          </w:p>
        </w:tc>
      </w:tr>
      <w:tr>
        <w:tc>
          <w:tcPr>
            <w:tcW w:type="dxa" w:w="3259"/>
          </w:tcPr>
          <w:p>
            <w:pPr>
              <w:pStyle w:val="TableContents"/>
              <w:spacing w:before="0" w:after="0" w:line="240" w:lineRule="atLeast"/>
            </w:pPr>
            <w:r>
              <w:rPr>
                <w:rFonts w:ascii="Arial" w:hAnsi="Arial" w:cs="Arial" w:eastAsia="Arial"/>
                <w:sz w:val="16"/>
                <w:szCs w:val="16"/>
              </w:rPr>
              <w:t>Risk Management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Training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Document Control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Incident Management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Improvement Planning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Rio Tinto Risk Management Standard</w:t>
            </w:r>
          </w:p>
        </w:tc>
        <w:tc>
          <w:tcPr>
            <w:tcW w:type="dxa" w:w="3259"/>
          </w:tcPr>
          <w:p>
            <w:pPr>
              <w:pStyle w:val="TableContents"/>
              <w:spacing w:before="0" w:after="0" w:line="240" w:lineRule="atLeast"/>
            </w:pPr>
            <w:r>
              <w:rPr>
                <w:rFonts w:ascii="Arial" w:hAnsi="Arial" w:cs="Arial" w:eastAsia="Arial"/>
                <w:sz w:val="16"/>
                <w:szCs w:val="16"/>
              </w:rPr>
              <w:t>RT Risk Management Standard</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Risk Management Standard - Appendix C, Section C-1: Risk Assessment Requirements</w:t>
            </w:r>
          </w:p>
        </w:tc>
        <w:tc>
          <w:tcPr>
            <w:tcW w:type="dxa" w:w="3259"/>
          </w:tcPr>
          <w:p>
            <w:pPr>
              <w:pStyle w:val="TableContents"/>
              <w:spacing w:before="0" w:after="0" w:line="240" w:lineRule="atLeast"/>
            </w:pPr>
            <w:r>
              <w:rPr>
                <w:rFonts w:ascii="Arial" w:hAnsi="Arial" w:cs="Arial" w:eastAsia="Arial"/>
                <w:sz w:val="16"/>
                <w:szCs w:val="16"/>
              </w:rPr>
              <w:t>RT Risk Management Standard Appendix C C-1</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ISO 31000:2018 - Risk Management Guidelines</w:t>
            </w:r>
          </w:p>
        </w:tc>
        <w:tc>
          <w:tcPr>
            <w:tcW w:type="dxa" w:w="3259"/>
          </w:tcPr>
          <w:p>
            <w:pPr>
              <w:pStyle w:val="TableContents"/>
              <w:spacing w:before="0" w:after="0" w:line="240" w:lineRule="atLeast"/>
            </w:pPr>
            <w:r>
              <w:rPr>
                <w:rFonts w:ascii="Arial" w:hAnsi="Arial" w:cs="Arial" w:eastAsia="Arial"/>
                <w:sz w:val="16"/>
                <w:szCs w:val="16"/>
              </w:rPr>
              <w:t>ISO 31000:2018</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ISO 45001:2018 - Occupational Health and Safety Management Systems - Requirements with Guidance for Use</w:t>
            </w:r>
          </w:p>
        </w:tc>
        <w:tc>
          <w:tcPr>
            <w:tcW w:type="dxa" w:w="3259"/>
          </w:tcPr>
          <w:p>
            <w:pPr>
              <w:pStyle w:val="TableContents"/>
              <w:spacing w:before="0" w:after="0" w:line="240" w:lineRule="atLeast"/>
            </w:pPr>
            <w:r>
              <w:rPr>
                <w:rFonts w:ascii="Arial" w:hAnsi="Arial" w:cs="Arial" w:eastAsia="Arial"/>
                <w:sz w:val="16"/>
                <w:szCs w:val="16"/>
              </w:rPr>
              <w:t>ISO 45001:2018</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ISO 14001:2015 - Environmental Management Systems - Requirements with Guidance for Use</w:t>
            </w:r>
          </w:p>
        </w:tc>
        <w:tc>
          <w:tcPr>
            <w:tcW w:type="dxa" w:w="3259"/>
          </w:tcPr>
          <w:p>
            <w:pPr>
              <w:pStyle w:val="TableContents"/>
              <w:spacing w:before="0" w:after="0" w:line="240" w:lineRule="atLeast"/>
            </w:pPr>
            <w:r>
              <w:rPr>
                <w:rFonts w:ascii="Arial" w:hAnsi="Arial" w:cs="Arial" w:eastAsia="Arial"/>
                <w:sz w:val="16"/>
                <w:szCs w:val="16"/>
              </w:rPr>
              <w:t>ISO 14001:2015</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Rio Tinto Health, Safety and Environment Management System Standard</w:t>
            </w:r>
          </w:p>
        </w:tc>
        <w:tc>
          <w:tcPr>
            <w:tcW w:type="dxa" w:w="3259"/>
          </w:tcPr>
          <w:p>
            <w:pPr>
              <w:pStyle w:val="TableContents"/>
              <w:spacing w:before="0" w:after="0" w:line="240" w:lineRule="atLeast"/>
            </w:pPr>
            <w:r>
              <w:rPr>
                <w:rFonts w:ascii="Arial" w:hAnsi="Arial" w:cs="Arial" w:eastAsia="Arial"/>
                <w:sz w:val="16"/>
                <w:szCs w:val="16"/>
              </w:rPr>
              <w:t>RT HSEMS Standard</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Projects HSESC Management System Manual</w:t>
            </w:r>
          </w:p>
        </w:tc>
        <w:tc>
          <w:tcPr>
            <w:tcW w:type="dxa" w:w="3259"/>
          </w:tcPr>
          <w:p>
            <w:pPr>
              <w:pStyle w:val="TableContents"/>
              <w:spacing w:before="0" w:after="0" w:line="240" w:lineRule="atLeast"/>
            </w:pPr>
            <w:r>
              <w:rPr>
                <w:rFonts w:ascii="Arial" w:hAnsi="Arial" w:cs="Arial" w:eastAsia="Arial"/>
                <w:sz w:val="16"/>
                <w:szCs w:val="16"/>
              </w:rPr>
              <w:t>RTPR-HSESC-MAN-0001</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b/>
                <w:bCs/>
                <w:color w:val="0059D1"/>
                <w:sz w:val="16"/>
                <w:szCs w:val="16"/>
              </w:rPr>
              <w:t>[INSERT: further referenced document, where applicable]</w:t>
            </w:r>
          </w:p>
        </w:tc>
        <w:tc>
          <w:tcPr>
            <w:tcW w:type="dxa" w:w="3259"/>
          </w:tcPr>
          <w:p>
            <w:pPr>
              <w:pStyle w:val="TableContents"/>
              <w:spacing w:before="0" w:after="0" w:line="240" w:lineRule="atLeast"/>
            </w:pPr>
            <w:r>
              <w:rPr>
                <w:rFonts w:ascii="Arial" w:hAnsi="Arial" w:cs="Arial" w:eastAsia="Arial"/>
                <w:b/>
                <w:bCs/>
                <w:color w:val="0059D1"/>
                <w:sz w:val="16"/>
                <w:szCs w:val="16"/>
              </w:rPr>
              <w:t>[INSERT: reference]</w:t>
            </w:r>
          </w:p>
        </w:tc>
        <w:tc>
          <w:tcPr>
            <w:tcW w:type="dxa" w:w="3259"/>
          </w:tcPr>
          <w:p>
            <w:pPr>
              <w:pStyle w:val="TableContents"/>
              <w:spacing w:before="0" w:after="0" w:line="240" w:lineRule="atLeast"/>
            </w:pPr>
            <w:r>
              <w:rPr>
                <w:rFonts w:ascii="Arial" w:hAnsi="Arial" w:cs="Arial" w:eastAsia="Arial"/>
                <w:b/>
                <w:bCs/>
                <w:color w:val="0059D1"/>
                <w:sz w:val="16"/>
                <w:szCs w:val="16"/>
              </w:rPr>
              <w:t>[INSERT: type]</w:t>
            </w:r>
          </w:p>
        </w:tc>
      </w:tr>
    </w:tbl>
    <w:p>
      <w:pPr>
        <w:pStyle w:val="NormalNumberedtext"/>
      </w:pPr>
    </w:p>
    <w:p>
      <w:pPr>
        <w:pStyle w:val="Heading1Numbered"/>
        <w:numPr>
          <w:ilvl w:val="0"/>
          <w:numId w:val="1"/>
        </w:numPr>
      </w:pPr>
      <w:r>
        <w:rPr>
          <w:rFonts w:ascii="Arial" w:hAnsi="Arial" w:cs="Arial" w:eastAsia="Arial"/>
        </w:rPr>
        <w:t>Project Localisation Edits</w:t>
      </w:r>
    </w:p>
    <w:p>
      <w:pPr>
        <w:pStyle w:val="NormalNumberedtext"/>
      </w:pPr>
      <w:r>
        <w:t>This section captures the project-specific edits made to this document during preparation. This section stays in the document once published and is updated at each document revision. Record all additions, deletions, and wording changes from the original template.</w:t>
      </w:r>
    </w:p>
    <w:p>
      <w:pPr>
        <w:pStyle w:val="NormalNumberedtext"/>
      </w:pPr>
      <w:r>
        <w:t>Records of wording changes</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p>
      <w:pPr>
        <w:pStyle w:val="NormalNumberedtext"/>
      </w:pPr>
      <w:r>
        <w:t>Records of new content additions</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p>
      <w:pPr>
        <w:pStyle w:val="NormalNumberedtext"/>
      </w:pPr>
      <w:r>
        <w:t>Records of content removal</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tbl>
      <w:tblPr>
        <w:tblStyle w:val="TableOption1"/>
        <w:tblW w:type="dxa" w:w="9777"/>
        <w:tblInd w:type="dxa" w:w="0"/>
        <w:tblCellMar>
          <w:top w:type="dxa" w:w="36"/>
          <w:bottom w:type="dxa" w:w="36"/>
          <w:left w:type="dxa" w:w="108"/>
          <w:right w:type="dxa" w:w="108"/>
        </w:tblCellMar>
      </w:tblPr>
      <w:tr>
        <w:tc>
          <w:tcPr>
            <w:shd w:val="clear" w:color="auto" w:fill="FCE4D6"/>
            <w:tcW w:type="dxa" w:w="9777"/>
          </w:tcPr>
          <w:p>
            <w:pPr>
              <w:pStyle w:val="Instructions"/>
              <w:spacing w:before="0" w:after="0" w:line="240" w:lineRule="atLeast"/>
            </w:pPr>
            <w:r>
              <w:rPr>
                <w:rFonts w:ascii="Arial" w:hAnsi="Arial" w:cs="Arial" w:eastAsia="Arial"/>
                <w:b/>
                <w:bCs/>
                <w:color w:val="C55A11"/>
                <w:sz w:val="16"/>
                <w:szCs w:val="16"/>
              </w:rPr>
              <w:t>REMOVABLE SECTION - Source Requirements Traceability. Delete this entire section before the document is issued for approval. It must not appear in any approved version of this document. Table A records requirements addressed in this procedure. Table B records requirements not fully addressed, with written justification for each.</w:t>
            </w:r>
          </w:p>
        </w:tc>
      </w:tr>
    </w:tbl>
    <w:p>
      <w:pPr>
        <w:pStyle w:val="NormalNumberedtext"/>
      </w:pPr>
    </w:p>
    <w:p>
      <w:pPr>
        <w:pStyle w:val="Heading1Numbered"/>
        <w:numPr>
          <w:ilvl w:val="0"/>
          <w:numId w:val="1"/>
        </w:numPr>
      </w:pPr>
      <w:r>
        <w:rPr>
          <w:rFonts w:ascii="Arial" w:hAnsi="Arial" w:cs="Arial" w:eastAsia="Arial"/>
        </w:rPr>
        <w:t>Source Requirements Traceability (DELETE BEFORE ISSUE)</w:t>
      </w:r>
    </w:p>
    <w:p>
      <w:pPr>
        <w:pStyle w:val="NormalNumberedtext"/>
      </w:pPr>
    </w:p>
    <w:p>
      <w:pPr>
        <w:pStyle w:val="Heading2Numbered"/>
        <w:numPr>
          <w:ilvl w:val="1"/>
          <w:numId w:val="1"/>
        </w:numPr>
      </w:pPr>
      <w:r>
        <w:rPr>
          <w:rFonts w:ascii="Arial" w:hAnsi="Arial" w:cs="Arial" w:eastAsia="Arial"/>
        </w:rPr>
        <w:t>Requirements Addressed in This Procedure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Section</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Source</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Requirement</w:t>
            </w:r>
          </w:p>
        </w:tc>
        <w:tc>
          <w:tcPr>
            <w:shd w:val="clear" w:color="auto" w:fill="1F3864"/>
            <w:tcW w:type="dxa" w:w="2258"/>
          </w:tcPr>
          <w:p>
            <w:pPr>
              <w:pStyle w:val="TableContents"/>
              <w:spacing w:before="0" w:after="0" w:line="240" w:lineRule="atLeast"/>
            </w:pPr>
            <w:r>
              <w:rPr>
                <w:rFonts w:ascii="Arial" w:hAnsi="Arial" w:cs="Arial" w:eastAsia="Arial"/>
                <w:b/>
                <w:bCs/>
                <w:color w:val="FFFFFF"/>
                <w:sz w:val="16"/>
                <w:szCs w:val="16"/>
              </w:rPr>
              <w:t>Status</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RT Standard RT - Risk Management Standard</w:t>
            </w:r>
          </w:p>
        </w:tc>
        <w:tc>
          <w:tcPr>
            <w:tcW w:type="dxa" w:w="2256"/>
          </w:tcPr>
          <w:p>
            <w:pPr>
              <w:pStyle w:val="TableContents"/>
              <w:spacing w:before="0" w:after="0" w:line="240" w:lineRule="atLeast"/>
            </w:pPr>
            <w:r>
              <w:rPr>
                <w:rFonts w:ascii="Arial" w:hAnsi="Arial" w:cs="Arial" w:eastAsia="Arial"/>
                <w:sz w:val="16"/>
                <w:szCs w:val="16"/>
              </w:rPr>
              <w:t>Requires formal MoC assessment for defined categories of change and mandates an enhanced process for changes to safety instrumented systems and critical safety devices.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RT Standard RT C1, C2 - Energy Isolation and Electrical Standards</w:t>
            </w:r>
          </w:p>
        </w:tc>
        <w:tc>
          <w:tcPr>
            <w:tcW w:type="dxa" w:w="2256"/>
          </w:tcPr>
          <w:p>
            <w:pPr>
              <w:pStyle w:val="TableContents"/>
              <w:spacing w:before="0" w:after="0" w:line="240" w:lineRule="atLeast"/>
            </w:pPr>
            <w:r>
              <w:rPr>
                <w:rFonts w:ascii="Arial" w:hAnsi="Arial" w:cs="Arial" w:eastAsia="Arial"/>
                <w:sz w:val="16"/>
                <w:szCs w:val="16"/>
              </w:rPr>
              <w:t>Requires that changes to safety instrumented systems, process safety controls, and critical safety devices follow an enhanced MoC process with mandatory verification testing before return to service.</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C-1 §26</w:t>
            </w:r>
          </w:p>
        </w:tc>
        <w:tc>
          <w:tcPr>
            <w:tcW w:type="dxa" w:w="2256"/>
          </w:tcPr>
          <w:p>
            <w:pPr>
              <w:pStyle w:val="TableContents"/>
              <w:spacing w:before="0" w:after="0" w:line="240" w:lineRule="atLeast"/>
            </w:pPr>
            <w:r>
              <w:rPr>
                <w:rFonts w:ascii="Arial" w:hAnsi="Arial" w:cs="Arial" w:eastAsia="Arial"/>
                <w:sz w:val="16"/>
                <w:szCs w:val="16"/>
              </w:rPr>
              <w:t>Requires changes to be communicated to the project owner in a timely and structured manner, with the MoC record entered into the project action tracking system, and approved changes communicated to all affected personnel before implementation with updates to documents, JHAs, and risk registers as part of closeout.</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C-4 §91.0.1</w:t>
            </w:r>
          </w:p>
        </w:tc>
        <w:tc>
          <w:tcPr>
            <w:tcW w:type="dxa" w:w="2256"/>
          </w:tcPr>
          <w:p>
            <w:pPr>
              <w:pStyle w:val="TableContents"/>
              <w:spacing w:before="0" w:after="0" w:line="240" w:lineRule="atLeast"/>
            </w:pPr>
            <w:r>
              <w:rPr>
                <w:rFonts w:ascii="Arial" w:hAnsi="Arial" w:cs="Arial" w:eastAsia="Arial"/>
                <w:sz w:val="16"/>
                <w:szCs w:val="16"/>
              </w:rPr>
              <w:t>Requires that changes to the Contractor organisation, activities, processes, or documentation that may introduce new environmental risks are assessed through the MoC process and communicated to the Company before implementation.</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C-4 §91.0.3</w:t>
            </w:r>
          </w:p>
        </w:tc>
        <w:tc>
          <w:tcPr>
            <w:tcW w:type="dxa" w:w="2256"/>
          </w:tcPr>
          <w:p>
            <w:pPr>
              <w:pStyle w:val="TableContents"/>
              <w:spacing w:before="0" w:after="0" w:line="240" w:lineRule="atLeast"/>
            </w:pPr>
            <w:r>
              <w:rPr>
                <w:rFonts w:ascii="Arial" w:hAnsi="Arial" w:cs="Arial" w:eastAsia="Arial"/>
                <w:sz w:val="16"/>
                <w:szCs w:val="16"/>
              </w:rPr>
              <w:t>Requires training for all project personnel in how to identify a change that triggers the MoC process and in the change management procedures, to be completed before project mobilisation.</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IFC PS1 IFC PS1 §7</w:t>
            </w:r>
          </w:p>
        </w:tc>
        <w:tc>
          <w:tcPr>
            <w:tcW w:type="dxa" w:w="2256"/>
          </w:tcPr>
          <w:p>
            <w:pPr>
              <w:pStyle w:val="TableContents"/>
              <w:spacing w:before="0" w:after="0" w:line="240" w:lineRule="atLeast"/>
            </w:pPr>
            <w:r>
              <w:rPr>
                <w:rFonts w:ascii="Arial" w:hAnsi="Arial" w:cs="Arial" w:eastAsia="Arial"/>
                <w:sz w:val="16"/>
                <w:szCs w:val="16"/>
              </w:rPr>
              <w:t>Requires the management system to include a process for identifying and assessing changes that could introduce new or modified environmental and social risks, and updating risk assessments and management plans accordingly.</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IFC PS1 IFC PS1 §11</w:t>
            </w:r>
          </w:p>
        </w:tc>
        <w:tc>
          <w:tcPr>
            <w:tcW w:type="dxa" w:w="2256"/>
          </w:tcPr>
          <w:p>
            <w:pPr>
              <w:pStyle w:val="TableContents"/>
              <w:spacing w:before="0" w:after="0" w:line="240" w:lineRule="atLeast"/>
            </w:pPr>
            <w:r>
              <w:rPr>
                <w:rFonts w:ascii="Arial" w:hAnsi="Arial" w:cs="Arial" w:eastAsia="Arial"/>
                <w:sz w:val="16"/>
                <w:szCs w:val="16"/>
              </w:rPr>
              <w:t>Requires that MoC records are maintained and that any corrective actions identified through the MoC process are tracked in the project action management system.</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OSHA OSHA RP 2016 - Hazard Prevention and Control</w:t>
            </w:r>
          </w:p>
        </w:tc>
        <w:tc>
          <w:tcPr>
            <w:tcW w:type="dxa" w:w="2256"/>
          </w:tcPr>
          <w:p>
            <w:pPr>
              <w:pStyle w:val="TableContents"/>
              <w:spacing w:before="0" w:after="0" w:line="240" w:lineRule="atLeast"/>
            </w:pPr>
            <w:r>
              <w:rPr>
                <w:rFonts w:ascii="Arial" w:hAnsi="Arial" w:cs="Arial" w:eastAsia="Arial"/>
                <w:sz w:val="16"/>
                <w:szCs w:val="16"/>
              </w:rPr>
              <w:t>Requires that temporary changes are assessed with the same rigour as permanent changes, with a defined expiry date set for all temporary change approvals.</w:t>
            </w:r>
          </w:p>
        </w:tc>
        <w:tc>
          <w:tcPr>
            <w:tcW w:type="dxa" w:w="2258"/>
          </w:tcPr>
          <w:p>
            <w:pPr>
              <w:pStyle w:val="TableContents"/>
              <w:spacing w:before="0" w:after="0" w:line="240" w:lineRule="atLeast"/>
            </w:pPr>
            <w:r>
              <w:rPr>
                <w:rFonts w:ascii="Arial" w:hAnsi="Arial" w:cs="Arial" w:eastAsia="Arial"/>
                <w:sz w:val="16"/>
                <w:szCs w:val="16"/>
              </w:rPr>
              <w:t>Full</w:t>
            </w:r>
          </w:p>
        </w:tc>
      </w:tr>
    </w:tbl>
    <w:p>
      <w:pPr>
        <w:pStyle w:val="NormalNumberedtext"/>
      </w:pPr>
    </w:p>
    <w:p>
      <w:pPr>
        <w:pStyle w:val="Heading2Numbered"/>
        <w:numPr>
          <w:ilvl w:val="1"/>
          <w:numId w:val="1"/>
        </w:numPr>
      </w:pPr>
      <w:r>
        <w:rPr>
          <w:rFonts w:ascii="Arial" w:hAnsi="Arial" w:cs="Arial" w:eastAsia="Arial"/>
        </w:rPr>
        <w:t>Requirements Not Fully Addressed in This Procedure</w:t>
      </w:r>
    </w:p>
    <w:p>
      <w:pPr>
        <w:pStyle w:val="NormalNumberedtext"/>
      </w:pPr>
      <w:r>
        <w:t>List any requirements from the external sources above that are not fully addressed in this document, with a specific written justification for each. Acceptable justifications: (a) the requirement is owned by a named standalone procedure cross-referenced here; (b) excluded by a specific business decision endorsed by project leadership, named here; or (c) addressed through an operational control outside this document, identified here.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Requirement Not Covered</w:t>
            </w:r>
          </w:p>
        </w:tc>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Source</w:t>
            </w:r>
          </w:p>
        </w:tc>
        <w:tc>
          <w:tcPr>
            <w:shd w:val="clear" w:color="auto" w:fill="1F3864"/>
            <w:tcW w:type="dxa" w:w="3010"/>
          </w:tcPr>
          <w:p>
            <w:pPr>
              <w:pStyle w:val="TableContents"/>
              <w:spacing w:before="0" w:after="0" w:line="240" w:lineRule="atLeast"/>
            </w:pPr>
            <w:r>
              <w:rPr>
                <w:rFonts w:ascii="Arial" w:hAnsi="Arial" w:cs="Arial" w:eastAsia="Arial"/>
                <w:b/>
                <w:bCs/>
                <w:color w:val="FFFFFF"/>
                <w:sz w:val="16"/>
                <w:szCs w:val="16"/>
              </w:rPr>
              <w:t>Justification</w:t>
            </w:r>
          </w:p>
        </w:tc>
      </w:tr>
      <w:tr>
        <w:tc>
          <w:tcPr>
            <w:tcW w:type="dxa" w:w="3008"/>
          </w:tcPr>
          <w:p>
            <w:pPr>
              <w:pStyle w:val="TableContents"/>
              <w:spacing w:before="0" w:after="0" w:line="240" w:lineRule="atLeast"/>
            </w:pPr>
            <w:r>
              <w:rPr>
                <w:rFonts w:ascii="Arial" w:hAnsi="Arial" w:cs="Arial" w:eastAsia="Arial"/>
                <w:b/>
                <w:bCs/>
                <w:color w:val="0059D1"/>
                <w:sz w:val="16"/>
                <w:szCs w:val="16"/>
              </w:rPr>
              <w:t>[INSERT: description of requirement not covered]</w:t>
            </w:r>
          </w:p>
        </w:tc>
        <w:tc>
          <w:tcPr>
            <w:tcW w:type="dxa" w:w="3008"/>
          </w:tcPr>
          <w:p>
            <w:pPr>
              <w:pStyle w:val="TableContents"/>
              <w:spacing w:before="0" w:after="0" w:line="240" w:lineRule="atLeast"/>
            </w:pPr>
            <w:r>
              <w:rPr>
                <w:rFonts w:ascii="Arial" w:hAnsi="Arial" w:cs="Arial" w:eastAsia="Arial"/>
                <w:b/>
                <w:bCs/>
                <w:color w:val="0059D1"/>
                <w:sz w:val="16"/>
                <w:szCs w:val="16"/>
              </w:rPr>
              <w:t>[INSERT: source and clause]</w:t>
            </w:r>
          </w:p>
        </w:tc>
        <w:tc>
          <w:tcPr>
            <w:tcW w:type="dxa" w:w="3010"/>
          </w:tcPr>
          <w:p>
            <w:pPr>
              <w:pStyle w:val="TableContents"/>
              <w:spacing w:before="0" w:after="0" w:line="240" w:lineRule="atLeast"/>
            </w:pPr>
            <w:r>
              <w:rPr>
                <w:rFonts w:ascii="Arial" w:hAnsi="Arial" w:cs="Arial" w:eastAsia="Arial"/>
                <w:b/>
                <w:bCs/>
                <w:color w:val="0059D1"/>
                <w:sz w:val="16"/>
                <w:szCs w:val="16"/>
              </w:rPr>
              <w:t>[INSERT: specific written justification]</w:t>
            </w:r>
          </w:p>
        </w:tc>
      </w:tr>
    </w:tbl>
    <w:p>
      <w:pPr>
        <w:pStyle w:val="NormalNumberedtext"/>
      </w:pPr>
    </w:p>
    <w:sectPr w:rsidR="00057588" w:rsidRPr="007D471E">
      <w:headerReference w:type="default" r:id="rId11"/>
      <w:footerReference w:type="default" r:id="rId12"/>
      <w:headerReference w:type="first" r:id="rId13"/>
      <w:footerReference w:type="first" r:id="rId14"/>
      <w:pgSz w:w="11906" w:h="16838"/>
      <w:pgMar w:top="1134" w:right="1134" w:bottom="1134" w:left="1134" w:header="567" w:footer="567"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B1923" w14:textId="77777777" w:rsidR="001D41C2" w:rsidRDefault="001D41C2">
      <w:r>
        <w:separator/>
      </w:r>
    </w:p>
  </w:endnote>
  <w:endnote w:type="continuationSeparator" w:id="0">
    <w:p w14:paraId="7FE46BFD" w14:textId="77777777" w:rsidR="001D41C2" w:rsidRDefault="001D4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variable"/>
    <w:sig w:usb0="E0002AFF" w:usb1="C0007841" w:usb2="00000009" w:usb3="00000000" w:csb0="000001FF" w:csb1="00000000"/>
  </w:font>
  <w:font w:name="Arial Bold">
    <w:altName w:val="Arial"/>
    <w:panose1 w:val="020B07040202020202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22C22"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5B83BBFD" w14:textId="77777777" w:rsidR="00FC1013" w:rsidRDefault="004C465B">
    <w:pPr>
      <w:pBdr>
        <w:top w:val="single" w:sz="4" w:space="6" w:color="000000"/>
      </w:pBdr>
      <w:tabs>
        <w:tab w:val="center" w:pos="4513"/>
        <w:tab w:val="right" w:pos="9072"/>
        <w:tab w:val="right" w:pos="9450"/>
      </w:tabs>
      <w:rPr>
        <w:rFonts w:ascii="Arial" w:eastAsia="Times New Roman" w:hAnsi="Arial" w:cs="Arial"/>
        <w:color w:val="333333"/>
        <w:sz w:val="14"/>
        <w:szCs w:val="14"/>
        <w:lang w:val="en-AU"/>
      </w:rPr>
    </w:pPr>
    <w:r>
      <w:rPr>
        <w:rFonts w:eastAsia="Times New Roman" w:cs="Arial"/>
        <w:color w:val="333333"/>
        <w:sz w:val="14"/>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p w14:paraId="67CFB61E" w14:textId="77777777" w:rsidR="00FC1013" w:rsidRDefault="004C465B">
    <w:pPr>
      <w:pStyle w:val="DataClassification"/>
    </w:pPr>
    <w:r>
      <w:rPr>
        <w:noProof/>
      </w:rPr>
      <mc:AlternateContent>
        <mc:Choice Requires="wps">
          <w:drawing>
            <wp:anchor distT="0" distB="0" distL="0" distR="0" simplePos="0" relativeHeight="251659264" behindDoc="0" locked="0" layoutInCell="1" allowOverlap="1" wp14:anchorId="6B7239AB" wp14:editId="181B3C00">
              <wp:simplePos x="0" y="0"/>
              <wp:positionH relativeFrom="margin">
                <wp:align>right</wp:align>
              </wp:positionH>
              <wp:positionV relativeFrom="paragraph">
                <wp:posOffset>10795</wp:posOffset>
              </wp:positionV>
              <wp:extent cx="14605" cy="14605"/>
              <wp:effectExtent l="0" t="0" r="0" b="0"/>
              <wp:wrapNone/>
              <wp:docPr id="8" name="Frame5"/>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wps:txbx>
                    <wps:bodyPr lIns="0" tIns="0" rIns="0" bIns="0" anchor="t">
                      <a:spAutoFit/>
                    </wps:bodyPr>
                  </wps:wsp>
                </a:graphicData>
              </a:graphic>
            </wp:anchor>
          </w:drawing>
        </mc:Choice>
        <mc:Fallback>
          <w:pict>
            <v:shapetype w14:anchorId="6B7239AB" id="_x0000_t202" coordsize="21600,21600" o:spt="202" path="m,l,21600r21600,l21600,xe">
              <v:stroke joinstyle="miter"/>
              <v:path gradientshapeok="t" o:connecttype="rect"/>
            </v:shapetype>
            <v:shape id="Frame5" o:spid="_x0000_s1026" type="#_x0000_t202" style="position:absolute;left:0;text-align:left;margin-left:-50.05pt;margin-top:.85pt;width:1.15pt;height:1.15pt;z-index:25165926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" stroked="f">
              <v:fill opacity="0"/>
              <v:textbox style="mso-fit-shape-to-text:t" inset="0,0,0,0">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47CD8"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239653D2" w14:textId="77777777" w:rsidR="00FC1013" w:rsidRDefault="004C465B">
    <w:pPr>
      <w:pStyle w:val="Footer"/>
    </w:pPr>
    <w:r>
      <w:rPr>
        <w:rFonts w:eastAsia="Times New Roman" w:cs="Arial"/>
        <w:color w:val="333333"/>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31837" w14:textId="77777777" w:rsidR="001D41C2" w:rsidRDefault="001D41C2">
      <w:r>
        <w:separator/>
      </w:r>
    </w:p>
  </w:footnote>
  <w:footnote w:type="continuationSeparator" w:id="0">
    <w:p w14:paraId="3177BF59" w14:textId="77777777" w:rsidR="001D41C2" w:rsidRDefault="001D41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38D11" w14:textId="77777777" w:rsidR="00FC1013" w:rsidRDefault="00FC1013">
    <w:pPr>
      <w:pStyle w:val="DataClassification"/>
    </w:pPr>
  </w:p>
  <w:p w14:paraId="2E97B8F1" w14:textId="77777777" w:rsidR="00FC1013" w:rsidRDefault="00FC1013">
    <w:pPr>
      <w:pStyle w:val="Header"/>
    </w:pPr>
  </w:p>
  <w:p w14:paraId="0D9EC162" w14:textId="77777777" w:rsidR="00FC1013" w:rsidRDefault="00FC1013">
    <w:pPr>
      <w:pStyle w:val="Header"/>
    </w:pPr>
  </w:p>
  <w:p w14:paraId="1E6D7930" w14:textId="59657AA0" w:rsidR="00FC1013" w:rsidRDefault="00B03658">
    <w:pPr>
      <w:pStyle w:val="Headerunderline"/>
    </w:pPr>
    <w:fldSimple w:instr=" STYLEREF &quot;Automated Project Name&quot; ">
      <w:r w:rsidR="00F92E88">
        <w:rPr>
          <w:noProof/>
        </w:rPr>
        <w:t>[Enter Project Name]</w:t>
      </w:r>
    </w:fldSimple>
    <w:r w:rsidR="004C465B">
      <w:t xml:space="preserve"> - </w:t>
    </w:r>
    <w:fldSimple w:instr=" STYLEREF &quot;Front cover: Heading_&quot; ">
      <w:r w:rsidR="00F92E88">
        <w:rPr>
          <w:noProof/>
        </w:rPr>
        <w:t>PROCEDURE TITLE</w:t>
      </w:r>
    </w:fldSimple>
  </w:p>
  <w:p w14:paraId="68CEDCD5" w14:textId="77777777" w:rsidR="00FC1013" w:rsidRDefault="00FC1013">
    <w:pPr>
      <w:pStyle w:val="Header"/>
    </w:pPr>
  </w:p>
  <w:p w14:paraId="62FAD2A2" w14:textId="77777777" w:rsidR="00FC1013" w:rsidRDefault="00FC1013">
    <w:pPr>
      <w:pStyle w:val="Header"/>
    </w:pPr>
  </w:p>
  <w:p w14:paraId="4B6F8956" w14:textId="77777777" w:rsidR="00FC1013" w:rsidRDefault="00FC10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042B4" w14:textId="77777777" w:rsidR="00E3554C" w:rsidRDefault="00E3554C" w:rsidP="00E3554C">
    <w:pPr>
      <w:pStyle w:val="Header"/>
      <w:tabs>
        <w:tab w:val="clear" w:pos="9639"/>
        <w:tab w:val="right" w:pos="9638"/>
      </w:tabs>
      <w:ind w:left="7088"/>
    </w:pPr>
  </w:p>
  <w:p w14:paraId="098BD27A" w14:textId="77777777" w:rsidR="00E3554C" w:rsidRDefault="00E3554C" w:rsidP="00E3554C">
    <w:pPr>
      <w:pStyle w:val="Header"/>
      <w:tabs>
        <w:tab w:val="clear" w:pos="9639"/>
        <w:tab w:val="right" w:pos="9638"/>
      </w:tabs>
      <w:ind w:left="7088"/>
    </w:pPr>
  </w:p>
  <w:p w14:paraId="5416590D" w14:textId="77777777" w:rsidR="00FC1013" w:rsidRDefault="00E87570" w:rsidP="00C33144">
    <w:pPr>
      <w:pStyle w:val="Header"/>
      <w:tabs>
        <w:tab w:val="clear" w:pos="9639"/>
        <w:tab w:val="right" w:pos="9638"/>
      </w:tabs>
      <w:ind w:left="7088"/>
    </w:pPr>
    <w:r>
      <w:rPr>
        <w:noProof/>
      </w:rPr>
      <w:drawing>
        <wp:anchor distT="0" distB="0" distL="114300" distR="114300" simplePos="0" relativeHeight="251668992" behindDoc="1" locked="0" layoutInCell="1" allowOverlap="1" wp14:anchorId="0F900CAF" wp14:editId="14E85CC9">
          <wp:simplePos x="0" y="0"/>
          <wp:positionH relativeFrom="column">
            <wp:posOffset>-1653540</wp:posOffset>
          </wp:positionH>
          <wp:positionV relativeFrom="paragraph">
            <wp:posOffset>-798196</wp:posOffset>
          </wp:positionV>
          <wp:extent cx="4302125" cy="3999230"/>
          <wp:effectExtent l="800100" t="952500" r="727075" b="953770"/>
          <wp:wrapNone/>
          <wp:docPr id="192625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30117" name="Picture 1"/>
                  <pic:cNvPicPr>
                    <a:picLocks noChangeAspect="1"/>
                  </pic:cNvPicPr>
                </pic:nvPicPr>
                <pic:blipFill rotWithShape="1">
                  <a:blip r:embed="rId1">
                    <a:grayscl/>
                    <a:alphaModFix amt="20000"/>
                    <a:extLst>
                      <a:ext uri="{28A0092B-C50C-407E-A947-70E740481C1C}">
                        <a14:useLocalDpi xmlns:a14="http://schemas.microsoft.com/office/drawing/2010/main" val="0"/>
                      </a:ext>
                    </a:extLst>
                  </a:blip>
                  <a:srcRect l="39613"/>
                  <a:stretch>
                    <a:fillRect/>
                  </a:stretch>
                </pic:blipFill>
                <pic:spPr bwMode="auto">
                  <a:xfrm rot="18916714">
                    <a:off x="0" y="0"/>
                    <a:ext cx="4302125" cy="3999230"/>
                  </a:xfrm>
                  <a:prstGeom prst="rect">
                    <a:avLst/>
                  </a:prstGeom>
                  <a:ln>
                    <a:noFill/>
                  </a:ln>
                  <a:extLst>
                    <a:ext uri="{53640926-AAD7-44D8-BBD7-CCE9431645EC}">
                      <a14:shadowObscured xmlns:a14="http://schemas.microsoft.com/office/drawing/2010/main"/>
                    </a:ext>
                  </a:extLst>
                </pic:spPr>
              </pic:pic>
            </a:graphicData>
          </a:graphic>
        </wp:anchor>
      </w:drawing>
    </w:r>
    <w:r w:rsidR="00E3554C" w:rsidRPr="00E3554C">
      <w:rPr>
        <w:noProof/>
      </w:rPr>
      <w:drawing>
        <wp:inline distT="0" distB="0" distL="0" distR="0" wp14:anchorId="15309544" wp14:editId="63AF0FCE">
          <wp:extent cx="1188085" cy="252095"/>
          <wp:effectExtent l="0" t="0" r="0" b="0"/>
          <wp:docPr id="172954863" name="Graphic 4"/>
          <wp:cNvGraphicFramePr/>
          <a:graphic xmlns:a="http://schemas.openxmlformats.org/drawingml/2006/main">
            <a:graphicData uri="http://schemas.openxmlformats.org/drawingml/2006/picture">
              <pic:pic xmlns:pic="http://schemas.openxmlformats.org/drawingml/2006/picture">
                <pic:nvPicPr>
                  <pic:cNvPr id="1" name="Graphic 1"/>
                  <pic:cNvPicPr>
                    <a:picLocks noChangeAspect="1"/>
                  </pic:cNvPicPr>
                </pic:nvPicPr>
                <pic:blipFill>
                  <a:blip r:embed="rId2" cstate="print">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1187450" cy="251460"/>
                  </a:xfrm>
                  <a:prstGeom prst="rect">
                    <a:avLst/>
                  </a:prstGeom>
                </pic:spPr>
              </pic:pic>
            </a:graphicData>
          </a:graphic>
        </wp:inline>
      </w:drawing>
    </w:r>
  </w:p>
  <w:p w14:paraId="7863338B" w14:textId="77777777" w:rsidR="00C33144" w:rsidRPr="005157BB" w:rsidRDefault="00C33144" w:rsidP="00C33144">
    <w:pPr>
      <w:pStyle w:val="Header"/>
      <w:tabs>
        <w:tab w:val="clear" w:pos="9639"/>
        <w:tab w:val="right" w:pos="9638"/>
      </w:tabs>
      <w:spacing w:before="120" w:line="281" w:lineRule="auto"/>
      <w:ind w:left="7088"/>
      <w:rPr>
        <w:color w:val="404040" w:themeColor="text1" w:themeTint="BF"/>
        <w:sz w:val="28"/>
        <w:szCs w:val="28"/>
      </w:rPr>
    </w:pPr>
    <w:r w:rsidRPr="005157BB">
      <w:rPr>
        <w:color w:val="404040" w:themeColor="text1" w:themeTint="BF"/>
        <w:sz w:val="28"/>
        <w:szCs w:val="28"/>
      </w:rPr>
      <w:t>RioProjects HSESC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784F"/>
    <w:multiLevelType w:val="hybridMultilevel"/>
    <w:tmpl w:val="A81CCCA6"/>
    <w:lvl w:ilvl="0" w:tplc="0C090011">
      <w:start w:val="1"/>
      <w:numFmt w:val="decimal"/>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 w15:restartNumberingAfterBreak="0">
    <w:nsid w:val="1E781775"/>
    <w:multiLevelType w:val="multilevel"/>
    <w:tmpl w:val="421CAB70"/>
    <w:lvl w:ilvl="0">
      <w:start w:val="1"/>
      <w:numFmt w:val="bullet"/>
      <w:pStyle w:val="TableText"/>
      <w:lvlText w:val="-"/>
      <w:lvlJc w:val="left"/>
      <w:pPr>
        <w:tabs>
          <w:tab w:val="num" w:pos="0"/>
        </w:tabs>
        <w:ind w:left="1080" w:hanging="360"/>
      </w:pPr>
      <w:rPr>
        <w:rFonts w:ascii="Courier New" w:hAnsi="Courier New" w:cs="Courier New"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 w15:restartNumberingAfterBreak="0">
    <w:nsid w:val="1F86000B"/>
    <w:multiLevelType w:val="hybridMultilevel"/>
    <w:tmpl w:val="8D768A86"/>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3" w15:restartNumberingAfterBreak="0">
    <w:nsid w:val="26D856E2"/>
    <w:multiLevelType w:val="multilevel"/>
    <w:tmpl w:val="0CC2C232"/>
    <w:lvl w:ilvl="0">
      <w:numFmt w:val="decimal"/>
      <w:pStyle w:val="Heading1Numbered"/>
      <w:lvlText w:val="%1"/>
      <w:lvlJc w:val="left"/>
      <w:pPr>
        <w:tabs>
          <w:tab w:val="num" w:pos="0"/>
        </w:tabs>
        <w:ind w:left="0" w:firstLine="0"/>
      </w:pPr>
      <w:rPr>
        <w:rFonts w:hint="default"/>
      </w:rPr>
    </w:lvl>
    <w:lvl w:ilvl="1">
      <w:start w:val="1"/>
      <w:numFmt w:val="decimal"/>
      <w:pStyle w:val="Heading2Numbered"/>
      <w:lvlText w:val="%1.%2"/>
      <w:lvlJc w:val="left"/>
      <w:pPr>
        <w:tabs>
          <w:tab w:val="num" w:pos="0"/>
        </w:tabs>
        <w:ind w:left="0" w:firstLine="0"/>
      </w:pPr>
      <w:rPr>
        <w:rFonts w:hint="default"/>
      </w:rPr>
    </w:lvl>
    <w:lvl w:ilvl="2">
      <w:start w:val="1"/>
      <w:numFmt w:val="decimal"/>
      <w:pStyle w:val="Heading3Numbered"/>
      <w:lvlText w:val="%1.%2.%3"/>
      <w:lvlJc w:val="left"/>
      <w:pPr>
        <w:tabs>
          <w:tab w:val="num" w:pos="0"/>
        </w:tabs>
        <w:ind w:left="0" w:firstLine="0"/>
      </w:pPr>
      <w:rPr>
        <w:rFonts w:hint="default"/>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4" w15:restartNumberingAfterBreak="0">
    <w:nsid w:val="334B0544"/>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5" w15:restartNumberingAfterBreak="0">
    <w:nsid w:val="369072CA"/>
    <w:multiLevelType w:val="hybridMultilevel"/>
    <w:tmpl w:val="EB26D97C"/>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6" w15:restartNumberingAfterBreak="0">
    <w:nsid w:val="38DC165C"/>
    <w:multiLevelType w:val="hybridMultilevel"/>
    <w:tmpl w:val="3D5EC2DC"/>
    <w:lvl w:ilvl="0" w:tplc="0C090011">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7" w15:restartNumberingAfterBreak="0">
    <w:nsid w:val="3D0412CB"/>
    <w:multiLevelType w:val="multilevel"/>
    <w:tmpl w:val="535EBD4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8" w15:restartNumberingAfterBreak="0">
    <w:nsid w:val="3FB30254"/>
    <w:multiLevelType w:val="multilevel"/>
    <w:tmpl w:val="095A320A"/>
    <w:lvl w:ilvl="0">
      <w:start w:val="1"/>
      <w:numFmt w:val="bullet"/>
      <w:pStyle w:val="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9" w15:restartNumberingAfterBreak="0">
    <w:nsid w:val="49E17D42"/>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0" w15:restartNumberingAfterBreak="0">
    <w:nsid w:val="52264BC4"/>
    <w:multiLevelType w:val="multilevel"/>
    <w:tmpl w:val="C31EF118"/>
    <w:lvl w:ilvl="0">
      <w:start w:val="1"/>
      <w:numFmt w:val="bullet"/>
      <w:pStyle w:val="Numbered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11" w15:restartNumberingAfterBreak="0">
    <w:nsid w:val="54951D53"/>
    <w:multiLevelType w:val="multilevel"/>
    <w:tmpl w:val="720E230C"/>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2" w15:restartNumberingAfterBreak="0">
    <w:nsid w:val="58DD5C00"/>
    <w:multiLevelType w:val="multilevel"/>
    <w:tmpl w:val="745C493E"/>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3" w15:restartNumberingAfterBreak="0">
    <w:nsid w:val="5CCC59E1"/>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4" w15:restartNumberingAfterBreak="0">
    <w:nsid w:val="635E6056"/>
    <w:multiLevelType w:val="multilevel"/>
    <w:tmpl w:val="B21EDD5E"/>
    <w:styleLink w:val="Headings"/>
    <w:lvl w:ilvl="0">
      <w:start w:val="1"/>
      <w:numFmt w:val="decimal"/>
      <w:lvlText w:val="%1"/>
      <w:lvlJc w:val="left"/>
      <w:pPr>
        <w:ind w:left="360" w:hanging="360"/>
      </w:pPr>
    </w:lvl>
    <w:lvl w:ilvl="1">
      <w:start w:val="1"/>
      <w:numFmt w:val="decimal"/>
      <w:lvlText w:val="%1.%2"/>
      <w:lvlJc w:val="left"/>
      <w:pPr>
        <w:ind w:left="54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15" w15:restartNumberingAfterBreak="0">
    <w:nsid w:val="686B1493"/>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6" w15:restartNumberingAfterBreak="0">
    <w:nsid w:val="68A26A93"/>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7" w15:restartNumberingAfterBreak="0">
    <w:nsid w:val="68FF5560"/>
    <w:multiLevelType w:val="hybridMultilevel"/>
    <w:tmpl w:val="07EC278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8" w15:restartNumberingAfterBreak="0">
    <w:nsid w:val="70D278C6"/>
    <w:multiLevelType w:val="hybridMultilevel"/>
    <w:tmpl w:val="1F24FDC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9" w15:restartNumberingAfterBreak="0">
    <w:nsid w:val="736C5116"/>
    <w:multiLevelType w:val="multilevel"/>
    <w:tmpl w:val="FDDEBA3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0" w15:restartNumberingAfterBreak="0">
    <w:nsid w:val="74D969E2"/>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21" w15:restartNumberingAfterBreak="0">
    <w:nsid w:val="79063736"/>
    <w:multiLevelType w:val="hybridMultilevel"/>
    <w:tmpl w:val="A672DBF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22" w15:restartNumberingAfterBreak="0">
    <w:nsid w:val="7F484C89"/>
    <w:multiLevelType w:val="hybridMultilevel"/>
    <w:tmpl w:val="CB18EE86"/>
    <w:lvl w:ilvl="0" w:tplc="54104A76">
      <w:start w:val="1"/>
      <w:numFmt w:val="bullet"/>
      <w:lvlText w:val="•"/>
      <w:lvlJc w:val="left"/>
      <w:pPr>
        <w:ind w:left="540" w:hanging="320"/>
      </w:pPr>
    </w:lvl>
    <w:lvl w:ilvl="1" w:tplc="0F42B0D6">
      <w:numFmt w:val="decimal"/>
      <w:lvlText w:val=""/>
      <w:lvlJc w:val="left"/>
    </w:lvl>
    <w:lvl w:ilvl="2" w:tplc="884C487A">
      <w:numFmt w:val="decimal"/>
      <w:lvlText w:val=""/>
      <w:lvlJc w:val="left"/>
    </w:lvl>
    <w:lvl w:ilvl="3" w:tplc="C0F8A29C">
      <w:numFmt w:val="decimal"/>
      <w:lvlText w:val=""/>
      <w:lvlJc w:val="left"/>
    </w:lvl>
    <w:lvl w:ilvl="4" w:tplc="C6D8D9C6">
      <w:numFmt w:val="decimal"/>
      <w:lvlText w:val=""/>
      <w:lvlJc w:val="left"/>
    </w:lvl>
    <w:lvl w:ilvl="5" w:tplc="2902A088">
      <w:numFmt w:val="decimal"/>
      <w:lvlText w:val=""/>
      <w:lvlJc w:val="left"/>
    </w:lvl>
    <w:lvl w:ilvl="6" w:tplc="EAA426DC">
      <w:numFmt w:val="decimal"/>
      <w:lvlText w:val=""/>
      <w:lvlJc w:val="left"/>
    </w:lvl>
    <w:lvl w:ilvl="7" w:tplc="2604B6A6">
      <w:numFmt w:val="decimal"/>
      <w:lvlText w:val=""/>
      <w:lvlJc w:val="left"/>
    </w:lvl>
    <w:lvl w:ilvl="8" w:tplc="86C22F38">
      <w:numFmt w:val="decimal"/>
      <w:lvlText w:val=""/>
      <w:lvlJc w:val="left"/>
    </w:lvl>
  </w:abstractNum>
  <w:num w:numId="1" w16cid:durableId="253562429">
    <w:abstractNumId w:val="3"/>
  </w:num>
  <w:num w:numId="2" w16cid:durableId="1252468866">
    <w:abstractNumId w:val="10"/>
  </w:num>
  <w:num w:numId="3" w16cid:durableId="1373774163">
    <w:abstractNumId w:val="8"/>
  </w:num>
  <w:num w:numId="4" w16cid:durableId="984310045">
    <w:abstractNumId w:val="1"/>
  </w:num>
  <w:num w:numId="5" w16cid:durableId="995845146">
    <w:abstractNumId w:val="20"/>
  </w:num>
  <w:num w:numId="6" w16cid:durableId="530191151">
    <w:abstractNumId w:val="4"/>
  </w:num>
  <w:num w:numId="7" w16cid:durableId="1659728927">
    <w:abstractNumId w:val="16"/>
  </w:num>
  <w:num w:numId="8" w16cid:durableId="282807434">
    <w:abstractNumId w:val="11"/>
  </w:num>
  <w:num w:numId="9" w16cid:durableId="817113281">
    <w:abstractNumId w:val="12"/>
  </w:num>
  <w:num w:numId="10" w16cid:durableId="1484850594">
    <w:abstractNumId w:val="7"/>
  </w:num>
  <w:num w:numId="11" w16cid:durableId="2080908296">
    <w:abstractNumId w:val="19"/>
  </w:num>
  <w:num w:numId="12" w16cid:durableId="844395967">
    <w:abstractNumId w:val="20"/>
  </w:num>
  <w:num w:numId="13" w16cid:durableId="1469202145">
    <w:abstractNumId w:val="4"/>
  </w:num>
  <w:num w:numId="14" w16cid:durableId="953093519">
    <w:abstractNumId w:val="16"/>
  </w:num>
  <w:num w:numId="15" w16cid:durableId="68694079">
    <w:abstractNumId w:val="15"/>
  </w:num>
  <w:num w:numId="16" w16cid:durableId="492767847">
    <w:abstractNumId w:val="9"/>
  </w:num>
  <w:num w:numId="17" w16cid:durableId="1142843330">
    <w:abstractNumId w:val="13"/>
  </w:num>
  <w:num w:numId="18" w16cid:durableId="1617902721">
    <w:abstractNumId w:val="17"/>
  </w:num>
  <w:num w:numId="19" w16cid:durableId="1274481969">
    <w:abstractNumId w:val="5"/>
  </w:num>
  <w:num w:numId="20" w16cid:durableId="1250119628">
    <w:abstractNumId w:val="21"/>
  </w:num>
  <w:num w:numId="21" w16cid:durableId="1982344307">
    <w:abstractNumId w:val="18"/>
  </w:num>
  <w:num w:numId="22" w16cid:durableId="1524441610">
    <w:abstractNumId w:val="2"/>
  </w:num>
  <w:num w:numId="23" w16cid:durableId="186868592">
    <w:abstractNumId w:val="6"/>
  </w:num>
  <w:num w:numId="24" w16cid:durableId="680205980">
    <w:abstractNumId w:val="0"/>
  </w:num>
  <w:num w:numId="25" w16cid:durableId="1768883034">
    <w:abstractNumId w:val="14"/>
  </w:num>
  <w:num w:numId="26" w16cid:durableId="338195397">
    <w:abstractNumId w:val="2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013"/>
    <w:rsid w:val="0000265F"/>
    <w:rsid w:val="000051A8"/>
    <w:rsid w:val="00020FCE"/>
    <w:rsid w:val="000212C8"/>
    <w:rsid w:val="00025AB2"/>
    <w:rsid w:val="00035F85"/>
    <w:rsid w:val="000421BE"/>
    <w:rsid w:val="0005107C"/>
    <w:rsid w:val="00057588"/>
    <w:rsid w:val="00070A66"/>
    <w:rsid w:val="000726E8"/>
    <w:rsid w:val="00073703"/>
    <w:rsid w:val="0008149C"/>
    <w:rsid w:val="00093B02"/>
    <w:rsid w:val="000A64CF"/>
    <w:rsid w:val="000B6927"/>
    <w:rsid w:val="000B72CA"/>
    <w:rsid w:val="000D722C"/>
    <w:rsid w:val="000E14CE"/>
    <w:rsid w:val="000E403F"/>
    <w:rsid w:val="0010166F"/>
    <w:rsid w:val="00103CC0"/>
    <w:rsid w:val="001169F4"/>
    <w:rsid w:val="0012537E"/>
    <w:rsid w:val="001268A2"/>
    <w:rsid w:val="00132361"/>
    <w:rsid w:val="0013544E"/>
    <w:rsid w:val="00154E9A"/>
    <w:rsid w:val="00160B36"/>
    <w:rsid w:val="00162650"/>
    <w:rsid w:val="001645B6"/>
    <w:rsid w:val="00184079"/>
    <w:rsid w:val="001914C0"/>
    <w:rsid w:val="00194B94"/>
    <w:rsid w:val="00196F14"/>
    <w:rsid w:val="001A1B18"/>
    <w:rsid w:val="001B4423"/>
    <w:rsid w:val="001B7E54"/>
    <w:rsid w:val="001C2B0D"/>
    <w:rsid w:val="001D41C2"/>
    <w:rsid w:val="001E2D6C"/>
    <w:rsid w:val="00201F1B"/>
    <w:rsid w:val="002135E3"/>
    <w:rsid w:val="00221F1C"/>
    <w:rsid w:val="002317EC"/>
    <w:rsid w:val="00240E6E"/>
    <w:rsid w:val="0024672F"/>
    <w:rsid w:val="00254112"/>
    <w:rsid w:val="00256456"/>
    <w:rsid w:val="00262601"/>
    <w:rsid w:val="002664FA"/>
    <w:rsid w:val="0028765F"/>
    <w:rsid w:val="00291CE1"/>
    <w:rsid w:val="002C1C25"/>
    <w:rsid w:val="002C6BB3"/>
    <w:rsid w:val="002E726C"/>
    <w:rsid w:val="003365EA"/>
    <w:rsid w:val="0033685C"/>
    <w:rsid w:val="00353AE1"/>
    <w:rsid w:val="00356F9A"/>
    <w:rsid w:val="003A486B"/>
    <w:rsid w:val="003C0850"/>
    <w:rsid w:val="003C2B09"/>
    <w:rsid w:val="003C4F86"/>
    <w:rsid w:val="003E62DE"/>
    <w:rsid w:val="003F4778"/>
    <w:rsid w:val="003F6ABF"/>
    <w:rsid w:val="00403B6A"/>
    <w:rsid w:val="00410345"/>
    <w:rsid w:val="00411BFC"/>
    <w:rsid w:val="0042192E"/>
    <w:rsid w:val="00435BE3"/>
    <w:rsid w:val="00442CF1"/>
    <w:rsid w:val="0044577B"/>
    <w:rsid w:val="004B2CF4"/>
    <w:rsid w:val="004B3FA6"/>
    <w:rsid w:val="004B52D0"/>
    <w:rsid w:val="004C465B"/>
    <w:rsid w:val="004C5CA9"/>
    <w:rsid w:val="004D2A6A"/>
    <w:rsid w:val="004D687C"/>
    <w:rsid w:val="004D6E31"/>
    <w:rsid w:val="004E45B4"/>
    <w:rsid w:val="004E623E"/>
    <w:rsid w:val="004E7E96"/>
    <w:rsid w:val="004E7F42"/>
    <w:rsid w:val="0050397D"/>
    <w:rsid w:val="005157BB"/>
    <w:rsid w:val="00526212"/>
    <w:rsid w:val="0053047F"/>
    <w:rsid w:val="00535300"/>
    <w:rsid w:val="005635BB"/>
    <w:rsid w:val="00566A46"/>
    <w:rsid w:val="0058242C"/>
    <w:rsid w:val="005944A9"/>
    <w:rsid w:val="005A0A93"/>
    <w:rsid w:val="005C0255"/>
    <w:rsid w:val="005E3E9F"/>
    <w:rsid w:val="005F1667"/>
    <w:rsid w:val="00601272"/>
    <w:rsid w:val="0060285D"/>
    <w:rsid w:val="006121C6"/>
    <w:rsid w:val="006175F7"/>
    <w:rsid w:val="0062458A"/>
    <w:rsid w:val="006333EE"/>
    <w:rsid w:val="00662C6E"/>
    <w:rsid w:val="00670C60"/>
    <w:rsid w:val="006764A9"/>
    <w:rsid w:val="006E1AD7"/>
    <w:rsid w:val="00727931"/>
    <w:rsid w:val="00730A2A"/>
    <w:rsid w:val="0073547A"/>
    <w:rsid w:val="00743F54"/>
    <w:rsid w:val="007553CA"/>
    <w:rsid w:val="0075674D"/>
    <w:rsid w:val="00765AC3"/>
    <w:rsid w:val="00771B92"/>
    <w:rsid w:val="00776B52"/>
    <w:rsid w:val="007928F4"/>
    <w:rsid w:val="007965DF"/>
    <w:rsid w:val="007B6B9B"/>
    <w:rsid w:val="007B7585"/>
    <w:rsid w:val="007C754C"/>
    <w:rsid w:val="007D2D8B"/>
    <w:rsid w:val="007D471E"/>
    <w:rsid w:val="007D59CC"/>
    <w:rsid w:val="007D6FC1"/>
    <w:rsid w:val="007F371E"/>
    <w:rsid w:val="00835A28"/>
    <w:rsid w:val="00843318"/>
    <w:rsid w:val="00852B62"/>
    <w:rsid w:val="0086454E"/>
    <w:rsid w:val="00872AF0"/>
    <w:rsid w:val="0088769A"/>
    <w:rsid w:val="008A2147"/>
    <w:rsid w:val="008A7A56"/>
    <w:rsid w:val="008A7C99"/>
    <w:rsid w:val="008B491A"/>
    <w:rsid w:val="008B7ED2"/>
    <w:rsid w:val="008D1441"/>
    <w:rsid w:val="008D1F3E"/>
    <w:rsid w:val="008D3C50"/>
    <w:rsid w:val="008E13F0"/>
    <w:rsid w:val="008E4521"/>
    <w:rsid w:val="009156E6"/>
    <w:rsid w:val="00917F98"/>
    <w:rsid w:val="0092238B"/>
    <w:rsid w:val="00932E1A"/>
    <w:rsid w:val="009361B1"/>
    <w:rsid w:val="00941897"/>
    <w:rsid w:val="00953286"/>
    <w:rsid w:val="00963BF6"/>
    <w:rsid w:val="00965D77"/>
    <w:rsid w:val="00966910"/>
    <w:rsid w:val="00987F17"/>
    <w:rsid w:val="009A4C1F"/>
    <w:rsid w:val="009B0A0C"/>
    <w:rsid w:val="009B7448"/>
    <w:rsid w:val="009C5FE3"/>
    <w:rsid w:val="009E2242"/>
    <w:rsid w:val="009E5AD1"/>
    <w:rsid w:val="00A01D0C"/>
    <w:rsid w:val="00A22346"/>
    <w:rsid w:val="00A27CF4"/>
    <w:rsid w:val="00A31AE7"/>
    <w:rsid w:val="00A559D2"/>
    <w:rsid w:val="00A6771F"/>
    <w:rsid w:val="00A70854"/>
    <w:rsid w:val="00A73AE8"/>
    <w:rsid w:val="00A7759C"/>
    <w:rsid w:val="00A879B4"/>
    <w:rsid w:val="00A87E16"/>
    <w:rsid w:val="00A9375E"/>
    <w:rsid w:val="00A94978"/>
    <w:rsid w:val="00AA04FF"/>
    <w:rsid w:val="00AB4E10"/>
    <w:rsid w:val="00AC09D8"/>
    <w:rsid w:val="00AC1610"/>
    <w:rsid w:val="00AD1836"/>
    <w:rsid w:val="00AD7E06"/>
    <w:rsid w:val="00AE59DD"/>
    <w:rsid w:val="00AF4D10"/>
    <w:rsid w:val="00B03658"/>
    <w:rsid w:val="00B03A9C"/>
    <w:rsid w:val="00B13942"/>
    <w:rsid w:val="00B17194"/>
    <w:rsid w:val="00B6721F"/>
    <w:rsid w:val="00BB15FA"/>
    <w:rsid w:val="00BD1B44"/>
    <w:rsid w:val="00BE56F5"/>
    <w:rsid w:val="00BE7A83"/>
    <w:rsid w:val="00BF1B5E"/>
    <w:rsid w:val="00BF2FA3"/>
    <w:rsid w:val="00C10AB2"/>
    <w:rsid w:val="00C1287A"/>
    <w:rsid w:val="00C20D78"/>
    <w:rsid w:val="00C2491F"/>
    <w:rsid w:val="00C33144"/>
    <w:rsid w:val="00C46050"/>
    <w:rsid w:val="00C47846"/>
    <w:rsid w:val="00C54428"/>
    <w:rsid w:val="00C56287"/>
    <w:rsid w:val="00C56EDD"/>
    <w:rsid w:val="00C73320"/>
    <w:rsid w:val="00C7476E"/>
    <w:rsid w:val="00C753F5"/>
    <w:rsid w:val="00C8565B"/>
    <w:rsid w:val="00C93FDE"/>
    <w:rsid w:val="00CA1F8A"/>
    <w:rsid w:val="00CA299E"/>
    <w:rsid w:val="00CA503F"/>
    <w:rsid w:val="00CC0D50"/>
    <w:rsid w:val="00CE3885"/>
    <w:rsid w:val="00D01B82"/>
    <w:rsid w:val="00D216C1"/>
    <w:rsid w:val="00D21A55"/>
    <w:rsid w:val="00D2325C"/>
    <w:rsid w:val="00D508E6"/>
    <w:rsid w:val="00D8045A"/>
    <w:rsid w:val="00DA0EEB"/>
    <w:rsid w:val="00DB5CCE"/>
    <w:rsid w:val="00DD2205"/>
    <w:rsid w:val="00DD6817"/>
    <w:rsid w:val="00DD766F"/>
    <w:rsid w:val="00DE22F2"/>
    <w:rsid w:val="00DF132F"/>
    <w:rsid w:val="00DF7812"/>
    <w:rsid w:val="00E026BC"/>
    <w:rsid w:val="00E1601B"/>
    <w:rsid w:val="00E31E85"/>
    <w:rsid w:val="00E3554C"/>
    <w:rsid w:val="00E378D6"/>
    <w:rsid w:val="00E4144B"/>
    <w:rsid w:val="00E41AD3"/>
    <w:rsid w:val="00E44974"/>
    <w:rsid w:val="00E6249E"/>
    <w:rsid w:val="00E748FB"/>
    <w:rsid w:val="00E74ED6"/>
    <w:rsid w:val="00E87570"/>
    <w:rsid w:val="00E947EC"/>
    <w:rsid w:val="00EB1E2A"/>
    <w:rsid w:val="00EC1E09"/>
    <w:rsid w:val="00EC35CA"/>
    <w:rsid w:val="00ED2D68"/>
    <w:rsid w:val="00EF2D7C"/>
    <w:rsid w:val="00EF6531"/>
    <w:rsid w:val="00F047AC"/>
    <w:rsid w:val="00F0533E"/>
    <w:rsid w:val="00F05B64"/>
    <w:rsid w:val="00F1323E"/>
    <w:rsid w:val="00F24500"/>
    <w:rsid w:val="00F36EE0"/>
    <w:rsid w:val="00F5071C"/>
    <w:rsid w:val="00F50865"/>
    <w:rsid w:val="00F65D89"/>
    <w:rsid w:val="00F8493B"/>
    <w:rsid w:val="00F87F71"/>
    <w:rsid w:val="00F92E88"/>
    <w:rsid w:val="00FA3CFD"/>
    <w:rsid w:val="00FB10C5"/>
    <w:rsid w:val="00FB2CEF"/>
    <w:rsid w:val="00FB6D88"/>
    <w:rsid w:val="00FC1013"/>
    <w:rsid w:val="00FE24AA"/>
    <w:rsid w:val="00FE28C0"/>
    <w:rsid w:val="00FE68DA"/>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84FBF8"/>
  <w15:docId w15:val="{8B23AFC0-DD17-41F9-9DBA-8FAEA66F9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931"/>
    <w:rPr>
      <w:sz w:val="20"/>
    </w:rPr>
  </w:style>
  <w:style w:type="paragraph" w:styleId="Heading1">
    <w:name w:val="heading 1"/>
    <w:basedOn w:val="Normal"/>
    <w:next w:val="Normal"/>
    <w:link w:val="Heading1Char"/>
    <w:uiPriority w:val="9"/>
    <w:qFormat/>
    <w:rsid w:val="00C5432C"/>
    <w:pPr>
      <w:keepNext/>
      <w:keepLines/>
      <w:spacing w:before="120" w:after="60"/>
      <w:contextualSpacing/>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unhideWhenUsed/>
    <w:qFormat/>
    <w:rsid w:val="008B7ED2"/>
    <w:pPr>
      <w:keepNext/>
      <w:keepLines/>
      <w:spacing w:after="60"/>
      <w:ind w:left="720"/>
      <w:outlineLvl w:val="1"/>
    </w:pPr>
    <w:rPr>
      <w:rFonts w:asciiTheme="majorHAnsi" w:eastAsiaTheme="majorEastAsia" w:hAnsiTheme="majorHAnsi" w:cstheme="majorBidi"/>
      <w:b/>
      <w:color w:val="000000" w:themeColor="text1"/>
      <w:szCs w:val="26"/>
    </w:rPr>
  </w:style>
  <w:style w:type="paragraph" w:styleId="Heading3">
    <w:name w:val="heading 3"/>
    <w:basedOn w:val="Normal"/>
    <w:next w:val="Normal"/>
    <w:link w:val="Heading3Char"/>
    <w:uiPriority w:val="9"/>
    <w:unhideWhenUsed/>
    <w:qFormat/>
    <w:rsid w:val="00CE74A2"/>
    <w:pPr>
      <w:keepNext/>
      <w:keepLines/>
      <w:spacing w:after="60"/>
      <w:outlineLvl w:val="2"/>
    </w:pPr>
    <w:rPr>
      <w:rFonts w:asciiTheme="majorHAnsi" w:eastAsiaTheme="majorEastAsia" w:hAnsiTheme="majorHAnsi" w:cstheme="majorBidi"/>
      <w:color w:val="000000" w:themeColor="text1"/>
    </w:rPr>
  </w:style>
  <w:style w:type="paragraph" w:styleId="Heading4">
    <w:name w:val="heading 4"/>
    <w:basedOn w:val="Normal"/>
    <w:next w:val="Normal"/>
    <w:link w:val="Heading4Char"/>
    <w:uiPriority w:val="9"/>
    <w:semiHidden/>
    <w:unhideWhenUsed/>
    <w:qFormat/>
    <w:rsid w:val="009A6302"/>
    <w:pPr>
      <w:keepNext/>
      <w:keepLines/>
      <w:spacing w:after="60"/>
      <w:outlineLvl w:val="3"/>
    </w:pPr>
    <w:rPr>
      <w:rFonts w:asciiTheme="majorHAnsi" w:eastAsiaTheme="majorEastAsia" w:hAnsiTheme="majorHAnsi" w:cstheme="majorBidi"/>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F2EC5"/>
    <w:rPr>
      <w:rFonts w:cs="Times New Roman (Body CS)"/>
      <w:sz w:val="14"/>
    </w:rPr>
  </w:style>
  <w:style w:type="character" w:customStyle="1" w:styleId="FooterChar">
    <w:name w:val="Footer Char"/>
    <w:basedOn w:val="DefaultParagraphFont"/>
    <w:link w:val="Footer"/>
    <w:uiPriority w:val="99"/>
    <w:qFormat/>
    <w:rsid w:val="00085C32"/>
    <w:rPr>
      <w:rFonts w:cs="Times New Roman (Body CS)"/>
      <w:caps/>
      <w:sz w:val="14"/>
    </w:rPr>
  </w:style>
  <w:style w:type="character" w:customStyle="1" w:styleId="Heading1Char">
    <w:name w:val="Heading 1 Char"/>
    <w:basedOn w:val="DefaultParagraphFont"/>
    <w:link w:val="Heading1"/>
    <w:uiPriority w:val="9"/>
    <w:qFormat/>
    <w:rsid w:val="00C5432C"/>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qFormat/>
    <w:rsid w:val="008B7ED2"/>
    <w:rPr>
      <w:rFonts w:asciiTheme="majorHAnsi" w:eastAsiaTheme="majorEastAsia" w:hAnsiTheme="majorHAnsi" w:cstheme="majorBidi"/>
      <w:b/>
      <w:color w:val="000000" w:themeColor="text1"/>
      <w:sz w:val="20"/>
      <w:szCs w:val="26"/>
    </w:rPr>
  </w:style>
  <w:style w:type="character" w:customStyle="1" w:styleId="Heading3Char">
    <w:name w:val="Heading 3 Char"/>
    <w:basedOn w:val="DefaultParagraphFont"/>
    <w:link w:val="Heading3"/>
    <w:uiPriority w:val="9"/>
    <w:qFormat/>
    <w:rsid w:val="00CE74A2"/>
    <w:rPr>
      <w:rFonts w:asciiTheme="majorHAnsi" w:eastAsiaTheme="majorEastAsia" w:hAnsiTheme="majorHAnsi" w:cstheme="majorBidi"/>
      <w:color w:val="000000" w:themeColor="text1"/>
      <w:sz w:val="20"/>
    </w:rPr>
  </w:style>
  <w:style w:type="character" w:customStyle="1" w:styleId="Heading4Char">
    <w:name w:val="Heading 4 Char"/>
    <w:basedOn w:val="DefaultParagraphFont"/>
    <w:link w:val="Heading4"/>
    <w:uiPriority w:val="9"/>
    <w:semiHidden/>
    <w:qFormat/>
    <w:rsid w:val="009A6302"/>
    <w:rPr>
      <w:rFonts w:asciiTheme="majorHAnsi" w:eastAsiaTheme="majorEastAsia" w:hAnsiTheme="majorHAnsi" w:cstheme="majorBidi"/>
      <w:i/>
      <w:iCs/>
      <w:color w:val="000000" w:themeColor="text1"/>
      <w:sz w:val="20"/>
    </w:rPr>
  </w:style>
  <w:style w:type="character" w:styleId="Hyperlink">
    <w:name w:val="Hyperlink"/>
    <w:basedOn w:val="DefaultParagraphFont"/>
    <w:uiPriority w:val="99"/>
    <w:unhideWhenUsed/>
    <w:rsid w:val="00C65701"/>
    <w:rPr>
      <w:color w:val="000000" w:themeColor="text1"/>
      <w:u w:val="single"/>
    </w:rPr>
  </w:style>
  <w:style w:type="character" w:styleId="PageNumber">
    <w:name w:val="page number"/>
    <w:basedOn w:val="DefaultParagraphFont"/>
    <w:uiPriority w:val="99"/>
    <w:semiHidden/>
    <w:unhideWhenUsed/>
    <w:rsid w:val="00CC2E6E"/>
  </w:style>
  <w:style w:type="character" w:customStyle="1" w:styleId="SubtitleChar">
    <w:name w:val="Subtitle Char"/>
    <w:basedOn w:val="DefaultParagraphFont"/>
    <w:link w:val="Subtitle"/>
    <w:uiPriority w:val="11"/>
    <w:qFormat/>
    <w:rsid w:val="004D6E31"/>
    <w:rPr>
      <w:rFonts w:ascii="Arial Bold" w:eastAsiaTheme="minorEastAsia" w:hAnsi="Arial Bold"/>
      <w:b/>
      <w:caps/>
      <w:spacing w:val="15"/>
      <w:sz w:val="22"/>
      <w:szCs w:val="22"/>
      <w:shd w:val="clear" w:color="auto" w:fill="AE002F" w:themeFill="background2"/>
      <w:lang w:val="en-AU"/>
    </w:rPr>
  </w:style>
  <w:style w:type="character" w:customStyle="1" w:styleId="TableHeadingChar">
    <w:name w:val="Table Heading Char"/>
    <w:basedOn w:val="DefaultParagraphFont"/>
    <w:link w:val="TableHeading"/>
    <w:qFormat/>
    <w:rsid w:val="00A63228"/>
    <w:rPr>
      <w:rFonts w:ascii="Arial Bold" w:hAnsi="Arial Bold"/>
      <w:bCs/>
      <w:sz w:val="18"/>
      <w:szCs w:val="22"/>
      <w:lang w:val="en-AU"/>
    </w:rPr>
  </w:style>
  <w:style w:type="character" w:customStyle="1" w:styleId="TableTextChar">
    <w:name w:val="Table Text Char"/>
    <w:basedOn w:val="DefaultParagraphFont"/>
    <w:link w:val="TableText"/>
    <w:qFormat/>
    <w:rsid w:val="009171AE"/>
    <w:rPr>
      <w:rFonts w:ascii="Arial" w:hAnsi="Arial"/>
      <w:sz w:val="18"/>
      <w:szCs w:val="22"/>
      <w:lang w:val="en-AU" w:eastAsia="en-AU"/>
    </w:rPr>
  </w:style>
  <w:style w:type="character" w:styleId="CommentReference">
    <w:name w:val="annotation reference"/>
    <w:basedOn w:val="DefaultParagraphFont"/>
    <w:uiPriority w:val="99"/>
    <w:semiHidden/>
    <w:unhideWhenUsed/>
    <w:qFormat/>
    <w:rsid w:val="000B368B"/>
    <w:rPr>
      <w:sz w:val="16"/>
      <w:szCs w:val="16"/>
    </w:rPr>
  </w:style>
  <w:style w:type="character" w:customStyle="1" w:styleId="CommentTextChar">
    <w:name w:val="Comment Text Char"/>
    <w:basedOn w:val="DefaultParagraphFont"/>
    <w:link w:val="CommentText"/>
    <w:uiPriority w:val="99"/>
    <w:qFormat/>
    <w:rsid w:val="000B368B"/>
    <w:rPr>
      <w:rFonts w:ascii="Arial" w:hAnsi="Arial" w:cs="Arial"/>
      <w:sz w:val="20"/>
      <w:szCs w:val="20"/>
      <w:lang w:val="en-AU"/>
    </w:rPr>
  </w:style>
  <w:style w:type="character" w:styleId="Strong">
    <w:name w:val="Strong"/>
    <w:basedOn w:val="DefaultParagraphFont"/>
    <w:uiPriority w:val="22"/>
    <w:qFormat/>
    <w:rsid w:val="006B0811"/>
    <w:rPr>
      <w:b/>
      <w:bCs/>
    </w:rPr>
  </w:style>
  <w:style w:type="character" w:styleId="Emphasis">
    <w:name w:val="Emphasis"/>
    <w:basedOn w:val="DefaultParagraphFont"/>
    <w:uiPriority w:val="20"/>
    <w:qFormat/>
    <w:rsid w:val="003E1451"/>
    <w:rPr>
      <w:i/>
      <w:iCs/>
    </w:rPr>
  </w:style>
  <w:style w:type="character" w:customStyle="1" w:styleId="sr-only">
    <w:name w:val="sr-only"/>
    <w:basedOn w:val="DefaultParagraphFont"/>
    <w:qFormat/>
    <w:rsid w:val="00191BEE"/>
  </w:style>
  <w:style w:type="character" w:customStyle="1" w:styleId="NormalNumberedtextChar">
    <w:name w:val="Normal: Numbered text_ Char"/>
    <w:basedOn w:val="DefaultParagraphFont"/>
    <w:link w:val="NormalNumberedtext"/>
    <w:qFormat/>
    <w:rsid w:val="00C22FCF"/>
    <w:rPr>
      <w:sz w:val="20"/>
      <w:lang w:val="en-AU"/>
    </w:rPr>
  </w:style>
  <w:style w:type="character" w:styleId="PlaceholderText">
    <w:name w:val="Placeholder Text"/>
    <w:basedOn w:val="DefaultParagraphFont"/>
    <w:uiPriority w:val="99"/>
    <w:semiHidden/>
    <w:qFormat/>
    <w:rsid w:val="0056355F"/>
    <w:rPr>
      <w:color w:val="666666"/>
    </w:rPr>
  </w:style>
  <w:style w:type="character" w:customStyle="1" w:styleId="CommentSubjectChar">
    <w:name w:val="Comment Subject Char"/>
    <w:basedOn w:val="CommentTextChar"/>
    <w:link w:val="CommentSubject"/>
    <w:uiPriority w:val="99"/>
    <w:semiHidden/>
    <w:qFormat/>
    <w:rsid w:val="00E374A8"/>
    <w:rPr>
      <w:rFonts w:ascii="Arial" w:hAnsi="Arial" w:cs="Arial"/>
      <w:b/>
      <w:bCs/>
      <w:sz w:val="20"/>
      <w:szCs w:val="20"/>
      <w:lang w:val="en-AU"/>
    </w:rPr>
  </w:style>
  <w:style w:type="character" w:customStyle="1" w:styleId="AutomatedProjectNameChar">
    <w:name w:val="Automated Project Name Char"/>
    <w:basedOn w:val="DefaultParagraphFont"/>
    <w:link w:val="AutomatedProjectName"/>
    <w:qFormat/>
    <w:rsid w:val="008B5BDD"/>
    <w:rPr>
      <w:sz w:val="28"/>
      <w:szCs w:val="28"/>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customStyle="1" w:styleId="BulletL1">
    <w:name w:val="Bullet: L1_"/>
    <w:basedOn w:val="Normal"/>
    <w:qFormat/>
    <w:rsid w:val="00551909"/>
    <w:pPr>
      <w:numPr>
        <w:numId w:val="3"/>
      </w:numPr>
      <w:ind w:left="170" w:hanging="170"/>
    </w:pPr>
  </w:style>
  <w:style w:type="paragraph" w:customStyle="1" w:styleId="BulletL2">
    <w:name w:val="Bullet: L2_"/>
    <w:basedOn w:val="BulletL1"/>
    <w:qFormat/>
    <w:rsid w:val="00551909"/>
    <w:pPr>
      <w:ind w:left="397" w:hanging="227"/>
    </w:pPr>
  </w:style>
  <w:style w:type="paragraph" w:customStyle="1" w:styleId="BulletL3">
    <w:name w:val="Bullet: L3_"/>
    <w:basedOn w:val="BulletL2"/>
    <w:qFormat/>
    <w:rsid w:val="00871606"/>
    <w:pPr>
      <w:ind w:left="624"/>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EF2EC5"/>
    <w:pPr>
      <w:tabs>
        <w:tab w:val="right" w:pos="9639"/>
      </w:tabs>
      <w:spacing w:line="280" w:lineRule="auto"/>
    </w:pPr>
    <w:rPr>
      <w:rFonts w:cs="Times New Roman (Body CS)"/>
      <w:sz w:val="14"/>
    </w:rPr>
  </w:style>
  <w:style w:type="paragraph" w:styleId="Footer">
    <w:name w:val="footer"/>
    <w:basedOn w:val="Normal"/>
    <w:link w:val="FooterChar"/>
    <w:uiPriority w:val="99"/>
    <w:unhideWhenUsed/>
    <w:rsid w:val="00085C32"/>
    <w:pPr>
      <w:tabs>
        <w:tab w:val="center" w:pos="4513"/>
        <w:tab w:val="right" w:pos="9026"/>
      </w:tabs>
      <w:jc w:val="center"/>
    </w:pPr>
    <w:rPr>
      <w:rFonts w:cs="Times New Roman (Body CS)"/>
      <w:caps/>
      <w:sz w:val="14"/>
    </w:rPr>
  </w:style>
  <w:style w:type="paragraph" w:customStyle="1" w:styleId="FrontcoverSubheading">
    <w:name w:val="Front cover: Subheading_"/>
    <w:basedOn w:val="Normal"/>
    <w:qFormat/>
    <w:rsid w:val="00300ACE"/>
    <w:pPr>
      <w:spacing w:before="120"/>
    </w:pPr>
    <w:rPr>
      <w:sz w:val="32"/>
      <w:szCs w:val="32"/>
    </w:rPr>
  </w:style>
  <w:style w:type="paragraph" w:styleId="ListParagraph">
    <w:name w:val="List Paragraph"/>
    <w:basedOn w:val="Normal"/>
    <w:qFormat/>
    <w:rsid w:val="00AC5179"/>
    <w:pPr>
      <w:ind w:left="720"/>
      <w:contextualSpacing/>
    </w:pPr>
  </w:style>
  <w:style w:type="paragraph" w:customStyle="1" w:styleId="FrontcoverHeading">
    <w:name w:val="Front cover: Heading_"/>
    <w:basedOn w:val="FrontCoverHeading0"/>
    <w:next w:val="Normal"/>
    <w:qFormat/>
    <w:rsid w:val="00FE28C0"/>
  </w:style>
  <w:style w:type="paragraph" w:customStyle="1" w:styleId="Introtext">
    <w:name w:val="Intro text_"/>
    <w:basedOn w:val="Normal"/>
    <w:next w:val="Normal"/>
    <w:qFormat/>
    <w:rsid w:val="005B4F37"/>
    <w:rPr>
      <w:rFonts w:ascii="Arial" w:hAnsi="Arial" w:cs="Times New Roman (Body CS)"/>
      <w:color w:val="000000" w:themeColor="text1"/>
      <w:sz w:val="24"/>
      <w:szCs w:val="38"/>
    </w:rPr>
  </w:style>
  <w:style w:type="paragraph" w:customStyle="1" w:styleId="Caption0">
    <w:name w:val="Caption_"/>
    <w:basedOn w:val="Normal"/>
    <w:qFormat/>
    <w:rsid w:val="0084293D"/>
    <w:rPr>
      <w:color w:val="5D6C7C"/>
      <w:sz w:val="16"/>
    </w:rPr>
  </w:style>
  <w:style w:type="paragraph" w:customStyle="1" w:styleId="Companydetails">
    <w:name w:val="Company details_"/>
    <w:basedOn w:val="Normal"/>
    <w:qFormat/>
    <w:rsid w:val="000B5AC1"/>
    <w:rPr>
      <w:sz w:val="14"/>
      <w:szCs w:val="14"/>
    </w:rPr>
  </w:style>
  <w:style w:type="paragraph" w:customStyle="1" w:styleId="Heading1Numbered">
    <w:name w:val="Heading 1: Numbered_"/>
    <w:basedOn w:val="Heading1"/>
    <w:next w:val="Normal"/>
    <w:qFormat/>
    <w:rsid w:val="00D50EE8"/>
    <w:pPr>
      <w:keepNext w:val="0"/>
      <w:keepLines w:val="0"/>
      <w:numPr>
        <w:numId w:val="1"/>
      </w:numPr>
      <w:tabs>
        <w:tab w:val="left" w:pos="426"/>
      </w:tabs>
      <w:contextualSpacing w:val="0"/>
    </w:pPr>
    <w:rPr>
      <w:rFonts w:eastAsiaTheme="minorHAnsi" w:cstheme="minorBidi"/>
      <w:color w:val="000000" w:themeColor="text1"/>
      <w:szCs w:val="36"/>
    </w:rPr>
  </w:style>
  <w:style w:type="paragraph" w:customStyle="1" w:styleId="Heading2Numbered">
    <w:name w:val="Heading 2: Numbered_"/>
    <w:basedOn w:val="Heading2"/>
    <w:next w:val="Normal"/>
    <w:qFormat/>
    <w:rsid w:val="00703BA8"/>
    <w:pPr>
      <w:numPr>
        <w:ilvl w:val="1"/>
        <w:numId w:val="1"/>
      </w:numPr>
      <w:spacing w:before="120"/>
    </w:pPr>
    <w:rPr>
      <w:szCs w:val="30"/>
    </w:rPr>
  </w:style>
  <w:style w:type="paragraph" w:customStyle="1" w:styleId="Heading3Numbered">
    <w:name w:val="Heading 3: Numbered_"/>
    <w:basedOn w:val="Heading3"/>
    <w:next w:val="Normal"/>
    <w:qFormat/>
    <w:rsid w:val="00A463B3"/>
    <w:pPr>
      <w:numPr>
        <w:ilvl w:val="2"/>
        <w:numId w:val="1"/>
      </w:numPr>
      <w:spacing w:before="120"/>
    </w:pPr>
    <w:rPr>
      <w:rFonts w:asciiTheme="minorHAnsi" w:hAnsiTheme="minorHAnsi"/>
      <w:bCs/>
      <w:szCs w:val="18"/>
    </w:rPr>
  </w:style>
  <w:style w:type="paragraph" w:customStyle="1" w:styleId="NormalNumberedtext">
    <w:name w:val="Normal: Numbered text_"/>
    <w:basedOn w:val="Normal"/>
    <w:link w:val="NormalNumberedtextChar"/>
    <w:qFormat/>
    <w:rsid w:val="005657EF"/>
    <w:pPr>
      <w:ind w:left="709"/>
    </w:pPr>
    <w:rPr>
      <w:lang w:val="en-AU"/>
    </w:rPr>
  </w:style>
  <w:style w:type="paragraph" w:styleId="NormalWeb">
    <w:name w:val="Normal (Web)"/>
    <w:basedOn w:val="Normal"/>
    <w:uiPriority w:val="99"/>
    <w:semiHidden/>
    <w:unhideWhenUsed/>
    <w:qFormat/>
    <w:rsid w:val="00E26015"/>
    <w:rPr>
      <w:rFonts w:ascii="Times New Roman" w:hAnsi="Times New Roman" w:cs="Times New Roman"/>
      <w:sz w:val="24"/>
    </w:rPr>
  </w:style>
  <w:style w:type="paragraph" w:styleId="TOC1">
    <w:name w:val="toc 1"/>
    <w:basedOn w:val="Normal"/>
    <w:next w:val="Normal"/>
    <w:autoRedefine/>
    <w:uiPriority w:val="39"/>
    <w:unhideWhenUsed/>
    <w:rsid w:val="000D491A"/>
    <w:pPr>
      <w:tabs>
        <w:tab w:val="right" w:pos="9639"/>
      </w:tabs>
      <w:spacing w:before="160"/>
      <w:ind w:left="567" w:hanging="567"/>
    </w:pPr>
    <w:rPr>
      <w:b/>
    </w:rPr>
  </w:style>
  <w:style w:type="paragraph" w:styleId="TOC2">
    <w:name w:val="toc 2"/>
    <w:basedOn w:val="Normal"/>
    <w:next w:val="Normal"/>
    <w:autoRedefine/>
    <w:uiPriority w:val="39"/>
    <w:unhideWhenUsed/>
    <w:rsid w:val="00BA2C35"/>
    <w:pPr>
      <w:tabs>
        <w:tab w:val="right" w:pos="9639"/>
      </w:tabs>
      <w:spacing w:before="40"/>
      <w:ind w:left="1134" w:hanging="567"/>
    </w:pPr>
  </w:style>
  <w:style w:type="paragraph" w:styleId="TOC3">
    <w:name w:val="toc 3"/>
    <w:basedOn w:val="Normal"/>
    <w:next w:val="Normal"/>
    <w:autoRedefine/>
    <w:uiPriority w:val="39"/>
    <w:unhideWhenUsed/>
    <w:rsid w:val="00BA2C35"/>
    <w:pPr>
      <w:tabs>
        <w:tab w:val="right" w:pos="9639"/>
      </w:tabs>
      <w:spacing w:before="40"/>
      <w:ind w:left="1701" w:hanging="567"/>
    </w:pPr>
  </w:style>
  <w:style w:type="paragraph" w:customStyle="1" w:styleId="NumberedBulletL1">
    <w:name w:val="Numbered Bullet: L1_"/>
    <w:basedOn w:val="NormalNumberedtext"/>
    <w:qFormat/>
    <w:rsid w:val="00872C4B"/>
    <w:pPr>
      <w:numPr>
        <w:numId w:val="2"/>
      </w:numPr>
      <w:ind w:left="700"/>
    </w:pPr>
  </w:style>
  <w:style w:type="paragraph" w:customStyle="1" w:styleId="NumberedBulletL2">
    <w:name w:val="Numbered Bullet: L2_"/>
    <w:basedOn w:val="NumberedBulletL1"/>
    <w:rsid w:val="000449BE"/>
  </w:style>
  <w:style w:type="paragraph" w:customStyle="1" w:styleId="NumberedBulletL3">
    <w:name w:val="Numbered Bullet: L3_"/>
    <w:basedOn w:val="NumberedBulletL2"/>
    <w:qFormat/>
    <w:rsid w:val="001C6E9B"/>
    <w:pPr>
      <w:ind w:left="1474" w:hanging="227"/>
    </w:pPr>
  </w:style>
  <w:style w:type="paragraph" w:customStyle="1" w:styleId="DataClassification">
    <w:name w:val="Data Classification_"/>
    <w:basedOn w:val="Normal"/>
    <w:qFormat/>
    <w:rsid w:val="00085C32"/>
    <w:pPr>
      <w:jc w:val="center"/>
    </w:pPr>
    <w:rPr>
      <w:rFonts w:cs="Times New Roman (Body CS)"/>
      <w:caps/>
      <w:sz w:val="14"/>
      <w:szCs w:val="14"/>
    </w:rPr>
  </w:style>
  <w:style w:type="paragraph" w:customStyle="1" w:styleId="Headerunderline">
    <w:name w:val="Header underline_"/>
    <w:basedOn w:val="Header"/>
    <w:qFormat/>
    <w:rsid w:val="00EF2EC5"/>
    <w:pPr>
      <w:pBdr>
        <w:bottom w:val="single" w:sz="2" w:space="2" w:color="000000" w:themeColor="dark1"/>
      </w:pBdr>
    </w:pPr>
  </w:style>
  <w:style w:type="paragraph" w:customStyle="1" w:styleId="NumberedCaption">
    <w:name w:val="Numbered Caption_"/>
    <w:basedOn w:val="Caption0"/>
    <w:qFormat/>
    <w:rsid w:val="009A7562"/>
    <w:pPr>
      <w:ind w:left="851"/>
    </w:pPr>
  </w:style>
  <w:style w:type="paragraph" w:customStyle="1" w:styleId="Documentcontroltext">
    <w:name w:val="Document control text_"/>
    <w:basedOn w:val="Normal"/>
    <w:qFormat/>
    <w:rsid w:val="00890B4D"/>
    <w:rPr>
      <w:sz w:val="16"/>
      <w:szCs w:val="16"/>
    </w:rPr>
  </w:style>
  <w:style w:type="paragraph" w:customStyle="1" w:styleId="Instructions">
    <w:name w:val="Instructions"/>
    <w:basedOn w:val="Normal"/>
    <w:qFormat/>
    <w:rsid w:val="00822FEE"/>
    <w:pPr>
      <w:spacing w:after="120" w:line="280" w:lineRule="atLeast"/>
    </w:pPr>
    <w:rPr>
      <w:rFonts w:ascii="Arial" w:eastAsia="Times New Roman" w:hAnsi="Arial" w:cs="Arial"/>
      <w:i/>
      <w:color w:val="0064D8" w:themeColor="accent1" w:themeTint="BF"/>
      <w:sz w:val="18"/>
      <w:szCs w:val="20"/>
      <w:lang w:eastAsia="en-AU"/>
    </w:rPr>
  </w:style>
  <w:style w:type="paragraph" w:styleId="Subtitle">
    <w:name w:val="Subtitle"/>
    <w:basedOn w:val="Normal"/>
    <w:next w:val="Normal"/>
    <w:link w:val="SubtitleChar"/>
    <w:autoRedefine/>
    <w:uiPriority w:val="11"/>
    <w:qFormat/>
    <w:rsid w:val="004D6E31"/>
    <w:pPr>
      <w:widowControl w:val="0"/>
      <w:shd w:val="clear" w:color="auto" w:fill="AE002F" w:themeFill="background2"/>
      <w:spacing w:before="960" w:after="160"/>
      <w:ind w:right="7796"/>
      <w:jc w:val="center"/>
    </w:pPr>
    <w:rPr>
      <w:rFonts w:ascii="Arial Bold" w:eastAsiaTheme="minorEastAsia" w:hAnsi="Arial Bold"/>
      <w:b/>
      <w:caps/>
      <w:spacing w:val="15"/>
      <w:sz w:val="22"/>
      <w:szCs w:val="22"/>
      <w:lang w:val="en-AU"/>
    </w:rPr>
  </w:style>
  <w:style w:type="paragraph" w:customStyle="1" w:styleId="TableContents">
    <w:name w:val="Table Contents"/>
    <w:basedOn w:val="Normal"/>
    <w:qFormat/>
  </w:style>
  <w:style w:type="paragraph" w:customStyle="1" w:styleId="TableHeading">
    <w:name w:val="Table Heading"/>
    <w:basedOn w:val="Normal"/>
    <w:link w:val="TableHeadingChar"/>
    <w:autoRedefine/>
    <w:qFormat/>
    <w:rsid w:val="00A63228"/>
    <w:pPr>
      <w:spacing w:line="240" w:lineRule="atLeast"/>
    </w:pPr>
    <w:rPr>
      <w:rFonts w:ascii="Arial Bold" w:hAnsi="Arial Bold"/>
      <w:bCs/>
      <w:sz w:val="18"/>
      <w:szCs w:val="22"/>
      <w:lang w:val="en-AU"/>
    </w:rPr>
  </w:style>
  <w:style w:type="paragraph" w:customStyle="1" w:styleId="TableText">
    <w:name w:val="Table Text"/>
    <w:basedOn w:val="Normal"/>
    <w:link w:val="TableTextChar"/>
    <w:autoRedefine/>
    <w:qFormat/>
    <w:rsid w:val="009171AE"/>
    <w:pPr>
      <w:numPr>
        <w:numId w:val="4"/>
      </w:numPr>
      <w:spacing w:line="240" w:lineRule="atLeast"/>
    </w:pPr>
    <w:rPr>
      <w:rFonts w:ascii="Arial" w:hAnsi="Arial"/>
      <w:sz w:val="18"/>
      <w:szCs w:val="22"/>
      <w:lang w:val="en-AU" w:eastAsia="en-AU"/>
    </w:rPr>
  </w:style>
  <w:style w:type="paragraph" w:styleId="CommentText">
    <w:name w:val="annotation text"/>
    <w:basedOn w:val="Normal"/>
    <w:link w:val="CommentTextChar"/>
    <w:uiPriority w:val="99"/>
    <w:unhideWhenUsed/>
    <w:rsid w:val="000B368B"/>
    <w:pPr>
      <w:spacing w:before="120" w:after="120"/>
      <w:ind w:left="357"/>
    </w:pPr>
    <w:rPr>
      <w:rFonts w:ascii="Arial" w:hAnsi="Arial" w:cs="Arial"/>
      <w:szCs w:val="20"/>
      <w:lang w:val="en-AU"/>
    </w:rPr>
  </w:style>
  <w:style w:type="paragraph" w:styleId="Revision">
    <w:name w:val="Revision"/>
    <w:uiPriority w:val="99"/>
    <w:semiHidden/>
    <w:qFormat/>
    <w:rsid w:val="000C3DA1"/>
    <w:rPr>
      <w:sz w:val="20"/>
    </w:rPr>
  </w:style>
  <w:style w:type="paragraph" w:styleId="CommentSubject">
    <w:name w:val="annotation subject"/>
    <w:basedOn w:val="CommentText"/>
    <w:next w:val="CommentText"/>
    <w:link w:val="CommentSubjectChar"/>
    <w:uiPriority w:val="99"/>
    <w:semiHidden/>
    <w:unhideWhenUsed/>
    <w:qFormat/>
    <w:rsid w:val="00E374A8"/>
    <w:pPr>
      <w:spacing w:before="0" w:after="0"/>
      <w:ind w:left="0"/>
    </w:pPr>
    <w:rPr>
      <w:rFonts w:asciiTheme="minorHAnsi" w:hAnsiTheme="minorHAnsi" w:cstheme="minorBidi"/>
      <w:b/>
      <w:bCs/>
      <w:lang w:val="en-GB"/>
    </w:rPr>
  </w:style>
  <w:style w:type="paragraph" w:customStyle="1" w:styleId="AutomatedProjectName">
    <w:name w:val="Automated Project Name"/>
    <w:basedOn w:val="Normal"/>
    <w:link w:val="AutomatedProjectNameChar"/>
    <w:qFormat/>
    <w:rsid w:val="008B5BDD"/>
    <w:rPr>
      <w:sz w:val="28"/>
      <w:szCs w:val="28"/>
    </w:rPr>
  </w:style>
  <w:style w:type="paragraph" w:customStyle="1" w:styleId="FrameContents">
    <w:name w:val="Frame Contents"/>
    <w:basedOn w:val="Normal"/>
    <w:qFormat/>
  </w:style>
  <w:style w:type="paragraph" w:customStyle="1" w:styleId="HeaderLeft">
    <w:name w:val="Header Left"/>
    <w:basedOn w:val="Header"/>
    <w:qFormat/>
  </w:style>
  <w:style w:type="numbering" w:customStyle="1" w:styleId="Bulletandendash">
    <w:name w:val="Bullet and en dash_"/>
    <w:uiPriority w:val="99"/>
    <w:qFormat/>
    <w:rsid w:val="007E596C"/>
  </w:style>
  <w:style w:type="numbering" w:customStyle="1" w:styleId="CurrentList1">
    <w:name w:val="Current List1"/>
    <w:uiPriority w:val="99"/>
    <w:qFormat/>
    <w:rsid w:val="00347A8C"/>
  </w:style>
  <w:style w:type="numbering" w:customStyle="1" w:styleId="CurrentList2">
    <w:name w:val="Current List2"/>
    <w:uiPriority w:val="99"/>
    <w:qFormat/>
    <w:rsid w:val="003821F7"/>
  </w:style>
  <w:style w:type="table" w:customStyle="1" w:styleId="Holdingtable">
    <w:name w:val="Holding table_"/>
    <w:basedOn w:val="TableNormal"/>
    <w:uiPriority w:val="99"/>
    <w:rsid w:val="00D219B1"/>
    <w:rPr>
      <w:sz w:val="20"/>
    </w:rPr>
    <w:tblPr/>
    <w:tcPr>
      <w:tcMar>
        <w:left w:w="0" w:type="dxa"/>
        <w:right w:w="0" w:type="dxa"/>
      </w:tcMar>
    </w:tcPr>
  </w:style>
  <w:style w:type="table" w:styleId="TableGrid">
    <w:name w:val="Table Grid"/>
    <w:basedOn w:val="TableNormal"/>
    <w:rsid w:val="007319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Option1">
    <w:name w:val="Table: Option 1_"/>
    <w:basedOn w:val="TableNormal"/>
    <w:uiPriority w:val="99"/>
    <w:rsid w:val="00C45E8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tcMar>
        <w:top w:w="57" w:type="dxa"/>
        <w:bottom w:w="57" w:type="dxa"/>
      </w:tcMar>
    </w:tcPr>
  </w:style>
  <w:style w:type="table" w:customStyle="1" w:styleId="TableOption2">
    <w:name w:val="Table: Option 2_"/>
    <w:basedOn w:val="TableNormal"/>
    <w:uiPriority w:val="99"/>
    <w:rsid w:val="00583A22"/>
    <w:tblPr>
      <w:tblBorders>
        <w:top w:val="single" w:sz="4" w:space="0" w:color="000000" w:themeColor="text1"/>
        <w:bottom w:val="single" w:sz="4" w:space="0" w:color="000000" w:themeColor="text1"/>
        <w:insideH w:val="single" w:sz="4" w:space="0" w:color="000000" w:themeColor="text1"/>
      </w:tblBorders>
    </w:tblPr>
    <w:tcPr>
      <w:tcMar>
        <w:top w:w="57" w:type="dxa"/>
        <w:bottom w:w="57" w:type="dxa"/>
      </w:tcMar>
    </w:tcPr>
  </w:style>
  <w:style w:type="table" w:styleId="ListTable3-Accent3">
    <w:name w:val="List Table 3 Accent 3"/>
    <w:basedOn w:val="TableNormal"/>
    <w:uiPriority w:val="48"/>
    <w:rsid w:val="00BA2C35"/>
    <w:rPr>
      <w:sz w:val="22"/>
      <w:szCs w:val="22"/>
    </w:rPr>
    <w:tblPr>
      <w:tblStyleRowBandSize w:val="1"/>
      <w:tblStyleColBandSize w:val="1"/>
      <w:tblBorders>
        <w:top w:val="single" w:sz="4" w:space="0" w:color="01593C" w:themeColor="accent3"/>
        <w:left w:val="single" w:sz="4" w:space="0" w:color="01593C" w:themeColor="accent3"/>
        <w:bottom w:val="single" w:sz="4" w:space="0" w:color="01593C" w:themeColor="accent3"/>
        <w:right w:val="single" w:sz="4" w:space="0" w:color="01593C" w:themeColor="accent3"/>
      </w:tblBorders>
    </w:tblPr>
    <w:tblStylePr w:type="firstRow">
      <w:rPr>
        <w:b/>
        <w:bCs/>
        <w:color w:val="FFFFFF" w:themeColor="background1"/>
      </w:rPr>
      <w:tblPr/>
      <w:tcPr>
        <w:shd w:val="clear" w:color="auto" w:fill="01593C" w:themeFill="accent3"/>
      </w:tcPr>
    </w:tblStylePr>
    <w:tblStylePr w:type="lastRow">
      <w:rPr>
        <w:b/>
        <w:bCs/>
      </w:rPr>
      <w:tblPr/>
      <w:tcPr>
        <w:tcBorders>
          <w:top w:val="double" w:sz="4" w:space="0" w:color="01593C"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1593C" w:themeColor="accent3"/>
          <w:right w:val="single" w:sz="4" w:space="0" w:color="01593C" w:themeColor="accent3"/>
        </w:tcBorders>
      </w:tcPr>
    </w:tblStylePr>
    <w:tblStylePr w:type="band1Horz">
      <w:tblPr/>
      <w:tcPr>
        <w:tcBorders>
          <w:top w:val="single" w:sz="4" w:space="0" w:color="01593C" w:themeColor="accent3"/>
          <w:bottom w:val="single" w:sz="4" w:space="0" w:color="01593C"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1593C" w:themeColor="accent3"/>
          <w:left w:val="nil"/>
        </w:tcBorders>
      </w:tcPr>
    </w:tblStylePr>
    <w:tblStylePr w:type="swCell">
      <w:tblPr/>
      <w:tcPr>
        <w:tcBorders>
          <w:top w:val="double" w:sz="4" w:space="0" w:color="01593C" w:themeColor="accent3"/>
          <w:right w:val="nil"/>
        </w:tcBorders>
      </w:tcPr>
    </w:tblStylePr>
  </w:style>
  <w:style w:type="paragraph" w:customStyle="1" w:styleId="HeaderRight">
    <w:name w:val="Header Right"/>
    <w:basedOn w:val="Normal"/>
    <w:rsid w:val="00A31AE7"/>
    <w:pPr>
      <w:suppressAutoHyphens w:val="0"/>
      <w:spacing w:before="240"/>
      <w:jc w:val="right"/>
    </w:pPr>
    <w:rPr>
      <w:rFonts w:ascii="Arial" w:eastAsia="Times New Roman" w:hAnsi="Arial" w:cs="Times New Roman"/>
      <w:sz w:val="28"/>
      <w:szCs w:val="20"/>
    </w:rPr>
  </w:style>
  <w:style w:type="paragraph" w:customStyle="1" w:styleId="FrontCoverSubheading0">
    <w:name w:val="Front Cover Subheading"/>
    <w:basedOn w:val="Normal"/>
    <w:qFormat/>
    <w:rsid w:val="003C2B09"/>
    <w:pPr>
      <w:suppressAutoHyphens w:val="0"/>
      <w:spacing w:before="120" w:after="360"/>
    </w:pPr>
    <w:rPr>
      <w:rFonts w:ascii="Arial" w:eastAsia="Times New Roman" w:hAnsi="Arial" w:cs="Times New Roman"/>
      <w:color w:val="404040" w:themeColor="text1" w:themeTint="BF"/>
      <w:sz w:val="40"/>
      <w:szCs w:val="32"/>
      <w:lang w:val="en-AU" w:bidi="en-US"/>
    </w:rPr>
  </w:style>
  <w:style w:type="paragraph" w:customStyle="1" w:styleId="FrontCoverHeading0">
    <w:name w:val="Front Cover Heading"/>
    <w:basedOn w:val="Normal"/>
    <w:next w:val="Normal"/>
    <w:qFormat/>
    <w:rsid w:val="003C2B09"/>
    <w:pPr>
      <w:tabs>
        <w:tab w:val="right" w:pos="9639"/>
      </w:tabs>
      <w:suppressAutoHyphens w:val="0"/>
      <w:spacing w:before="960"/>
    </w:pPr>
    <w:rPr>
      <w:rFonts w:ascii="Arial" w:eastAsia="Times New Roman" w:hAnsi="Arial" w:cs="Times New Roman"/>
      <w:b/>
      <w:bCs/>
      <w:color w:val="404040" w:themeColor="text1" w:themeTint="BF"/>
      <w:sz w:val="56"/>
      <w:szCs w:val="56"/>
      <w:lang w:val="en-AU" w:eastAsia="en-AU" w:bidi="en-US"/>
    </w:rPr>
  </w:style>
  <w:style w:type="numbering" w:customStyle="1" w:styleId="Headings">
    <w:name w:val="Headings"/>
    <w:uiPriority w:val="99"/>
    <w:rsid w:val="003C2B09"/>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RioTintoMSWordFeb2023">
  <a:themeElements>
    <a:clrScheme name="Custom 5">
      <a:dk1>
        <a:srgbClr val="000000"/>
      </a:dk1>
      <a:lt1>
        <a:srgbClr val="FFFFFF"/>
      </a:lt1>
      <a:dk2>
        <a:srgbClr val="CA2320"/>
      </a:dk2>
      <a:lt2>
        <a:srgbClr val="AE002F"/>
      </a:lt2>
      <a:accent1>
        <a:srgbClr val="003776"/>
      </a:accent1>
      <a:accent2>
        <a:srgbClr val="0059D1"/>
      </a:accent2>
      <a:accent3>
        <a:srgbClr val="01593C"/>
      </a:accent3>
      <a:accent4>
        <a:srgbClr val="007461"/>
      </a:accent4>
      <a:accent5>
        <a:srgbClr val="B5B8C0"/>
      </a:accent5>
      <a:accent6>
        <a:srgbClr val="5D6C7C"/>
      </a:accent6>
      <a:hlink>
        <a:srgbClr val="000000"/>
      </a:hlink>
      <a:folHlink>
        <a:srgbClr val="CA2320"/>
      </a:folHlink>
    </a:clrScheme>
    <a:fontScheme name="Arial">
      <a:majorFont>
        <a:latin typeface="Arial" panose="020B0604020202020204"/>
        <a:ea typeface=""/>
        <a:cs typeface=""/>
      </a:majorFont>
      <a:minorFont>
        <a:latin typeface="Arial" panose="020B06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5e197f2-df1a-4275-af0d-2d425d2305ac">
      <Terms xmlns="http://schemas.microsoft.com/office/infopath/2007/PartnerControls"/>
    </lcf76f155ced4ddcb4097134ff3c332f>
    <TaxCatchAll xmlns="3f8b23f9-ca21-47be-b3e2-2641c8058dd1" xsi:nil="true"/>
    <ApprovalCompleted xmlns="65e197f2-df1a-4275-af0d-2d425d2305ac" xsi:nil="true"/>
    <IssuedForUse xmlns="65e197f2-df1a-4275-af0d-2d425d2305ac" xsi:nil="true"/>
    <ReviewStatus xmlns="65e197f2-df1a-4275-af0d-2d425d2305ac">Not Started</ReviewStatus>
    <UpdateNotes xmlns="65e197f2-df1a-4275-af0d-2d425d2305ac" xsi:nil="true"/>
    <DocumentType xmlns="65e197f2-df1a-4275-af0d-2d425d2305ac" xsi:nil="true"/>
    <ReviewCompleted xmlns="65e197f2-df1a-4275-af0d-2d425d2305ac" xsi:nil="true"/>
    <WorkScopeCategory xmlns="65e197f2-df1a-4275-af0d-2d425d2305a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8957747BE8EC348A2D657B974A8D1F0" ma:contentTypeVersion="20" ma:contentTypeDescription="Create a new document." ma:contentTypeScope="" ma:versionID="612ab7ca577f1aff0f37e3112c079435">
  <xsd:schema xmlns:xsd="http://www.w3.org/2001/XMLSchema" xmlns:xs="http://www.w3.org/2001/XMLSchema" xmlns:p="http://schemas.microsoft.com/office/2006/metadata/properties" xmlns:ns2="65e197f2-df1a-4275-af0d-2d425d2305ac" xmlns:ns3="3f8b23f9-ca21-47be-b3e2-2641c8058dd1" targetNamespace="http://schemas.microsoft.com/office/2006/metadata/properties" ma:root="true" ma:fieldsID="583ff3aa54861f6fe227510cdf6252f8" ns2:_="" ns3:_="">
    <xsd:import namespace="65e197f2-df1a-4275-af0d-2d425d2305ac"/>
    <xsd:import namespace="3f8b23f9-ca21-47be-b3e2-2641c8058d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ReviewStatus" minOccurs="0"/>
                <xsd:element ref="ns2:UpdateNotes" minOccurs="0"/>
                <xsd:element ref="ns2:ReviewCompleted" minOccurs="0"/>
                <xsd:element ref="ns2:ApprovalCompleted" minOccurs="0"/>
                <xsd:element ref="ns2:IssuedForUse" minOccurs="0"/>
                <xsd:element ref="ns2:WorkScopeCategory" minOccurs="0"/>
                <xsd:element ref="ns2:MediaServiceLocation" minOccurs="0"/>
                <xsd:element ref="ns2:MediaLengthInSeconds" minOccurs="0"/>
                <xsd:element ref="ns2:Document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e197f2-df1a-4275-af0d-2d425d2305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8eee30a-abdd-4ed4-9221-278e5f3103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ReviewStatus" ma:index="19" nillable="true" ma:displayName="Review Status" ma:default="Not Started" ma:format="Dropdown" ma:internalName="ReviewStatus">
      <xsd:simpleType>
        <xsd:restriction base="dms:Choice">
          <xsd:enumeration value="Not Started"/>
          <xsd:enumeration value="In Progress"/>
          <xsd:enumeration value="Delayed"/>
          <xsd:enumeration value="Pending Input"/>
          <xsd:enumeration value="Pending Review/ Approval"/>
          <xsd:enumeration value="Void"/>
          <xsd:enumeration value="Completed"/>
          <xsd:enumeration value="Issued For Use"/>
          <xsd:enumeration value="Information Only"/>
        </xsd:restriction>
      </xsd:simpleType>
    </xsd:element>
    <xsd:element name="UpdateNotes" ma:index="20" nillable="true" ma:displayName="Update Notes" ma:format="Dropdown" ma:internalName="UpdateNotes">
      <xsd:simpleType>
        <xsd:restriction base="dms:Note">
          <xsd:maxLength value="255"/>
        </xsd:restriction>
      </xsd:simpleType>
    </xsd:element>
    <xsd:element name="ReviewCompleted" ma:index="21" nillable="true" ma:displayName="Review Completed" ma:format="DateOnly" ma:internalName="ReviewCompleted">
      <xsd:simpleType>
        <xsd:restriction base="dms:DateTime"/>
      </xsd:simpleType>
    </xsd:element>
    <xsd:element name="ApprovalCompleted" ma:index="22" nillable="true" ma:displayName="Approval Completed" ma:format="DateOnly" ma:internalName="ApprovalCompleted">
      <xsd:simpleType>
        <xsd:restriction base="dms:DateTime"/>
      </xsd:simpleType>
    </xsd:element>
    <xsd:element name="IssuedForUse" ma:index="23" nillable="true" ma:displayName="Issued For Use" ma:format="DateOnly" ma:internalName="IssuedForUse">
      <xsd:simpleType>
        <xsd:restriction base="dms:DateTime"/>
      </xsd:simpleType>
    </xsd:element>
    <xsd:element name="WorkScopeCategory" ma:index="24" nillable="true" ma:displayName="Work Scope Category" ma:format="Dropdown" ma:internalName="WorkScopeCategory">
      <xsd:simpleType>
        <xsd:restriction base="dms:Choice">
          <xsd:enumeration value="Appendix C Refresh"/>
          <xsd:enumeration value="Critical Requirements"/>
          <xsd:enumeration value="PM+ Supporting Document Update"/>
          <xsd:enumeration value="HSSEC Stewardship (Non-Managed)"/>
          <xsd:enumeration value="HSSECMS Development"/>
          <xsd:enumeration value="No Action Required"/>
        </xsd:restriction>
      </xsd:simpleType>
    </xsd:element>
    <xsd:element name="MediaServiceLocation" ma:index="25" nillable="true" ma:displayName="Location" ma:indexed="true" ma:internalName="MediaServiceLocation" ma:readOnly="true">
      <xsd:simpleType>
        <xsd:restriction base="dms:Text"/>
      </xsd:simpleType>
    </xsd:element>
    <xsd:element name="MediaLengthInSeconds" ma:index="26" nillable="true" ma:displayName="MediaLengthInSeconds" ma:hidden="true" ma:internalName="MediaLengthInSeconds" ma:readOnly="true">
      <xsd:simpleType>
        <xsd:restriction base="dms:Unknown"/>
      </xsd:simpleType>
    </xsd:element>
    <xsd:element name="DocumentType" ma:index="27" nillable="true" ma:displayName="Document Type" ma:format="Dropdown" ma:internalName="DocumentType">
      <xsd:simpleType>
        <xsd:restriction base="dms:Choice">
          <xsd:enumeration value="Procedure"/>
          <xsd:enumeration value="Guidance/ Management Plan"/>
          <xsd:enumeration value="Registers"/>
          <xsd:enumeration value="Forms/ Templates"/>
        </xsd:restriction>
      </xsd:simpleType>
    </xsd:element>
  </xsd:schema>
  <xsd:schema xmlns:xsd="http://www.w3.org/2001/XMLSchema" xmlns:xs="http://www.w3.org/2001/XMLSchema" xmlns:dms="http://schemas.microsoft.com/office/2006/documentManagement/types" xmlns:pc="http://schemas.microsoft.com/office/infopath/2007/PartnerControls" targetNamespace="3f8b23f9-ca21-47be-b3e2-2641c8058dd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4a3a3c5-8bfa-431a-a526-0901b8485d2f}" ma:internalName="TaxCatchAll" ma:showField="CatchAllData" ma:web="3f8b23f9-ca21-47be-b3e2-2641c8058d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2D9E33-4E07-413F-8EE7-94DAF9FB6A95}">
  <ds:schemaRefs>
    <ds:schemaRef ds:uri="http://schemas.microsoft.com/office/2006/metadata/properties"/>
    <ds:schemaRef ds:uri="http://schemas.microsoft.com/office/infopath/2007/PartnerControls"/>
    <ds:schemaRef ds:uri="65e197f2-df1a-4275-af0d-2d425d2305ac"/>
    <ds:schemaRef ds:uri="3f8b23f9-ca21-47be-b3e2-2641c8058dd1"/>
  </ds:schemaRefs>
</ds:datastoreItem>
</file>

<file path=customXml/itemProps2.xml><?xml version="1.0" encoding="utf-8"?>
<ds:datastoreItem xmlns:ds="http://schemas.openxmlformats.org/officeDocument/2006/customXml" ds:itemID="{CCA599EC-14D5-4590-832F-AEA5432186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e197f2-df1a-4275-af0d-2d425d2305ac"/>
    <ds:schemaRef ds:uri="3f8b23f9-ca21-47be-b3e2-2641c8058d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478EB8-DA8F-46D0-9691-BB91349D1352}">
  <ds:schemaRefs>
    <ds:schemaRef ds:uri="http://schemas.microsoft.com/sharepoint/v3/contenttype/forms"/>
  </ds:schemaRefs>
</ds:datastoreItem>
</file>

<file path=customXml/itemProps4.xml><?xml version="1.0" encoding="utf-8"?>
<ds:datastoreItem xmlns:ds="http://schemas.openxmlformats.org/officeDocument/2006/customXml" ds:itemID="{7319BAC4-4476-4951-9EC7-615C0F36B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89</Words>
  <Characters>518</Characters>
  <Application>Microsoft Office Word</Application>
  <DocSecurity>0</DocSecurity>
  <Lines>76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Ashleigh Phillips</dc:creator>
  <cp:lastModifiedBy>Ashleigh Phillips</cp:lastModifiedBy>
  <cp:revision>4</cp:revision>
  <dcterms:created xsi:type="dcterms:W3CDTF">2026-06-16T05:02:00Z</dcterms:created>
  <dcterms:modified xsi:type="dcterms:W3CDTF">2026-06-22T10:24:00Z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2025-11-28T01:34:00Z</dcterms:created>
  <dc:creator>De Roo, Justin (STP)</dc:creator>
  <dc:description/>
  <dc:language>en-US</dc:language>
  <cp:lastModifiedBy>Ashleigh Phillips</cp:lastModifiedBy>
  <cp:lastPrinted>2026-02-09T07:22:00Z</cp:lastPrinted>
  <dcterms:modified xsi:type="dcterms:W3CDTF">2026-05-04T04:36:00Z</dcterms:modified>
  <cp:revision>59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0x01010098957747BE8EC348A2D657B974A8D1F0</vt:lpwstr>
  </property>
  <property fmtid="{D5CDD505-2E9C-101B-9397-08002B2CF9AE}" pid="3" name="Doc Type">
    <vt:lpwstr>23;#Template|c9df5e63-6677-4a8a-bf18-582bdefa876e</vt:lpwstr>
  </property>
  <property fmtid="{D5CDD505-2E9C-101B-9397-08002B2CF9AE}" pid="4" name="Doc_x0020_Type">
    <vt:lpwstr>23;#Template|c9df5e63-6677-4a8a-bf18-582bdefa876e</vt:lpwstr>
  </property>
  <property fmtid="{D5CDD505-2E9C-101B-9397-08002B2CF9AE}" pid="5" name="Function Group">
    <vt:lpwstr/>
  </property>
  <property fmtid="{D5CDD505-2E9C-101B-9397-08002B2CF9AE}" pid="6" name="Function_x0020_Group">
    <vt:lpwstr/>
  </property>
  <property fmtid="{D5CDD505-2E9C-101B-9397-08002B2CF9AE}" pid="7" name="GrammarlyDocumentId">
    <vt:lpwstr>fe4ffe3e-119a-4f91-9429-2d1e97004826</vt:lpwstr>
  </property>
  <property fmtid="{D5CDD505-2E9C-101B-9397-08002B2CF9AE}" pid="8" name="MediaServiceImageTags">
    <vt:lpwstr/>
  </property>
  <property fmtid="{D5CDD505-2E9C-101B-9397-08002B2CF9AE}" pid="9" name="Project Phases">
    <vt:lpwstr/>
  </property>
  <property fmtid="{D5CDD505-2E9C-101B-9397-08002B2CF9AE}" pid="10" name="Project_x0020_Phases">
    <vt:lpwstr/>
  </property>
</Properties>
</file>