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Business Resilience and Recovery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Business Resilience and Recovery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emergency preparedness and response, business resilience, and business continuity for the owner-led project - covering all credible emergency scenarios involving project personnel, the community, the environment, property, or the project's licence to operate. The project Emergency Response Plan (ERP) is distinct from the RT Corporate Business Resilience and Recovery Programme (BRRP), with a defined and clear interface between the two.</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business resilience and recovery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business resilience domains within scope, and the framework that governs emergency response and recovery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emergency response planning and business resilience.</w:t>
      </w:r>
    </w:p>
    <w:p>
      <w:pPr>
        <w:pStyle w:val="NormalNumberedtext"/>
      </w:pPr>
      <w:r>
        <w:t>This procedure meets the following purpose requirements:</w:t>
      </w:r>
    </w:p>
    <w:p>
      <w:pPr>
        <w:pStyle w:val="NormalNumberedtext"/>
      </w:pPr>
      <w:r>
        <w:t>This procedure establishes the requirements for:</w:t>
      </w:r>
    </w:p>
    <w:p>
      <w:pPr>
        <w:pStyle w:val="NumberedBulletL1"/>
      </w:pPr>
      <w:r>
        <w:t>Developing and maintaining the project Emergency Response Plan (ERP) and Medical Emergency Plan (MEP) based on a structured risk assessment workshop process.</w:t>
      </w:r>
    </w:p>
    <w:p>
      <w:pPr>
        <w:pStyle w:val="NumberedBulletL1"/>
      </w:pPr>
      <w:r>
        <w:t>Defining the composition, activation criteria, and escalation process of the site Business Resilience Team (BRT).</w:t>
      </w:r>
    </w:p>
    <w:p>
      <w:pPr>
        <w:pStyle w:val="NumberedBulletL1"/>
      </w:pPr>
      <w:r>
        <w:t>Scheduling and conducting emergency drills and incorporating lessons learned into the ERP.</w:t>
      </w:r>
    </w:p>
    <w:p>
      <w:pPr>
        <w:pStyle w:val="NumberedBulletL1"/>
      </w:pPr>
      <w:r>
        <w:t>Ensuring that community consultation, environmental protection, and communication requirements are integrated into emergency planning.</w:t>
      </w:r>
    </w:p>
    <w:p>
      <w:pPr>
        <w:pStyle w:val="NumberedBulletL1"/>
      </w:pPr>
      <w:r>
        <w:t>Operating within the framework established by the Rio Tinto Corporate Business Resilience and Recovery Programme (BRRP).</w:t>
      </w:r>
    </w:p>
    <w:p>
      <w:pPr>
        <w:pStyle w:val="NormalNumberedtext"/>
      </w:pPr>
      <w:r>
        <w:t>This procedure governs the activities of all Rio Tinto project personnel and all contractor organisations working on the project. Incidents escalating to an emergency are managed in accordance with this procedure; the initial incident response and reporting requirements are governed by the Incident Management Procedure, refer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business resilience activities are governed by this document and how it connects to other project management systems.</w:t>
      </w:r>
    </w:p>
    <w:p>
      <w:pPr>
        <w:pStyle w:val="NormalNumberedtext"/>
      </w:pPr>
      <w:r>
        <w:t>This procedure applies the following scope requirements:</w:t>
      </w:r>
    </w:p>
    <w:p>
      <w:pPr>
        <w:pStyle w:val="NormalNumberedtext"/>
      </w:pPr>
      <w:r>
        <w:t>This procedure governs:</w:t>
      </w:r>
    </w:p>
    <w:p>
      <w:pPr>
        <w:pStyle w:val="NumberedBulletL1"/>
      </w:pPr>
      <w:r>
        <w:t>The emergency response risk assessment workshop process, including its environmental component and community input requirements.</w:t>
      </w:r>
    </w:p>
    <w:p>
      <w:pPr>
        <w:pStyle w:val="NumberedBulletL1"/>
      </w:pPr>
      <w:r>
        <w:t>The development, content, maintenance, and testing of the project ERP and MEP.</w:t>
      </w:r>
    </w:p>
    <w:p>
      <w:pPr>
        <w:pStyle w:val="NumberedBulletL1"/>
      </w:pPr>
      <w:r>
        <w:t>The composition and activation of the site BRT and its escalation to the RT Product Group or Functional Group BRT.</w:t>
      </w:r>
    </w:p>
    <w:p>
      <w:pPr>
        <w:pStyle w:val="NumberedBulletL1"/>
      </w:pPr>
      <w:r>
        <w:t>The emergency drill programme, including frequency, scenario coverage, and lessons learned integration.</w:t>
      </w:r>
    </w:p>
    <w:p>
      <w:pPr>
        <w:pStyle w:val="NumberedBulletL1"/>
      </w:pPr>
      <w:r>
        <w:t>Community consultation and communications requirements for emergency planning.</w:t>
      </w:r>
    </w:p>
    <w:p>
      <w:pPr>
        <w:pStyle w:val="NormalNumberedtext"/>
      </w:pPr>
      <w:r>
        <w:t>Updates to the ERP or MEP triggered by drill outcomes, incidents, design changes, or scope changes are processed through the Management of Change procedure, refer [INSERT: Project Document Number]. Risk assessment methodology applied in the emergency response risk assessment workshop is governed by the Risk Management Procedure, refer [INSERT: Project Document Number].</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business resilience and emergency response responsibilities for all project roles, covering the Rio Tinto project team and all contractor organisations.</w:t>
      </w:r>
    </w:p>
    <w:p>
      <w:pPr>
        <w:pStyle w:val="NormalNumberedtext"/>
      </w:pPr>
      <w:r>
        <w:t>Responsibilities are assigned to specific roles and are not transferable without a documented delegation. Fitness requirements for Emergency Response Team (ERT) members are governed by the Fitness for Work Procedure, refer [INSERT: Project Document Number]. ERT training requirements and training records are governed by the Training Procedure, refer [INSERT: Project Document Number], and documented in training register [INSERT: Project Document Number].</w:t>
      </w:r>
    </w:p>
    <w:p>
      <w:pPr>
        <w:pStyle w:val="NormalNumberedtext"/>
      </w:pPr>
      <w:r>
        <w:t>Table 1: Business Resilience and Emergency Response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Director</w:t>
            </w:r>
          </w:p>
        </w:tc>
        <w:tc>
          <w:tcPr>
            <w:tcW w:type="dxa" w:w="4889"/>
          </w:tcPr>
          <w:p>
            <w:pPr>
              <w:pStyle w:val="TableContents"/>
              <w:spacing w:before="0" w:after="0" w:line="240" w:lineRule="atLeast"/>
            </w:pPr>
            <w:r>
              <w:rPr>
                <w:rFonts w:ascii="Arial" w:hAnsi="Arial" w:cs="Arial" w:eastAsia="Arial"/>
                <w:sz w:val="16"/>
                <w:szCs w:val="16"/>
              </w:rPr>
              <w:t>Approve the ERP, MEP, and BRT activation criteria. Authorise escalation to the RT Product Group or Functional Group BRT. Ensure community consultation obligations are met before ERP issue.</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Facilitate the emergency response risk assessment workshop. Develop and maintain the ERP and MEP. Manage the emergency drill schedule. Coordinate contractor ERP integration. Ensure the workshop report is completed within 90 days of the Effective Date.</w:t>
            </w:r>
          </w:p>
        </w:tc>
      </w:tr>
      <w:tr>
        <w:tc>
          <w:tcPr>
            <w:tcW w:type="dxa" w:w="4888"/>
          </w:tcPr>
          <w:p>
            <w:pPr>
              <w:pStyle w:val="TableContents"/>
              <w:spacing w:before="0" w:after="0" w:line="240" w:lineRule="atLeast"/>
            </w:pPr>
            <w:r>
              <w:rPr>
                <w:rFonts w:ascii="Arial" w:hAnsi="Arial" w:cs="Arial" w:eastAsia="Arial"/>
                <w:sz w:val="16"/>
                <w:szCs w:val="16"/>
              </w:rPr>
              <w:t>Site Manager</w:t>
            </w:r>
          </w:p>
        </w:tc>
        <w:tc>
          <w:tcPr>
            <w:tcW w:type="dxa" w:w="4889"/>
          </w:tcPr>
          <w:p>
            <w:pPr>
              <w:pStyle w:val="TableContents"/>
              <w:spacing w:before="0" w:after="0" w:line="240" w:lineRule="atLeast"/>
            </w:pPr>
            <w:r>
              <w:rPr>
                <w:rFonts w:ascii="Arial" w:hAnsi="Arial" w:cs="Arial" w:eastAsia="Arial"/>
                <w:sz w:val="16"/>
                <w:szCs w:val="16"/>
              </w:rPr>
              <w:t>Activate the site BRT when activation criteria are met. Chair the site BRT. Initiate escalation to the RT Product Group or Functional Group BRT when thresholds are exceeded.</w:t>
            </w:r>
          </w:p>
        </w:tc>
      </w:tr>
      <w:tr>
        <w:tc>
          <w:tcPr>
            <w:tcW w:type="dxa" w:w="4888"/>
          </w:tcPr>
          <w:p>
            <w:pPr>
              <w:pStyle w:val="TableContents"/>
              <w:spacing w:before="0" w:after="0" w:line="240" w:lineRule="atLeast"/>
            </w:pPr>
            <w:r>
              <w:rPr>
                <w:rFonts w:ascii="Arial" w:hAnsi="Arial" w:cs="Arial" w:eastAsia="Arial"/>
                <w:sz w:val="16"/>
                <w:szCs w:val="16"/>
              </w:rPr>
              <w:t>Emergency Response Team Leader</w:t>
            </w:r>
          </w:p>
        </w:tc>
        <w:tc>
          <w:tcPr>
            <w:tcW w:type="dxa" w:w="4889"/>
          </w:tcPr>
          <w:p>
            <w:pPr>
              <w:pStyle w:val="TableContents"/>
              <w:spacing w:before="0" w:after="0" w:line="240" w:lineRule="atLeast"/>
            </w:pPr>
            <w:r>
              <w:rPr>
                <w:rFonts w:ascii="Arial" w:hAnsi="Arial" w:cs="Arial" w:eastAsia="Arial"/>
                <w:sz w:val="16"/>
                <w:szCs w:val="16"/>
              </w:rPr>
              <w:t>Lead emergency response operations in accordance with the ERP. Coordinate with local emergency services and community response teams during an emergency.</w:t>
            </w:r>
          </w:p>
        </w:tc>
      </w:tr>
      <w:tr>
        <w:tc>
          <w:tcPr>
            <w:tcW w:type="dxa" w:w="4888"/>
          </w:tcPr>
          <w:p>
            <w:pPr>
              <w:pStyle w:val="TableContents"/>
              <w:spacing w:before="0" w:after="0" w:line="240" w:lineRule="atLeast"/>
            </w:pPr>
            <w:r>
              <w:rPr>
                <w:rFonts w:ascii="Arial" w:hAnsi="Arial" w:cs="Arial" w:eastAsia="Arial"/>
                <w:sz w:val="16"/>
                <w:szCs w:val="16"/>
              </w:rPr>
              <w:t>Medical Officer / First Aid Coordinator</w:t>
            </w:r>
          </w:p>
        </w:tc>
        <w:tc>
          <w:tcPr>
            <w:tcW w:type="dxa" w:w="4889"/>
          </w:tcPr>
          <w:p>
            <w:pPr>
              <w:pStyle w:val="TableContents"/>
              <w:spacing w:before="0" w:after="0" w:line="240" w:lineRule="atLeast"/>
            </w:pPr>
            <w:r>
              <w:rPr>
                <w:rFonts w:ascii="Arial" w:hAnsi="Arial" w:cs="Arial" w:eastAsia="Arial"/>
                <w:sz w:val="16"/>
                <w:szCs w:val="16"/>
              </w:rPr>
              <w:t>Develop and maintain the MEP. Maintain the controlled drug register. Ensure all medical equipment inspection schedules are current and inspection records are available for audit.</w:t>
            </w:r>
          </w:p>
        </w:tc>
      </w:tr>
      <w:tr>
        <w:tc>
          <w:tcPr>
            <w:tcW w:type="dxa" w:w="4888"/>
          </w:tcPr>
          <w:p>
            <w:pPr>
              <w:pStyle w:val="TableContents"/>
              <w:spacing w:before="0" w:after="0" w:line="240" w:lineRule="atLeast"/>
            </w:pPr>
            <w:r>
              <w:rPr>
                <w:rFonts w:ascii="Arial" w:hAnsi="Arial" w:cs="Arial" w:eastAsia="Arial"/>
                <w:sz w:val="16"/>
                <w:szCs w:val="16"/>
              </w:rPr>
              <w:t>Contractor HSE Representatives</w:t>
            </w:r>
          </w:p>
        </w:tc>
        <w:tc>
          <w:tcPr>
            <w:tcW w:type="dxa" w:w="4889"/>
          </w:tcPr>
          <w:p>
            <w:pPr>
              <w:pStyle w:val="TableContents"/>
              <w:spacing w:before="0" w:after="0" w:line="240" w:lineRule="atLeast"/>
            </w:pPr>
            <w:r>
              <w:rPr>
                <w:rFonts w:ascii="Arial" w:hAnsi="Arial" w:cs="Arial" w:eastAsia="Arial"/>
                <w:sz w:val="16"/>
                <w:szCs w:val="16"/>
              </w:rPr>
              <w:t xml:space="preserve">Ensure contractor ERPs are developed, maintained, and integrated with the project ERP. Participate in project emergency drills. Report all incidents and near misses per project requirements, refer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b/>
                <w:bCs/>
                <w:color w:val="0059D1"/>
                <w:sz w:val="16"/>
                <w:szCs w:val="16"/>
              </w:rPr>
              <w:t>[INSERT: project-specific role]</w:t>
            </w:r>
          </w:p>
        </w:tc>
        <w:tc>
          <w:tcPr>
            <w:tcW w:type="dxa" w:w="4889"/>
          </w:tcPr>
          <w:p>
            <w:pPr>
              <w:pStyle w:val="TableContents"/>
              <w:spacing w:before="0" w:after="0" w:line="240" w:lineRule="atLeast"/>
            </w:pPr>
            <w:r>
              <w:rPr>
                <w:rFonts w:ascii="Arial" w:hAnsi="Arial" w:cs="Arial" w:eastAsia="Arial"/>
                <w:b/>
                <w:bCs/>
                <w:color w:val="0059D1"/>
                <w:sz w:val="16"/>
                <w:szCs w:val="16"/>
              </w:rPr>
              <w:t>[INSERT: responsibility]</w:t>
            </w:r>
          </w:p>
        </w:tc>
      </w:tr>
    </w:tbl>
    <w:p>
      <w:pPr>
        <w:pStyle w:val="NormalNumberedtext"/>
      </w:pPr>
    </w:p>
    <w:p>
      <w:pPr>
        <w:pStyle w:val="Heading1Numbered"/>
        <w:numPr>
          <w:ilvl w:val="0"/>
          <w:numId w:val="1"/>
        </w:numPr>
      </w:pPr>
      <w:r>
        <w:rPr>
          <w:rFonts w:ascii="Arial" w:hAnsi="Arial" w:cs="Arial" w:eastAsia="Arial"/>
        </w:rPr>
        <w:t>Emergency Response Risk Assessment</w:t>
      </w:r>
    </w:p>
    <w:p>
      <w:pPr>
        <w:pStyle w:val="NormalNumberedtext"/>
      </w:pPr>
      <w:r>
        <w:t>This section defines the risk assessment workshop process used to identify and document all credible emergency scenarios before Work commences, including environmental and community components.</w:t>
      </w:r>
    </w:p>
    <w:p>
      <w:pPr>
        <w:pStyle w:val="NormalNumberedtext"/>
      </w:pPr>
    </w:p>
    <w:p>
      <w:pPr>
        <w:pStyle w:val="Heading2Numbered"/>
        <w:numPr>
          <w:ilvl w:val="1"/>
          <w:numId w:val="1"/>
        </w:numPr>
      </w:pPr>
      <w:r>
        <w:rPr>
          <w:rFonts w:ascii="Arial" w:hAnsi="Arial" w:cs="Arial" w:eastAsia="Arial"/>
        </w:rPr>
        <w:t>Workshop Requirements</w:t>
      </w:r>
    </w:p>
    <w:p>
      <w:pPr>
        <w:pStyle w:val="NormalNumberedtext"/>
      </w:pPr>
      <w:r>
        <w:t>This section sets out the mandatory requirements for the emergency response risk assessment workshop, its scope, timing, and outputs.</w:t>
      </w:r>
    </w:p>
    <w:p>
      <w:pPr>
        <w:pStyle w:val="NormalNumberedtext"/>
      </w:pPr>
      <w:r>
        <w:t>The HSESC Manager facilitates an emergency response risk assessment workshop before Work commences to identify, assess, and document all credible emergency scenarios for this project. The workshop applies the risk assessment methodology defined in the Risk Management Procedure, refer [INSERT: Project Document Number], and uses the approved project risk matrix.</w:t>
      </w:r>
    </w:p>
    <w:p>
      <w:pPr>
        <w:pStyle w:val="NormalNumberedtext"/>
      </w:pPr>
      <w:r>
        <w:t>The workshop report is completed within 90 days of the Effective Date and stored in</w:t>
      </w:r>
    </w:p>
    <w:p>
      <w:pPr>
        <w:pStyle w:val="NormalNumberedtext"/>
      </w:pPr>
      <w:r>
        <w:rPr>
          <w:b/>
          <w:bCs/>
          <w:color w:val="0059D1"/>
        </w:rPr>
        <w:t>[INSERT: document_management_system] — Name and location of the project document management system where the workshop report is stored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CRITICAL - Complete the Emergency Response Risk Assessment Workshop for this project and document all outcomes before Work commences. The workshop report is a mandatory project deliverable. Insert a reference to the completed workshop report once available: </w:t>
            </w:r>
            <w:r>
              <w:rPr>
                <w:rFonts w:ascii="Arial" w:hAnsi="Arial" w:cs="Arial" w:eastAsia="Arial"/>
                <w:b/>
                <w:bCs/>
                <w:color w:val="0059D1"/>
                <w:sz w:val="16"/>
                <w:szCs w:val="16"/>
              </w:rPr>
              <w:t>[INSERT: RTPR-HSE-RPT-XXXX Emergency Response Risk Assessment Workshop Report]</w:t>
            </w:r>
            <w:r>
              <w:rPr>
                <w:rFonts w:ascii="Arial" w:hAnsi="Arial" w:cs="Arial" w:eastAsia="Arial"/>
                <w:b/>
                <w:bCs/>
                <w:color w:val="C55A11"/>
                <w:sz w:val="16"/>
                <w:szCs w:val="16"/>
              </w:rPr>
              <w:t>.</w:t>
            </w:r>
          </w:p>
        </w:tc>
      </w:tr>
    </w:tbl>
    <w:p>
      <w:pPr>
        <w:pStyle w:val="NormalNumberedtext"/>
      </w:pPr>
    </w:p>
    <w:p>
      <w:pPr>
        <w:pStyle w:val="NormalNumberedtext"/>
      </w:pPr>
      <w:r>
        <w:t>The workshop addresses the following minimum requirements:</w:t>
      </w:r>
    </w:p>
    <w:p>
      <w:pPr>
        <w:pStyle w:val="NumberedBulletL1"/>
      </w:pPr>
      <w:r>
        <w:t>All credible emergency scenarios are identified and assessed, including personal injury, fire, motor vehicle crash, equipment damage, flooding, spill, environmental release, and security events.</w:t>
      </w:r>
    </w:p>
    <w:p>
      <w:pPr>
        <w:pStyle w:val="NumberedBulletL1"/>
      </w:pPr>
      <w:r>
        <w:t>An environmental component is included to demonstrate that appropriate environmental risks, controls, and response pathways are understood and incorporated into the ERP.</w:t>
      </w:r>
    </w:p>
    <w:p>
      <w:pPr>
        <w:pStyle w:val="NumberedBulletL1"/>
      </w:pPr>
      <w:r>
        <w:t>Escalation pathways from facility-level scenarios to corporate-level crisis management are identified and clearly defined, consistent with the Rio Tinto Corporate BRRP and the TSM Crisis Management and Communications Planning Protocol indicator CM1.</w:t>
      </w:r>
    </w:p>
    <w:p>
      <w:pPr>
        <w:pStyle w:val="NumberedBulletL1"/>
      </w:pPr>
      <w:r>
        <w:t>Workshop participants include subject matter experts from the owner team, relevant contractor organisations, and representatives from host communities where those communities may be affected by a credible scenario.</w:t>
      </w:r>
    </w:p>
    <w:p>
      <w:pPr>
        <w:pStyle w:val="NumberedBulletL1"/>
      </w:pPr>
      <w:r>
        <w:t>All scenarios are risk-rated using the approved project risk matrix, with controls recorded and assigned to responsible roles.</w:t>
      </w:r>
    </w:p>
    <w:p>
      <w:pPr>
        <w:pStyle w:val="NormalNumberedtext"/>
      </w:pPr>
    </w:p>
    <w:p>
      <w:pPr>
        <w:pStyle w:val="Heading2Numbered"/>
        <w:numPr>
          <w:ilvl w:val="1"/>
          <w:numId w:val="1"/>
        </w:numPr>
      </w:pPr>
      <w:r>
        <w:rPr>
          <w:rFonts w:ascii="Arial" w:hAnsi="Arial" w:cs="Arial" w:eastAsia="Arial"/>
        </w:rPr>
        <w:t>Community Input to the Workshop</w:t>
      </w:r>
    </w:p>
    <w:p>
      <w:pPr>
        <w:pStyle w:val="NormalNumberedtext"/>
      </w:pPr>
      <w:r>
        <w:t>This section defines the requirement for community input to the risk assessment workshop where host communities may be affected by a credible emergency scenario.</w:t>
      </w:r>
    </w:p>
    <w:p>
      <w:pPr>
        <w:pStyle w:val="NormalNumberedtext"/>
      </w:pPr>
      <w:r>
        <w:t>The HSESC Manager identifies all communities and stakeholders potentially affected by a credible emergency scenario before the workshop is convened. Where potential for significant community impact exists, community representatives are invited to participate in the workshop or are consulted separately, and their input is recorded in the workshop report.</w:t>
      </w:r>
    </w:p>
    <w:p>
      <w:pPr>
        <w:pStyle w:val="NormalNumberedtext"/>
      </w:pPr>
      <w:r>
        <w:t>Community input is documented and incorporated into the ERP where it affects response procedures, communication methods, or evacuation arrangements. All materials provided to community participants are in an accessible and understandable language or form for the intended audience.</w:t>
      </w:r>
    </w:p>
    <w:p>
      <w:pPr>
        <w:pStyle w:val="NormalNumberedtext"/>
      </w:pPr>
      <w:r>
        <w:rPr>
          <w:b/>
          <w:bCs/>
          <w:color w:val="0059D1"/>
        </w:rPr>
        <w:t>[INSERT: community_stakeholder_list] — List of communities and stakeholder groups identified as potentially affected by a credible emergency scenario for this project</w:t>
      </w:r>
    </w:p>
    <w:p>
      <w:pPr>
        <w:pStyle w:val="NormalNumberedtext"/>
      </w:pPr>
    </w:p>
    <w:p>
      <w:pPr>
        <w:pStyle w:val="Heading1Numbered"/>
        <w:numPr>
          <w:ilvl w:val="0"/>
          <w:numId w:val="1"/>
        </w:numPr>
      </w:pPr>
      <w:r>
        <w:rPr>
          <w:rFonts w:ascii="Arial" w:hAnsi="Arial" w:cs="Arial" w:eastAsia="Arial"/>
        </w:rPr>
        <w:t>Emergency Response Plan</w:t>
      </w:r>
    </w:p>
    <w:p>
      <w:pPr>
        <w:pStyle w:val="NormalNumberedtext"/>
      </w:pPr>
      <w:r>
        <w:t>This section defines the mandatory content, scenario coverage, and integration requirements for the project Emergency Response Plan, developed from the risk assessment workshop outcomes.</w:t>
      </w:r>
    </w:p>
    <w:p>
      <w:pPr>
        <w:pStyle w:val="NormalNumberedtext"/>
      </w:pPr>
    </w:p>
    <w:p>
      <w:pPr>
        <w:pStyle w:val="Heading2Numbered"/>
        <w:numPr>
          <w:ilvl w:val="1"/>
          <w:numId w:val="1"/>
        </w:numPr>
      </w:pPr>
      <w:r>
        <w:rPr>
          <w:rFonts w:ascii="Arial" w:hAnsi="Arial" w:cs="Arial" w:eastAsia="Arial"/>
        </w:rPr>
        <w:t>ERP Development and Minimum Content</w:t>
      </w:r>
    </w:p>
    <w:p>
      <w:pPr>
        <w:pStyle w:val="NormalNumberedtext"/>
      </w:pPr>
      <w:r>
        <w:t>This section defines the basis for ERP development and the minimum content requirements that every project ERP must satisfy.</w:t>
      </w:r>
    </w:p>
    <w:p>
      <w:pPr>
        <w:pStyle w:val="NormalNumberedtext"/>
      </w:pPr>
      <w:r>
        <w:t>The HSESC Manager develops the project ERP from the outcomes of the emergency response risk assessment workshop. The ERP is available before Work commences and is a project deliverable separate from this procedure. Where risks to external stakeholders are significant, the ERP is developed in collaboration with potentially affected stakeholders and consistent with established industry good practice, aligned with ICMM Principle 4.</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Insert a reference to the current project ERP document once it has been developed and approved. The ERP is not reproduced in this procedure - this procedure defines the requirements the ERP must satisfy: [INSERT: RTPR-HSE-ERP-XXXX Emergency Response Plan, </w:t>
            </w:r>
            <w:r>
              <w:rPr>
                <w:rFonts w:ascii="Arial" w:hAnsi="Arial" w:cs="Arial" w:eastAsia="Arial"/>
                <w:b/>
                <w:bCs/>
                <w:color w:val="0059D1"/>
                <w:sz w:val="16"/>
                <w:szCs w:val="16"/>
              </w:rPr>
              <w:t>[INSERT: project name]</w:t>
            </w:r>
            <w:r>
              <w:rPr>
                <w:rFonts w:ascii="Arial" w:hAnsi="Arial" w:cs="Arial" w:eastAsia="Arial"/>
                <w:b/>
                <w:bCs/>
                <w:color w:val="C55A11"/>
                <w:sz w:val="16"/>
                <w:szCs w:val="16"/>
              </w:rPr>
              <w:t>].</w:t>
            </w:r>
          </w:p>
        </w:tc>
      </w:tr>
    </w:tbl>
    <w:p>
      <w:pPr>
        <w:pStyle w:val="NormalNumberedtext"/>
      </w:pPr>
    </w:p>
    <w:p>
      <w:pPr>
        <w:pStyle w:val="NormalNumberedtext"/>
      </w:pPr>
      <w:r>
        <w:t>The ERP includes as a minimum the following content:</w:t>
      </w:r>
    </w:p>
    <w:p>
      <w:pPr>
        <w:pStyle w:val="NumberedBulletL1"/>
      </w:pPr>
      <w:r>
        <w:t>Emergency response organisation structure, including the site BRT and the ERT.</w:t>
      </w:r>
    </w:p>
    <w:p>
      <w:pPr>
        <w:pStyle w:val="NumberedBulletL1"/>
      </w:pPr>
      <w:r>
        <w:t>Emergency contact lists, including local emergency services, hospital, nearest trauma centre, project owner emergency contacts, and RT Product Group or Functional Group BRT contacts.</w:t>
      </w:r>
    </w:p>
    <w:p>
      <w:pPr>
        <w:pStyle w:val="NumberedBulletL1"/>
      </w:pPr>
      <w:r>
        <w:t>Roles and responsibilities for all emergency response personnel.</w:t>
      </w:r>
    </w:p>
    <w:p>
      <w:pPr>
        <w:pStyle w:val="NumberedBulletL1"/>
      </w:pPr>
      <w:r>
        <w:t>Escalation levels matched to incident severity classifications.</w:t>
      </w:r>
    </w:p>
    <w:p>
      <w:pPr>
        <w:pStyle w:val="NumberedBulletL1"/>
      </w:pPr>
      <w:r>
        <w:t>Notification flowcharts defining who is notified, when, and by what method, for each scenario.</w:t>
      </w:r>
    </w:p>
    <w:p>
      <w:pPr>
        <w:pStyle w:val="NumberedBulletL1"/>
      </w:pPr>
      <w:r>
        <w:t>Communication methods for internal and external notifications.</w:t>
      </w:r>
    </w:p>
    <w:p>
      <w:pPr>
        <w:pStyle w:val="NumberedBulletL1"/>
      </w:pPr>
      <w:r>
        <w:t>Environmental protection measures applicable to each scenario.</w:t>
      </w:r>
    </w:p>
    <w:p>
      <w:pPr>
        <w:pStyle w:val="NumberedBulletL1"/>
      </w:pPr>
      <w:r>
        <w:t>Emergency drill schedule, including scenario type, frequency, and review cycle.</w:t>
      </w:r>
    </w:p>
    <w:p>
      <w:pPr>
        <w:pStyle w:val="NumberedBulletL1"/>
      </w:pPr>
      <w:r>
        <w:t>Training requirements for ERT personnel, cross-referenced to [INSERT: Project Document Number] and [INSERT: Project Document Number].</w:t>
      </w:r>
    </w:p>
    <w:p>
      <w:pPr>
        <w:pStyle w:val="NormalNumberedtext"/>
      </w:pPr>
    </w:p>
    <w:p>
      <w:pPr>
        <w:pStyle w:val="Heading2Numbered"/>
        <w:numPr>
          <w:ilvl w:val="1"/>
          <w:numId w:val="1"/>
        </w:numPr>
      </w:pPr>
      <w:r>
        <w:rPr>
          <w:rFonts w:ascii="Arial" w:hAnsi="Arial" w:cs="Arial" w:eastAsia="Arial"/>
        </w:rPr>
        <w:t>Scenario-Specific Response Instructions</w:t>
      </w:r>
    </w:p>
    <w:p>
      <w:pPr>
        <w:pStyle w:val="NormalNumberedtext"/>
      </w:pPr>
      <w:r>
        <w:t>This section defines the scenario types for which the ERP must include specific response instructions.</w:t>
      </w:r>
    </w:p>
    <w:p>
      <w:pPr>
        <w:pStyle w:val="NormalNumberedtext"/>
      </w:pPr>
      <w:r>
        <w:t>The ERP includes scenario-specific response instructions for each credible scenario identified in the risk assessment workshop. At a minimum, the following scenario types are addressed:</w:t>
      </w:r>
    </w:p>
    <w:p>
      <w:pPr>
        <w:pStyle w:val="NormalNumberedtext"/>
      </w:pPr>
      <w:r>
        <w:t>Minimum scenario coverage:</w:t>
      </w:r>
    </w:p>
    <w:p>
      <w:pPr>
        <w:pStyle w:val="NumberedBulletL1"/>
      </w:pPr>
      <w:r>
        <w:t>Personal injury incidents, including serious injury and fatality.</w:t>
      </w:r>
    </w:p>
    <w:p>
      <w:pPr>
        <w:pStyle w:val="NumberedBulletL1"/>
      </w:pPr>
      <w:r>
        <w:t>Fires, including structural, vegetation, and vehicle fires.</w:t>
      </w:r>
    </w:p>
    <w:p>
      <w:pPr>
        <w:pStyle w:val="NumberedBulletL1"/>
      </w:pPr>
      <w:r>
        <w:t>Motor vehicle crashes.</w:t>
      </w:r>
    </w:p>
    <w:p>
      <w:pPr>
        <w:pStyle w:val="NumberedBulletL1"/>
      </w:pPr>
      <w:r>
        <w:t>Equipment damage events with potential for escalation.</w:t>
      </w:r>
    </w:p>
    <w:p>
      <w:pPr>
        <w:pStyle w:val="NumberedBulletL1"/>
      </w:pPr>
      <w:r>
        <w:t>Flooding and severe weather events.</w:t>
      </w:r>
    </w:p>
    <w:p>
      <w:pPr>
        <w:pStyle w:val="NumberedBulletL1"/>
      </w:pPr>
      <w:r>
        <w:t>Spills and environmental releases, including containment, notification, and remediation steps.</w:t>
      </w:r>
    </w:p>
    <w:p>
      <w:pPr>
        <w:pStyle w:val="NumberedBulletL1"/>
      </w:pPr>
      <w:r>
        <w:t>Security incidents, including threat, intrusion, and violence scenarios.</w:t>
      </w:r>
    </w:p>
    <w:p>
      <w:pPr>
        <w:pStyle w:val="NumberedBulletL1"/>
      </w:pPr>
      <w:r>
        <w:rPr>
          <w:color w:val="C55A11"/>
        </w:rPr>
        <w:t>Evacuation scenarios, including mustering, headcount, and all-clear procedures.</w:t>
      </w:r>
    </w:p>
    <w:p>
      <w:pPr>
        <w:pStyle w:val="NormalNumberedtext"/>
      </w:pPr>
      <w:r>
        <w:rPr>
          <w:b/>
          <w:bCs/>
          <w:color w:val="0059D1"/>
        </w:rPr>
        <w:t>[INSERT: additional_project_scenarios]</w:t>
      </w:r>
    </w:p>
    <w:p>
      <w:pPr>
        <w:pStyle w:val="NormalNumberedtext"/>
      </w:pPr>
      <w:r>
        <w:t>For incidents with potential environmental impact, the scenario-specific instructions define the containment measures, the regulatory notification requirements, and the initial remediation steps to be taken before specialist response is mobilised. Security emergency scenarios are included alongside safety and environmental scenarios and are not treated as a separate planning exercise.</w:t>
      </w:r>
    </w:p>
    <w:p>
      <w:pPr>
        <w:pStyle w:val="NormalNumberedtext"/>
      </w:pPr>
    </w:p>
    <w:p>
      <w:pPr>
        <w:pStyle w:val="Heading2Numbered"/>
        <w:numPr>
          <w:ilvl w:val="1"/>
          <w:numId w:val="1"/>
        </w:numPr>
      </w:pPr>
      <w:r>
        <w:rPr>
          <w:rFonts w:ascii="Arial" w:hAnsi="Arial" w:cs="Arial" w:eastAsia="Arial"/>
        </w:rPr>
        <w:t>Contractor ERP Integration</w:t>
      </w:r>
    </w:p>
    <w:p>
      <w:pPr>
        <w:pStyle w:val="NormalNumberedtext"/>
      </w:pPr>
      <w:r>
        <w:t>This section defines how contractor emergency response plans are integrated with the project ERP to ensure seamless coordination.</w:t>
      </w:r>
    </w:p>
    <w:p>
      <w:pPr>
        <w:pStyle w:val="NormalNumberedtext"/>
      </w:pPr>
      <w:r>
        <w:t>The HSESC Manager ensures that all contractor ERPs are reviewed and integrated with the project ERP before the relevant contractor commences Work. Integration confirms that escalation triggers, communication channels, command structures, and mustering arrangements are consistent across all project organisations and do not create gaps or conflicts in the combined emergency response.</w:t>
      </w:r>
    </w:p>
    <w:p>
      <w:pPr>
        <w:pStyle w:val="NormalNumberedtext"/>
      </w:pPr>
      <w:r>
        <w:t>Each principal contractor confirms in writing that their ERP is compatible with the project ERP before Work commences. Evidence of integration is retained in</w:t>
      </w:r>
    </w:p>
    <w:p>
      <w:pPr>
        <w:pStyle w:val="NormalNumberedtext"/>
      </w:pPr>
      <w:r>
        <w:rPr>
          <w:b/>
          <w:bCs/>
          <w:color w:val="0059D1"/>
        </w:rPr>
        <w:t>[INSERT: contractor_erp_integration_register] — Name and location of the register or document management location where contractor ERP integration confirmation is stored</w:t>
      </w:r>
    </w:p>
    <w:p>
      <w:pPr>
        <w:pStyle w:val="NormalNumberedtext"/>
      </w:pPr>
    </w:p>
    <w:p>
      <w:pPr>
        <w:pStyle w:val="Heading2Numbered"/>
        <w:numPr>
          <w:ilvl w:val="1"/>
          <w:numId w:val="1"/>
        </w:numPr>
      </w:pPr>
      <w:r>
        <w:rPr>
          <w:rFonts w:ascii="Arial" w:hAnsi="Arial" w:cs="Arial" w:eastAsia="Arial"/>
        </w:rPr>
        <w:t>Language and Cultural Considerations</w:t>
      </w:r>
    </w:p>
    <w:p>
      <w:pPr>
        <w:pStyle w:val="NormalNumberedtext"/>
      </w:pPr>
      <w:r>
        <w:t>This section requires that the ERP accounts for language and cultural barriers that may affect emergency response effectiveness.</w:t>
      </w:r>
    </w:p>
    <w:p>
      <w:pPr>
        <w:pStyle w:val="NormalNumberedtext"/>
      </w:pPr>
      <w:r>
        <w:t>The HSESC Manager assesses language and cultural barriers that could impact emergency response effectiveness before the ERP is issued. The assessment is documented in the ERP and the following measures are applied where barriers are identified:</w:t>
      </w:r>
    </w:p>
    <w:p>
      <w:pPr>
        <w:pStyle w:val="NormalNumberedtext"/>
      </w:pPr>
      <w:r>
        <w:t>Language and cultural barrier controls include:</w:t>
      </w:r>
    </w:p>
    <w:p>
      <w:pPr>
        <w:pStyle w:val="NumberedBulletL1"/>
      </w:pPr>
      <w:r>
        <w:t>Emergency response instructions are translated into all languages spoken by project personnel where a language barrier is identified.</w:t>
      </w:r>
    </w:p>
    <w:p>
      <w:pPr>
        <w:pStyle w:val="NumberedBulletL1"/>
      </w:pPr>
      <w:r>
        <w:t>Interpreters are identified, rostered, and contactable for use during an emergency where a language barrier is identified.</w:t>
      </w:r>
    </w:p>
    <w:p>
      <w:pPr>
        <w:pStyle w:val="NumberedBulletL1"/>
      </w:pPr>
      <w:r>
        <w:t>Emergency signal types, alarm tones, and mustering procedures are communicated using non-language formats, including diagrams and colour coding, where practicable.</w:t>
      </w:r>
    </w:p>
    <w:p>
      <w:pPr>
        <w:pStyle w:val="NumberedBulletL1"/>
      </w:pPr>
      <w:r>
        <w:rPr>
          <w:color w:val="C55A11"/>
        </w:rPr>
        <w:t>Emergency signage at all site locations is bilingual where the project workforce includes workers whose primary language differs from the project management language.</w:t>
      </w:r>
    </w:p>
    <w:p>
      <w:pPr>
        <w:pStyle w:val="NormalNumberedtext"/>
      </w:pPr>
      <w:r>
        <w:rPr>
          <w:b/>
          <w:bCs/>
          <w:color w:val="0059D1"/>
        </w:rPr>
        <w:t>[INSERT: project_languages_and_interpreter_contacts]</w:t>
      </w:r>
    </w:p>
    <w:p>
      <w:pPr>
        <w:pStyle w:val="NormalNumberedtext"/>
      </w:pPr>
    </w:p>
    <w:p>
      <w:pPr>
        <w:pStyle w:val="Heading1Numbered"/>
        <w:numPr>
          <w:ilvl w:val="0"/>
          <w:numId w:val="1"/>
        </w:numPr>
      </w:pPr>
      <w:r>
        <w:rPr>
          <w:rFonts w:ascii="Arial" w:hAnsi="Arial" w:cs="Arial" w:eastAsia="Arial"/>
        </w:rPr>
        <w:t>Medical Emergency Plan</w:t>
      </w:r>
    </w:p>
    <w:p>
      <w:pPr>
        <w:pStyle w:val="NormalNumberedtext"/>
      </w:pPr>
      <w:r>
        <w:t>This section defines the mandatory content requirements for the project Medical Emergency Plan, including first aid resources, controlled drug management, and medical equipment inspection.</w:t>
      </w:r>
    </w:p>
    <w:p>
      <w:pPr>
        <w:pStyle w:val="NormalNumberedtext"/>
      </w:pPr>
    </w:p>
    <w:p>
      <w:pPr>
        <w:pStyle w:val="Heading2Numbered"/>
        <w:numPr>
          <w:ilvl w:val="1"/>
          <w:numId w:val="1"/>
        </w:numPr>
      </w:pPr>
      <w:r>
        <w:rPr>
          <w:rFonts w:ascii="Arial" w:hAnsi="Arial" w:cs="Arial" w:eastAsia="Arial"/>
        </w:rPr>
        <w:t>MEP Development and Minimum Content</w:t>
      </w:r>
    </w:p>
    <w:p>
      <w:pPr>
        <w:pStyle w:val="NormalNumberedtext"/>
      </w:pPr>
      <w:r>
        <w:t>This section defines the basis for MEP development, minimum content, and alignment with local medical infrastructure.</w:t>
      </w:r>
    </w:p>
    <w:p>
      <w:pPr>
        <w:pStyle w:val="NormalNumberedtext"/>
      </w:pPr>
      <w:r>
        <w:t>The Medical Officer or First Aid Coordinator develops the project Medical Emergency Plan. The MEP is specific to the project location, the local medical infrastructure available, and the project workforce size. Where local medical services are inadequate to meet the needs of the project workforce, the MEP defines how the project provides appropriate first aid and medical resources to compensate for that gap, consistent with IFC Performance Standard 2.</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Develop the project Medical Emergency Plan. The MEP must reflect the specific project location, the local medical infrastructure available to this project, and the size of the project workforce. Insert or reference the completed MEP: [INSERT: RTPR-HSE-MEP-XXXX Medical Emergency Plan, </w:t>
            </w:r>
            <w:r>
              <w:rPr>
                <w:rFonts w:ascii="Arial" w:hAnsi="Arial" w:cs="Arial" w:eastAsia="Arial"/>
                <w:b/>
                <w:bCs/>
                <w:color w:val="0059D1"/>
                <w:sz w:val="16"/>
                <w:szCs w:val="16"/>
              </w:rPr>
              <w:t>[INSERT: project name]</w:t>
            </w:r>
            <w:r>
              <w:rPr>
                <w:rFonts w:ascii="Arial" w:hAnsi="Arial" w:cs="Arial" w:eastAsia="Arial"/>
                <w:b/>
                <w:bCs/>
                <w:color w:val="C55A11"/>
                <w:sz w:val="16"/>
                <w:szCs w:val="16"/>
              </w:rPr>
              <w:t>].</w:t>
            </w:r>
          </w:p>
        </w:tc>
      </w:tr>
    </w:tbl>
    <w:p>
      <w:pPr>
        <w:pStyle w:val="NormalNumberedtext"/>
      </w:pPr>
    </w:p>
    <w:p>
      <w:pPr>
        <w:pStyle w:val="NormalNumberedtext"/>
      </w:pPr>
      <w:r>
        <w:t>The MEP includes as a minimum the following content:</w:t>
      </w:r>
    </w:p>
    <w:p>
      <w:pPr>
        <w:pStyle w:val="NumberedBulletL1"/>
      </w:pPr>
      <w:r>
        <w:t>A first aid risk assessment identifying the nature and likelihood of medical emergencies specific to this project's work activities.</w:t>
      </w:r>
    </w:p>
    <w:p>
      <w:pPr>
        <w:pStyle w:val="NumberedBulletL1"/>
      </w:pPr>
      <w:r>
        <w:t>A list of first aid and medical resources with their locations across the project site.</w:t>
      </w:r>
    </w:p>
    <w:p>
      <w:pPr>
        <w:pStyle w:val="NumberedBulletL1"/>
      </w:pPr>
      <w:r>
        <w:t>Call-out flowcharts defining the sequence of contacts and actions for medical emergencies of varying severity.</w:t>
      </w:r>
    </w:p>
    <w:p>
      <w:pPr>
        <w:pStyle w:val="NumberedBulletL1"/>
      </w:pPr>
      <w:r>
        <w:t>Transport arrangements for ill or injured personnel, including primary and secondary transport routes and estimated travel times to the nearest medical facility.</w:t>
      </w:r>
    </w:p>
    <w:p>
      <w:pPr>
        <w:pStyle w:val="NumberedBulletL1"/>
      </w:pPr>
      <w:r>
        <w:t>Emergency telephone numbers displayed at appropriate site locations, including local hospital, emergency services, nearest trauma centre, and project medical contacts.</w:t>
      </w:r>
    </w:p>
    <w:p>
      <w:pPr>
        <w:pStyle w:val="NumberedBulletL1"/>
      </w:pPr>
      <w:r>
        <w:t>A controlled drug register as defined in Section 5.2 of this procedure.</w:t>
      </w:r>
    </w:p>
    <w:p>
      <w:pPr>
        <w:pStyle w:val="NumberedBulletL1"/>
      </w:pPr>
      <w:r>
        <w:t>First aid equipment details including type, quantity, and location of all first aid kits and medical equipment across the project site.</w:t>
      </w:r>
    </w:p>
    <w:p>
      <w:pPr>
        <w:pStyle w:val="NumberedBulletL1"/>
      </w:pPr>
      <w:r>
        <w:t>A medical equipment inspection schedule as defined in Section 5.3 of this procedure.</w:t>
      </w:r>
    </w:p>
    <w:p>
      <w:pPr>
        <w:pStyle w:val="NormalNumberedtext"/>
      </w:pPr>
      <w:r>
        <w:rPr>
          <w:b/>
          <w:bCs/>
          <w:color w:val="0059D1"/>
        </w:rPr>
        <w:t>[INSERT: mep_local_medical_infrastructure]</w:t>
      </w:r>
    </w:p>
    <w:p>
      <w:pPr>
        <w:pStyle w:val="NormalNumberedtext"/>
      </w:pPr>
    </w:p>
    <w:p>
      <w:pPr>
        <w:pStyle w:val="Heading2Numbered"/>
        <w:numPr>
          <w:ilvl w:val="1"/>
          <w:numId w:val="1"/>
        </w:numPr>
      </w:pPr>
      <w:r>
        <w:rPr>
          <w:rFonts w:ascii="Arial" w:hAnsi="Arial" w:cs="Arial" w:eastAsia="Arial"/>
        </w:rPr>
        <w:t>Controlled Drug Register</w:t>
      </w:r>
    </w:p>
    <w:p>
      <w:pPr>
        <w:pStyle w:val="NormalNumberedtext"/>
      </w:pPr>
      <w:r>
        <w:t>This section defines the controlled drug register requirements for the project medical facility.</w:t>
      </w:r>
    </w:p>
    <w:p>
      <w:pPr>
        <w:pStyle w:val="NormalNumberedtext"/>
      </w:pPr>
      <w:r>
        <w:t>The Medical Officer maintains a controlled drug register for the record of all drugs distributed within the project medical facility. The register is a controlled document and is available for audit at all times.</w:t>
      </w:r>
    </w:p>
    <w:p>
      <w:pPr>
        <w:pStyle w:val="NormalNumberedtext"/>
      </w:pPr>
      <w:r>
        <w:t>Table 2: Controlled Drug Register - Minimum Required Fields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Field</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Requirement</w:t>
            </w:r>
          </w:p>
        </w:tc>
      </w:tr>
      <w:tr>
        <w:tc>
          <w:tcPr>
            <w:tcW w:type="dxa" w:w="4513"/>
          </w:tcPr>
          <w:p>
            <w:pPr>
              <w:pStyle w:val="TableContents"/>
              <w:spacing w:before="0" w:after="0" w:line="240" w:lineRule="atLeast"/>
            </w:pPr>
            <w:r>
              <w:rPr>
                <w:rFonts w:ascii="Arial" w:hAnsi="Arial" w:cs="Arial" w:eastAsia="Arial"/>
                <w:sz w:val="16"/>
                <w:szCs w:val="16"/>
              </w:rPr>
              <w:t>Substance name</w:t>
            </w:r>
          </w:p>
        </w:tc>
        <w:tc>
          <w:tcPr>
            <w:tcW w:type="dxa" w:w="4513"/>
          </w:tcPr>
          <w:p>
            <w:pPr>
              <w:pStyle w:val="TableContents"/>
              <w:spacing w:before="0" w:after="0" w:line="240" w:lineRule="atLeast"/>
            </w:pPr>
            <w:r>
              <w:rPr>
                <w:rFonts w:ascii="Arial" w:hAnsi="Arial" w:cs="Arial" w:eastAsia="Arial"/>
                <w:sz w:val="16"/>
                <w:szCs w:val="16"/>
              </w:rPr>
              <w:t>Generic and trade name of the drug distributed.</w:t>
            </w:r>
          </w:p>
        </w:tc>
      </w:tr>
      <w:tr>
        <w:tc>
          <w:tcPr>
            <w:tcW w:type="dxa" w:w="4513"/>
          </w:tcPr>
          <w:p>
            <w:pPr>
              <w:pStyle w:val="TableContents"/>
              <w:spacing w:before="0" w:after="0" w:line="240" w:lineRule="atLeast"/>
            </w:pPr>
            <w:r>
              <w:rPr>
                <w:rFonts w:ascii="Arial" w:hAnsi="Arial" w:cs="Arial" w:eastAsia="Arial"/>
                <w:sz w:val="16"/>
                <w:szCs w:val="16"/>
              </w:rPr>
              <w:t>Quantity distributed</w:t>
            </w:r>
          </w:p>
        </w:tc>
        <w:tc>
          <w:tcPr>
            <w:tcW w:type="dxa" w:w="4513"/>
          </w:tcPr>
          <w:p>
            <w:pPr>
              <w:pStyle w:val="TableContents"/>
              <w:spacing w:before="0" w:after="0" w:line="240" w:lineRule="atLeast"/>
            </w:pPr>
            <w:r>
              <w:rPr>
                <w:rFonts w:ascii="Arial" w:hAnsi="Arial" w:cs="Arial" w:eastAsia="Arial"/>
                <w:sz w:val="16"/>
                <w:szCs w:val="16"/>
              </w:rPr>
              <w:t>Amount dispensed, recorded in the unit of measure applicable to the substance.</w:t>
            </w:r>
          </w:p>
        </w:tc>
      </w:tr>
      <w:tr>
        <w:tc>
          <w:tcPr>
            <w:tcW w:type="dxa" w:w="4513"/>
          </w:tcPr>
          <w:p>
            <w:pPr>
              <w:pStyle w:val="TableContents"/>
              <w:spacing w:before="0" w:after="0" w:line="240" w:lineRule="atLeast"/>
            </w:pPr>
            <w:r>
              <w:rPr>
                <w:rFonts w:ascii="Arial" w:hAnsi="Arial" w:cs="Arial" w:eastAsia="Arial"/>
                <w:sz w:val="16"/>
                <w:szCs w:val="16"/>
              </w:rPr>
              <w:t>Recipient name and identification</w:t>
            </w:r>
          </w:p>
        </w:tc>
        <w:tc>
          <w:tcPr>
            <w:tcW w:type="dxa" w:w="4513"/>
          </w:tcPr>
          <w:p>
            <w:pPr>
              <w:pStyle w:val="TableContents"/>
              <w:spacing w:before="0" w:after="0" w:line="240" w:lineRule="atLeast"/>
            </w:pPr>
            <w:r>
              <w:rPr>
                <w:rFonts w:ascii="Arial" w:hAnsi="Arial" w:cs="Arial" w:eastAsia="Arial"/>
                <w:sz w:val="16"/>
                <w:szCs w:val="16"/>
              </w:rPr>
              <w:t>Full name and personnel identification number of the recipient.</w:t>
            </w:r>
          </w:p>
        </w:tc>
      </w:tr>
      <w:tr>
        <w:tc>
          <w:tcPr>
            <w:tcW w:type="dxa" w:w="4513"/>
          </w:tcPr>
          <w:p>
            <w:pPr>
              <w:pStyle w:val="TableContents"/>
              <w:spacing w:before="0" w:after="0" w:line="240" w:lineRule="atLeast"/>
            </w:pPr>
            <w:r>
              <w:rPr>
                <w:rFonts w:ascii="Arial" w:hAnsi="Arial" w:cs="Arial" w:eastAsia="Arial"/>
                <w:sz w:val="16"/>
                <w:szCs w:val="16"/>
              </w:rPr>
              <w:t>Authorising medical officer</w:t>
            </w:r>
          </w:p>
        </w:tc>
        <w:tc>
          <w:tcPr>
            <w:tcW w:type="dxa" w:w="4513"/>
          </w:tcPr>
          <w:p>
            <w:pPr>
              <w:pStyle w:val="TableContents"/>
              <w:spacing w:before="0" w:after="0" w:line="240" w:lineRule="atLeast"/>
            </w:pPr>
            <w:r>
              <w:rPr>
                <w:rFonts w:ascii="Arial" w:hAnsi="Arial" w:cs="Arial" w:eastAsia="Arial"/>
                <w:sz w:val="16"/>
                <w:szCs w:val="16"/>
              </w:rPr>
              <w:t>Name and signature of the medical officer authorising distribution.</w:t>
            </w:r>
          </w:p>
        </w:tc>
      </w:tr>
      <w:tr>
        <w:tc>
          <w:tcPr>
            <w:tcW w:type="dxa" w:w="4513"/>
          </w:tcPr>
          <w:p>
            <w:pPr>
              <w:pStyle w:val="TableContents"/>
              <w:spacing w:before="0" w:after="0" w:line="240" w:lineRule="atLeast"/>
            </w:pPr>
            <w:r>
              <w:rPr>
                <w:rFonts w:ascii="Arial" w:hAnsi="Arial" w:cs="Arial" w:eastAsia="Arial"/>
                <w:sz w:val="16"/>
                <w:szCs w:val="16"/>
              </w:rPr>
              <w:t>Date and time of distribution</w:t>
            </w:r>
          </w:p>
        </w:tc>
        <w:tc>
          <w:tcPr>
            <w:tcW w:type="dxa" w:w="4513"/>
          </w:tcPr>
          <w:p>
            <w:pPr>
              <w:pStyle w:val="TableContents"/>
              <w:spacing w:before="0" w:after="0" w:line="240" w:lineRule="atLeast"/>
            </w:pPr>
            <w:r>
              <w:rPr>
                <w:rFonts w:ascii="Arial" w:hAnsi="Arial" w:cs="Arial" w:eastAsia="Arial"/>
                <w:sz w:val="16"/>
                <w:szCs w:val="16"/>
              </w:rPr>
              <w:t>Date and time recorded at the point of distribution.</w:t>
            </w:r>
          </w:p>
        </w:tc>
      </w:tr>
      <w:tr>
        <w:tc>
          <w:tcPr>
            <w:tcW w:type="dxa" w:w="4513"/>
          </w:tcPr>
          <w:p>
            <w:pPr>
              <w:pStyle w:val="TableContents"/>
              <w:spacing w:before="0" w:after="0" w:line="240" w:lineRule="atLeast"/>
            </w:pPr>
            <w:r>
              <w:rPr>
                <w:rFonts w:ascii="Arial" w:hAnsi="Arial" w:cs="Arial" w:eastAsia="Arial"/>
                <w:sz w:val="16"/>
                <w:szCs w:val="16"/>
              </w:rPr>
              <w:t>Balance on hand</w:t>
            </w:r>
          </w:p>
        </w:tc>
        <w:tc>
          <w:tcPr>
            <w:tcW w:type="dxa" w:w="4513"/>
          </w:tcPr>
          <w:p>
            <w:pPr>
              <w:pStyle w:val="TableContents"/>
              <w:spacing w:before="0" w:after="0" w:line="240" w:lineRule="atLeast"/>
            </w:pPr>
            <w:r>
              <w:rPr>
                <w:rFonts w:ascii="Arial" w:hAnsi="Arial" w:cs="Arial" w:eastAsia="Arial"/>
                <w:sz w:val="16"/>
                <w:szCs w:val="16"/>
              </w:rPr>
              <w:t>Running balance of stock on hand updated after each distribution entry.</w:t>
            </w:r>
          </w:p>
        </w:tc>
      </w:tr>
      <w:tr>
        <w:tc>
          <w:tcPr>
            <w:tcW w:type="dxa" w:w="4513"/>
          </w:tcPr>
          <w:p>
            <w:pPr>
              <w:pStyle w:val="TableContents"/>
              <w:spacing w:before="0" w:after="0" w:line="240" w:lineRule="atLeast"/>
            </w:pPr>
            <w:r>
              <w:rPr>
                <w:rFonts w:ascii="Arial" w:hAnsi="Arial" w:cs="Arial" w:eastAsia="Arial"/>
                <w:b/>
                <w:bCs/>
                <w:color w:val="0059D1"/>
                <w:sz w:val="16"/>
                <w:szCs w:val="16"/>
              </w:rPr>
              <w:t>[INSERT: additional field required by local regulation]</w:t>
            </w:r>
          </w:p>
        </w:tc>
        <w:tc>
          <w:tcPr>
            <w:tcW w:type="dxa" w:w="4513"/>
          </w:tcPr>
          <w:p>
            <w:pPr>
              <w:pStyle w:val="TableContents"/>
              <w:spacing w:before="0" w:after="0" w:line="240" w:lineRule="atLeast"/>
            </w:pPr>
            <w:r>
              <w:rPr>
                <w:rFonts w:ascii="Arial" w:hAnsi="Arial" w:cs="Arial" w:eastAsia="Arial"/>
                <w:b/>
                <w:bCs/>
                <w:color w:val="0059D1"/>
                <w:sz w:val="16"/>
                <w:szCs w:val="16"/>
              </w:rPr>
              <w:t>[INSERT: regulatory requirement for this project jurisdiction]</w:t>
            </w:r>
          </w:p>
        </w:tc>
      </w:tr>
    </w:tbl>
    <w:p>
      <w:pPr>
        <w:pStyle w:val="NormalNumberedtext"/>
      </w:pPr>
    </w:p>
    <w:p>
      <w:pPr>
        <w:pStyle w:val="Heading2Numbered"/>
        <w:numPr>
          <w:ilvl w:val="1"/>
          <w:numId w:val="1"/>
        </w:numPr>
      </w:pPr>
      <w:r>
        <w:rPr>
          <w:rFonts w:ascii="Arial" w:hAnsi="Arial" w:cs="Arial" w:eastAsia="Arial"/>
        </w:rPr>
        <w:t>Medical Equipment Inspection Schedule</w:t>
      </w:r>
    </w:p>
    <w:p>
      <w:pPr>
        <w:pStyle w:val="NormalNumberedtext"/>
      </w:pPr>
      <w:r>
        <w:t>This section defines the inspection and maintenance schedule requirements for all project medical equipment.</w:t>
      </w:r>
    </w:p>
    <w:p>
      <w:pPr>
        <w:pStyle w:val="NormalNumberedtext"/>
      </w:pPr>
      <w:r>
        <w:t>The Medical Officer or First Aid Coordinator maintains a medical equipment inspection schedule defining the frequency of inspection and maintenance for all medical equipment on the project. Inspection records are maintained as controlled documents and are available for audit.</w:t>
      </w:r>
    </w:p>
    <w:p>
      <w:pPr>
        <w:pStyle w:val="NormalNumberedtext"/>
      </w:pPr>
      <w:r>
        <w:t>Table 3: Medical Equipment Inspection Schedule - Minimum Content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Equipment Item</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Location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Inspection Frequency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Last Inspection Date</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Next Inspection Due</w:t>
            </w:r>
          </w:p>
        </w:tc>
      </w:tr>
      <w:tr>
        <w:tc>
          <w:tcPr>
            <w:tcW w:type="dxa" w:w="1504"/>
          </w:tcPr>
          <w:p>
            <w:pPr>
              <w:pStyle w:val="TableContents"/>
              <w:spacing w:before="0" w:after="0" w:line="240" w:lineRule="atLeast"/>
            </w:pPr>
            <w:r>
              <w:rPr>
                <w:rFonts w:ascii="Arial" w:hAnsi="Arial" w:cs="Arial" w:eastAsia="Arial"/>
                <w:sz w:val="16"/>
                <w:szCs w:val="16"/>
              </w:rPr>
              <w:t>Automated External Defibrillator (AED)</w:t>
            </w:r>
          </w:p>
        </w:tc>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sz w:val="16"/>
                <w:szCs w:val="16"/>
              </w:rPr>
              <w:t>Monthly</w:t>
            </w:r>
          </w:p>
        </w:tc>
        <w:tc>
          <w:tcPr>
            <w:tcW w:type="dxa" w:w="1504"/>
          </w:tcPr>
          <w:p>
            <w:pPr>
              <w:pStyle w:val="TableContents"/>
              <w:spacing w:before="0" w:after="0" w:line="240" w:lineRule="atLeast"/>
            </w:pPr>
            <w:r>
              <w:rPr>
                <w:rFonts w:ascii="Arial" w:hAnsi="Arial" w:cs="Arial" w:eastAsia="Arial"/>
                <w:sz w:val="16"/>
                <w:szCs w:val="16"/>
              </w:rPr>
              <w:t>First Aid Coordinator</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r>
        <w:tc>
          <w:tcPr>
            <w:tcW w:type="dxa" w:w="1504"/>
          </w:tcPr>
          <w:p>
            <w:pPr>
              <w:pStyle w:val="TableContents"/>
              <w:spacing w:before="0" w:after="0" w:line="240" w:lineRule="atLeast"/>
            </w:pPr>
            <w:r>
              <w:rPr>
                <w:rFonts w:ascii="Arial" w:hAnsi="Arial" w:cs="Arial" w:eastAsia="Arial"/>
                <w:sz w:val="16"/>
                <w:szCs w:val="16"/>
              </w:rPr>
              <w:t>First aid kit - site offices</w:t>
            </w:r>
          </w:p>
        </w:tc>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sz w:val="16"/>
                <w:szCs w:val="16"/>
              </w:rPr>
              <w:t>Monthly</w:t>
            </w:r>
          </w:p>
        </w:tc>
        <w:tc>
          <w:tcPr>
            <w:tcW w:type="dxa" w:w="1504"/>
          </w:tcPr>
          <w:p>
            <w:pPr>
              <w:pStyle w:val="TableContents"/>
              <w:spacing w:before="0" w:after="0" w:line="240" w:lineRule="atLeast"/>
            </w:pPr>
            <w:r>
              <w:rPr>
                <w:rFonts w:ascii="Arial" w:hAnsi="Arial" w:cs="Arial" w:eastAsia="Arial"/>
                <w:sz w:val="16"/>
                <w:szCs w:val="16"/>
              </w:rPr>
              <w:t>First Aid Coordinator</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r>
        <w:tc>
          <w:tcPr>
            <w:tcW w:type="dxa" w:w="1504"/>
          </w:tcPr>
          <w:p>
            <w:pPr>
              <w:pStyle w:val="TableContents"/>
              <w:spacing w:before="0" w:after="0" w:line="240" w:lineRule="atLeast"/>
            </w:pPr>
            <w:r>
              <w:rPr>
                <w:rFonts w:ascii="Arial" w:hAnsi="Arial" w:cs="Arial" w:eastAsia="Arial"/>
                <w:sz w:val="16"/>
                <w:szCs w:val="16"/>
              </w:rPr>
              <w:t>First aid kit - work fronts</w:t>
            </w:r>
          </w:p>
        </w:tc>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sz w:val="16"/>
                <w:szCs w:val="16"/>
              </w:rPr>
              <w:t>Weekly</w:t>
            </w:r>
          </w:p>
        </w:tc>
        <w:tc>
          <w:tcPr>
            <w:tcW w:type="dxa" w:w="1504"/>
          </w:tcPr>
          <w:p>
            <w:pPr>
              <w:pStyle w:val="TableContents"/>
              <w:spacing w:before="0" w:after="0" w:line="240" w:lineRule="atLeast"/>
            </w:pPr>
            <w:r>
              <w:rPr>
                <w:rFonts w:ascii="Arial" w:hAnsi="Arial" w:cs="Arial" w:eastAsia="Arial"/>
                <w:sz w:val="16"/>
                <w:szCs w:val="16"/>
              </w:rPr>
              <w:t>Work Supervisor</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r>
        <w:tc>
          <w:tcPr>
            <w:tcW w:type="dxa" w:w="1504"/>
          </w:tcPr>
          <w:p>
            <w:pPr>
              <w:pStyle w:val="TableContents"/>
              <w:spacing w:before="0" w:after="0" w:line="240" w:lineRule="atLeast"/>
            </w:pPr>
            <w:r>
              <w:rPr>
                <w:rFonts w:ascii="Arial" w:hAnsi="Arial" w:cs="Arial" w:eastAsia="Arial"/>
                <w:sz w:val="16"/>
                <w:szCs w:val="16"/>
              </w:rPr>
              <w:t>Stretcher and immobilisation equipment</w:t>
            </w:r>
          </w:p>
        </w:tc>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sz w:val="16"/>
                <w:szCs w:val="16"/>
              </w:rPr>
              <w:t>Monthly</w:t>
            </w:r>
          </w:p>
        </w:tc>
        <w:tc>
          <w:tcPr>
            <w:tcW w:type="dxa" w:w="1504"/>
          </w:tcPr>
          <w:p>
            <w:pPr>
              <w:pStyle w:val="TableContents"/>
              <w:spacing w:before="0" w:after="0" w:line="240" w:lineRule="atLeast"/>
            </w:pPr>
            <w:r>
              <w:rPr>
                <w:rFonts w:ascii="Arial" w:hAnsi="Arial" w:cs="Arial" w:eastAsia="Arial"/>
                <w:sz w:val="16"/>
                <w:szCs w:val="16"/>
              </w:rPr>
              <w:t>First Aid Coordinator</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r>
        <w:tc>
          <w:tcPr>
            <w:tcW w:type="dxa" w:w="1504"/>
          </w:tcPr>
          <w:p>
            <w:pPr>
              <w:pStyle w:val="TableContents"/>
              <w:spacing w:before="0" w:after="0" w:line="240" w:lineRule="atLeast"/>
            </w:pPr>
            <w:r>
              <w:rPr>
                <w:rFonts w:ascii="Arial" w:hAnsi="Arial" w:cs="Arial" w:eastAsia="Arial"/>
                <w:sz w:val="16"/>
                <w:szCs w:val="16"/>
              </w:rPr>
              <w:t>Oxygen resuscitation equipment</w:t>
            </w:r>
          </w:p>
        </w:tc>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sz w:val="16"/>
                <w:szCs w:val="16"/>
              </w:rPr>
              <w:t>Monthly</w:t>
            </w:r>
          </w:p>
        </w:tc>
        <w:tc>
          <w:tcPr>
            <w:tcW w:type="dxa" w:w="1504"/>
          </w:tcPr>
          <w:p>
            <w:pPr>
              <w:pStyle w:val="TableContents"/>
              <w:spacing w:before="0" w:after="0" w:line="240" w:lineRule="atLeast"/>
            </w:pPr>
            <w:r>
              <w:rPr>
                <w:rFonts w:ascii="Arial" w:hAnsi="Arial" w:cs="Arial" w:eastAsia="Arial"/>
                <w:sz w:val="16"/>
                <w:szCs w:val="16"/>
              </w:rPr>
              <w:t>Medical Officer</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r>
        <w:tc>
          <w:tcPr>
            <w:tcW w:type="dxa" w:w="1504"/>
          </w:tcPr>
          <w:p>
            <w:pPr>
              <w:pStyle w:val="TableContents"/>
              <w:spacing w:before="0" w:after="0" w:line="240" w:lineRule="atLeast"/>
            </w:pPr>
            <w:r>
              <w:rPr>
                <w:rFonts w:ascii="Arial" w:hAnsi="Arial" w:cs="Arial" w:eastAsia="Arial"/>
                <w:b/>
                <w:bCs/>
                <w:color w:val="0059D1"/>
                <w:sz w:val="16"/>
                <w:szCs w:val="16"/>
              </w:rPr>
              <w:t>[INSERT: project-specific equipment]</w:t>
            </w:r>
          </w:p>
        </w:tc>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b/>
                <w:bCs/>
                <w:color w:val="0059D1"/>
                <w:sz w:val="16"/>
                <w:szCs w:val="16"/>
              </w:rPr>
              <w:t>[INSERT: frequency]</w:t>
            </w:r>
          </w:p>
        </w:tc>
        <w:tc>
          <w:tcPr>
            <w:tcW w:type="dxa" w:w="1504"/>
          </w:tcPr>
          <w:p>
            <w:pPr>
              <w:pStyle w:val="TableContents"/>
              <w:spacing w:before="0" w:after="0" w:line="240" w:lineRule="atLeast"/>
            </w:pPr>
            <w:r>
              <w:rPr>
                <w:rFonts w:ascii="Arial" w:hAnsi="Arial" w:cs="Arial" w:eastAsia="Arial"/>
                <w:b/>
                <w:bCs/>
                <w:color w:val="0059D1"/>
                <w:sz w:val="16"/>
                <w:szCs w:val="16"/>
              </w:rPr>
              <w:t>[INSERT: role]</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1Numbered"/>
        <w:numPr>
          <w:ilvl w:val="0"/>
          <w:numId w:val="1"/>
        </w:numPr>
      </w:pPr>
      <w:r>
        <w:rPr>
          <w:rFonts w:ascii="Arial" w:hAnsi="Arial" w:cs="Arial" w:eastAsia="Arial"/>
        </w:rPr>
        <w:t>Community Consultation and Communications</w:t>
      </w:r>
    </w:p>
    <w:p>
      <w:pPr>
        <w:pStyle w:val="NormalNumberedtext"/>
      </w:pPr>
      <w:r>
        <w:t>This section defines community consultation requirements for ERP development and the communication obligations that apply when a credible scenario has potential community impact.</w:t>
      </w:r>
    </w:p>
    <w:p>
      <w:pPr>
        <w:pStyle w:val="NormalNumberedtext"/>
      </w:pPr>
    </w:p>
    <w:p>
      <w:pPr>
        <w:pStyle w:val="Heading2Numbered"/>
        <w:numPr>
          <w:ilvl w:val="1"/>
          <w:numId w:val="1"/>
        </w:numPr>
      </w:pPr>
      <w:r>
        <w:rPr>
          <w:rFonts w:ascii="Arial" w:hAnsi="Arial" w:cs="Arial" w:eastAsia="Arial"/>
        </w:rPr>
        <w:t>Community Consultation in ERP Development</w:t>
      </w:r>
    </w:p>
    <w:p>
      <w:pPr>
        <w:pStyle w:val="NormalNumberedtext"/>
      </w:pPr>
      <w:r>
        <w:t>This section defines when and how community consultation is conducted as part of the ERP development process.</w:t>
      </w:r>
    </w:p>
    <w:p>
      <w:pPr>
        <w:pStyle w:val="NormalNumberedtext"/>
      </w:pPr>
      <w:r>
        <w:t>The HSESC Manager identifies all communities and stakeholders potentially affected by a credible emergency scenario as part of the risk assessment workshop process. Where there is potential for significant community impact, community consultation is conducted before the ERP is finalised, and the outcomes of that consultation are incorporated into the ERP.</w:t>
      </w:r>
    </w:p>
    <w:p>
      <w:pPr>
        <w:pStyle w:val="NormalNumberedtext"/>
      </w:pPr>
      <w:r>
        <w:t>All community emergency communications, consultation materials, and ERP sections relevant to community stakeholders are provided in an accessible and understandable language or form for the intended audience. The ERP identifies which scenarios have potential community impact and defines the community notification process for each such scenario.</w:t>
      </w:r>
    </w:p>
    <w:p>
      <w:pPr>
        <w:pStyle w:val="NormalNumberedtext"/>
      </w:pPr>
      <w:r>
        <w:rPr>
          <w:b/>
          <w:bCs/>
          <w:color w:val="0059D1"/>
        </w:rPr>
        <w:t>[INSERT: community_consultation_record] — Reference the community consultation record or stakeholder engagement log that documents consultation conducted during ERP development for this project</w:t>
      </w:r>
    </w:p>
    <w:p>
      <w:pPr>
        <w:pStyle w:val="NormalNumberedtext"/>
      </w:pPr>
    </w:p>
    <w:p>
      <w:pPr>
        <w:pStyle w:val="Heading2Numbered"/>
        <w:numPr>
          <w:ilvl w:val="1"/>
          <w:numId w:val="1"/>
        </w:numPr>
      </w:pPr>
      <w:r>
        <w:rPr>
          <w:rFonts w:ascii="Arial" w:hAnsi="Arial" w:cs="Arial" w:eastAsia="Arial"/>
        </w:rPr>
        <w:t>Crisis Communications Planning</w:t>
      </w:r>
    </w:p>
    <w:p>
      <w:pPr>
        <w:pStyle w:val="NormalNumberedtext"/>
      </w:pPr>
      <w:r>
        <w:t>This section defines the requirements for crisis communication planning to enable timely and transparent communication to affected stakeholders during an emergency.</w:t>
      </w:r>
    </w:p>
    <w:p>
      <w:pPr>
        <w:pStyle w:val="NormalNumberedtext"/>
      </w:pPr>
      <w:r>
        <w:t>The ERP includes a crisis communications plan that defines how timely, accurate, and transparent communication is delivered to all affected stakeholders during an emergency, consistent with the TSM Crisis Management and Communications Planning Protocol indicator CM2. The communications plan is tested as part of the emergency drill programme.</w:t>
      </w:r>
    </w:p>
    <w:p>
      <w:pPr>
        <w:pStyle w:val="NormalNumberedtext"/>
      </w:pPr>
      <w:r>
        <w:t>The crisis communications plan addresses the following minimum elements:</w:t>
      </w:r>
    </w:p>
    <w:p>
      <w:pPr>
        <w:pStyle w:val="NumberedBulletL1"/>
      </w:pPr>
      <w:r>
        <w:t>Designated spokespersons and their alternates for each stakeholder group, including media, host communities, regulators, and the RT Product Group or Functional Group.</w:t>
      </w:r>
    </w:p>
    <w:p>
      <w:pPr>
        <w:pStyle w:val="NumberedBulletL1"/>
      </w:pPr>
      <w:r>
        <w:t>Pre-approved communication templates for each credible scenario type.</w:t>
      </w:r>
    </w:p>
    <w:p>
      <w:pPr>
        <w:pStyle w:val="NumberedBulletL1"/>
      </w:pPr>
      <w:r>
        <w:t>Communication channels for each stakeholder group, including phone, radio, written notice, and social media where relevant.</w:t>
      </w:r>
    </w:p>
    <w:p>
      <w:pPr>
        <w:pStyle w:val="NumberedBulletL1"/>
      </w:pPr>
      <w:r>
        <w:t>Time targets for initial notification to each stakeholder group following declaration of an emergency.</w:t>
      </w:r>
    </w:p>
    <w:p>
      <w:pPr>
        <w:pStyle w:val="NumberedBulletL1"/>
      </w:pPr>
      <w:r>
        <w:rPr>
          <w:color w:val="C55A11"/>
        </w:rPr>
        <w:t>A holding statement protocol for use in the period between emergency declaration and the availability of confirmed information.</w:t>
      </w:r>
    </w:p>
    <w:p>
      <w:pPr>
        <w:pStyle w:val="NormalNumberedtext"/>
      </w:pPr>
      <w:r>
        <w:rPr>
          <w:b/>
          <w:bCs/>
          <w:color w:val="0059D1"/>
        </w:rPr>
        <w:t>[INSERT: community_communication_methods]</w:t>
      </w:r>
    </w:p>
    <w:p>
      <w:pPr>
        <w:pStyle w:val="NormalNumberedtext"/>
      </w:pPr>
    </w:p>
    <w:p>
      <w:pPr>
        <w:pStyle w:val="Heading1Numbered"/>
        <w:numPr>
          <w:ilvl w:val="0"/>
          <w:numId w:val="1"/>
        </w:numPr>
      </w:pPr>
      <w:r>
        <w:rPr>
          <w:rFonts w:ascii="Arial" w:hAnsi="Arial" w:cs="Arial" w:eastAsia="Arial"/>
        </w:rPr>
        <w:t>Emergency Drills and Business Resilience Team</w:t>
      </w:r>
    </w:p>
    <w:p>
      <w:pPr>
        <w:pStyle w:val="NormalNumberedtext"/>
      </w:pPr>
      <w:r>
        <w:t>This section defines the emergency drill programme requirements, the site BRT composition and activation process, and the escalation pathway to the RT Product Group or Functional Group BRT.</w:t>
      </w:r>
    </w:p>
    <w:p>
      <w:pPr>
        <w:pStyle w:val="NormalNumberedtext"/>
      </w:pPr>
    </w:p>
    <w:p>
      <w:pPr>
        <w:pStyle w:val="Heading2Numbered"/>
        <w:numPr>
          <w:ilvl w:val="1"/>
          <w:numId w:val="1"/>
        </w:numPr>
      </w:pPr>
      <w:r>
        <w:rPr>
          <w:rFonts w:ascii="Arial" w:hAnsi="Arial" w:cs="Arial" w:eastAsia="Arial"/>
        </w:rPr>
        <w:t>Emergency Drill Programme</w:t>
      </w:r>
    </w:p>
    <w:p>
      <w:pPr>
        <w:pStyle w:val="NormalNumberedtext"/>
      </w:pPr>
      <w:r>
        <w:t>This section defines drill frequency, scenario coverage, interfaces with external response organisations, and the lessons learned process.</w:t>
      </w:r>
    </w:p>
    <w:p>
      <w:pPr>
        <w:pStyle w:val="NormalNumberedtext"/>
      </w:pPr>
      <w:r>
        <w:t>The HSESC Manager manages the emergency drill programme to periodically test project emergency response capabilities through simulated scenarios. Drill activities include interfaces with local emergency services and community response teams where scenarios have potential community impact. Lessons learned from each drill are documented and incorporated into the ERP through the Management of Change process, refer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emergency drill schedule for this project before Work commences, including which scenarios are tested, at what frequency, and when in the project programme each drill is scheduled. Insert the completed schedule in Table 4 below.</w:t>
            </w:r>
          </w:p>
        </w:tc>
      </w:tr>
    </w:tbl>
    <w:p>
      <w:pPr>
        <w:pStyle w:val="NormalNumberedtext"/>
      </w:pPr>
    </w:p>
    <w:p>
      <w:pPr>
        <w:pStyle w:val="NormalNumberedtext"/>
      </w:pPr>
      <w:r>
        <w:t>Table 4: Emergency Drill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Scenario Type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Drill Format</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Minimum Frequency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Interface Required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Scheduled Date</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504"/>
          </w:tcPr>
          <w:p>
            <w:pPr>
              <w:pStyle w:val="TableContents"/>
              <w:spacing w:before="0" w:after="0" w:line="240" w:lineRule="atLeast"/>
            </w:pPr>
            <w:r>
              <w:rPr>
                <w:rFonts w:ascii="Arial" w:hAnsi="Arial" w:cs="Arial" w:eastAsia="Arial"/>
                <w:sz w:val="16"/>
                <w:szCs w:val="16"/>
              </w:rPr>
              <w:t>Personal injury - serious</w:t>
            </w:r>
          </w:p>
        </w:tc>
        <w:tc>
          <w:tcPr>
            <w:tcW w:type="dxa" w:w="1504"/>
          </w:tcPr>
          <w:p>
            <w:pPr>
              <w:pStyle w:val="TableContents"/>
              <w:spacing w:before="0" w:after="0" w:line="240" w:lineRule="atLeast"/>
            </w:pPr>
            <w:r>
              <w:rPr>
                <w:rFonts w:ascii="Arial" w:hAnsi="Arial" w:cs="Arial" w:eastAsia="Arial"/>
                <w:sz w:val="16"/>
                <w:szCs w:val="16"/>
              </w:rPr>
              <w:t>Full activation drill</w:t>
            </w:r>
          </w:p>
        </w:tc>
        <w:tc>
          <w:tcPr>
            <w:tcW w:type="dxa" w:w="1504"/>
          </w:tcPr>
          <w:p>
            <w:pPr>
              <w:pStyle w:val="TableContents"/>
              <w:spacing w:before="0" w:after="0" w:line="240" w:lineRule="atLeast"/>
            </w:pPr>
            <w:r>
              <w:rPr>
                <w:rFonts w:ascii="Arial" w:hAnsi="Arial" w:cs="Arial" w:eastAsia="Arial"/>
                <w:sz w:val="16"/>
                <w:szCs w:val="16"/>
              </w:rPr>
              <w:t>Annually</w:t>
            </w:r>
          </w:p>
        </w:tc>
        <w:tc>
          <w:tcPr>
            <w:tcW w:type="dxa" w:w="1504"/>
          </w:tcPr>
          <w:p>
            <w:pPr>
              <w:pStyle w:val="TableContents"/>
              <w:spacing w:before="0" w:after="0" w:line="240" w:lineRule="atLeast"/>
            </w:pPr>
            <w:r>
              <w:rPr>
                <w:rFonts w:ascii="Arial" w:hAnsi="Arial" w:cs="Arial" w:eastAsia="Arial"/>
                <w:sz w:val="16"/>
                <w:szCs w:val="16"/>
              </w:rPr>
              <w:t>Local ambulance service</w:t>
            </w:r>
          </w:p>
        </w:tc>
        <w:tc>
          <w:tcPr>
            <w:tcW w:type="dxa" w:w="1504"/>
          </w:tcPr>
          <w:p>
            <w:pPr>
              <w:pStyle w:val="TableContents"/>
              <w:spacing w:before="0" w:after="0" w:line="240" w:lineRule="atLeast"/>
            </w:pPr>
            <w:r>
              <w:rPr>
                <w:rFonts w:ascii="Arial" w:hAnsi="Arial" w:cs="Arial" w:eastAsia="Arial"/>
                <w:b/>
                <w:bCs/>
                <w:color w:val="0059D1"/>
                <w:sz w:val="16"/>
                <w:szCs w:val="16"/>
              </w:rPr>
              <w:t>[INSERT: scheduled date]</w:t>
            </w:r>
          </w:p>
        </w:tc>
        <w:tc>
          <w:tcPr>
            <w:tcW w:type="dxa" w:w="1506"/>
          </w:tcPr>
          <w:p>
            <w:pPr>
              <w:pStyle w:val="TableContents"/>
              <w:spacing w:before="0" w:after="0" w:line="240" w:lineRule="atLeast"/>
            </w:pPr>
            <w:r>
              <w:rPr>
                <w:rFonts w:ascii="Arial" w:hAnsi="Arial" w:cs="Arial" w:eastAsia="Arial"/>
                <w:sz w:val="16"/>
                <w:szCs w:val="16"/>
              </w:rPr>
              <w:t>HSESC Manager</w:t>
            </w:r>
          </w:p>
        </w:tc>
      </w:tr>
      <w:tr>
        <w:tc>
          <w:tcPr>
            <w:tcW w:type="dxa" w:w="1504"/>
          </w:tcPr>
          <w:p>
            <w:pPr>
              <w:pStyle w:val="TableContents"/>
              <w:spacing w:before="0" w:after="0" w:line="240" w:lineRule="atLeast"/>
            </w:pPr>
            <w:r>
              <w:rPr>
                <w:rFonts w:ascii="Arial" w:hAnsi="Arial" w:cs="Arial" w:eastAsia="Arial"/>
                <w:sz w:val="16"/>
                <w:szCs w:val="16"/>
              </w:rPr>
              <w:t>Fire</w:t>
            </w:r>
          </w:p>
        </w:tc>
        <w:tc>
          <w:tcPr>
            <w:tcW w:type="dxa" w:w="1504"/>
          </w:tcPr>
          <w:p>
            <w:pPr>
              <w:pStyle w:val="TableContents"/>
              <w:spacing w:before="0" w:after="0" w:line="240" w:lineRule="atLeast"/>
            </w:pPr>
            <w:r>
              <w:rPr>
                <w:rFonts w:ascii="Arial" w:hAnsi="Arial" w:cs="Arial" w:eastAsia="Arial"/>
                <w:sz w:val="16"/>
                <w:szCs w:val="16"/>
              </w:rPr>
              <w:t>Full evacuation drill</w:t>
            </w:r>
          </w:p>
        </w:tc>
        <w:tc>
          <w:tcPr>
            <w:tcW w:type="dxa" w:w="1504"/>
          </w:tcPr>
          <w:p>
            <w:pPr>
              <w:pStyle w:val="TableContents"/>
              <w:spacing w:before="0" w:after="0" w:line="240" w:lineRule="atLeast"/>
            </w:pPr>
            <w:r>
              <w:rPr>
                <w:rFonts w:ascii="Arial" w:hAnsi="Arial" w:cs="Arial" w:eastAsia="Arial"/>
                <w:sz w:val="16"/>
                <w:szCs w:val="16"/>
              </w:rPr>
              <w:t>Six-monthly</w:t>
            </w:r>
          </w:p>
        </w:tc>
        <w:tc>
          <w:tcPr>
            <w:tcW w:type="dxa" w:w="1504"/>
          </w:tcPr>
          <w:p>
            <w:pPr>
              <w:pStyle w:val="TableContents"/>
              <w:spacing w:before="0" w:after="0" w:line="240" w:lineRule="atLeast"/>
            </w:pPr>
            <w:r>
              <w:rPr>
                <w:rFonts w:ascii="Arial" w:hAnsi="Arial" w:cs="Arial" w:eastAsia="Arial"/>
                <w:sz w:val="16"/>
                <w:szCs w:val="16"/>
              </w:rPr>
              <w:t>Local fire service</w:t>
            </w:r>
          </w:p>
        </w:tc>
        <w:tc>
          <w:tcPr>
            <w:tcW w:type="dxa" w:w="1504"/>
          </w:tcPr>
          <w:p>
            <w:pPr>
              <w:pStyle w:val="TableContents"/>
              <w:spacing w:before="0" w:after="0" w:line="240" w:lineRule="atLeast"/>
            </w:pPr>
            <w:r>
              <w:rPr>
                <w:rFonts w:ascii="Arial" w:hAnsi="Arial" w:cs="Arial" w:eastAsia="Arial"/>
                <w:b/>
                <w:bCs/>
                <w:color w:val="0059D1"/>
                <w:sz w:val="16"/>
                <w:szCs w:val="16"/>
              </w:rPr>
              <w:t>[INSERT: scheduled date]</w:t>
            </w:r>
          </w:p>
        </w:tc>
        <w:tc>
          <w:tcPr>
            <w:tcW w:type="dxa" w:w="1506"/>
          </w:tcPr>
          <w:p>
            <w:pPr>
              <w:pStyle w:val="TableContents"/>
              <w:spacing w:before="0" w:after="0" w:line="240" w:lineRule="atLeast"/>
            </w:pPr>
            <w:r>
              <w:rPr>
                <w:rFonts w:ascii="Arial" w:hAnsi="Arial" w:cs="Arial" w:eastAsia="Arial"/>
                <w:sz w:val="16"/>
                <w:szCs w:val="16"/>
              </w:rPr>
              <w:t>HSESC Manager</w:t>
            </w:r>
          </w:p>
        </w:tc>
      </w:tr>
      <w:tr>
        <w:tc>
          <w:tcPr>
            <w:tcW w:type="dxa" w:w="1504"/>
          </w:tcPr>
          <w:p>
            <w:pPr>
              <w:pStyle w:val="TableContents"/>
              <w:spacing w:before="0" w:after="0" w:line="240" w:lineRule="atLeast"/>
            </w:pPr>
            <w:r>
              <w:rPr>
                <w:rFonts w:ascii="Arial" w:hAnsi="Arial" w:cs="Arial" w:eastAsia="Arial"/>
                <w:sz w:val="16"/>
                <w:szCs w:val="16"/>
              </w:rPr>
              <w:t>Spill or environmental release</w:t>
            </w:r>
          </w:p>
        </w:tc>
        <w:tc>
          <w:tcPr>
            <w:tcW w:type="dxa" w:w="1504"/>
          </w:tcPr>
          <w:p>
            <w:pPr>
              <w:pStyle w:val="TableContents"/>
              <w:spacing w:before="0" w:after="0" w:line="240" w:lineRule="atLeast"/>
            </w:pPr>
            <w:r>
              <w:rPr>
                <w:rFonts w:ascii="Arial" w:hAnsi="Arial" w:cs="Arial" w:eastAsia="Arial"/>
                <w:sz w:val="16"/>
                <w:szCs w:val="16"/>
              </w:rPr>
              <w:t>Tabletop exercise</w:t>
            </w:r>
          </w:p>
        </w:tc>
        <w:tc>
          <w:tcPr>
            <w:tcW w:type="dxa" w:w="1504"/>
          </w:tcPr>
          <w:p>
            <w:pPr>
              <w:pStyle w:val="TableContents"/>
              <w:spacing w:before="0" w:after="0" w:line="240" w:lineRule="atLeast"/>
            </w:pPr>
            <w:r>
              <w:rPr>
                <w:rFonts w:ascii="Arial" w:hAnsi="Arial" w:cs="Arial" w:eastAsia="Arial"/>
                <w:sz w:val="16"/>
                <w:szCs w:val="16"/>
              </w:rPr>
              <w:t>Annually</w:t>
            </w:r>
          </w:p>
        </w:tc>
        <w:tc>
          <w:tcPr>
            <w:tcW w:type="dxa" w:w="1504"/>
          </w:tcPr>
          <w:p>
            <w:pPr>
              <w:pStyle w:val="TableContents"/>
              <w:spacing w:before="0" w:after="0" w:line="240" w:lineRule="atLeast"/>
            </w:pPr>
            <w:r>
              <w:rPr>
                <w:rFonts w:ascii="Arial" w:hAnsi="Arial" w:cs="Arial" w:eastAsia="Arial"/>
                <w:sz w:val="16"/>
                <w:szCs w:val="16"/>
              </w:rPr>
              <w:t>Regulator notification test</w:t>
            </w:r>
          </w:p>
        </w:tc>
        <w:tc>
          <w:tcPr>
            <w:tcW w:type="dxa" w:w="1504"/>
          </w:tcPr>
          <w:p>
            <w:pPr>
              <w:pStyle w:val="TableContents"/>
              <w:spacing w:before="0" w:after="0" w:line="240" w:lineRule="atLeast"/>
            </w:pPr>
            <w:r>
              <w:rPr>
                <w:rFonts w:ascii="Arial" w:hAnsi="Arial" w:cs="Arial" w:eastAsia="Arial"/>
                <w:b/>
                <w:bCs/>
                <w:color w:val="0059D1"/>
                <w:sz w:val="16"/>
                <w:szCs w:val="16"/>
              </w:rPr>
              <w:t>[INSERT: scheduled date]</w:t>
            </w:r>
          </w:p>
        </w:tc>
        <w:tc>
          <w:tcPr>
            <w:tcW w:type="dxa" w:w="1506"/>
          </w:tcPr>
          <w:p>
            <w:pPr>
              <w:pStyle w:val="TableContents"/>
              <w:spacing w:before="0" w:after="0" w:line="240" w:lineRule="atLeast"/>
            </w:pPr>
            <w:r>
              <w:rPr>
                <w:rFonts w:ascii="Arial" w:hAnsi="Arial" w:cs="Arial" w:eastAsia="Arial"/>
                <w:sz w:val="16"/>
                <w:szCs w:val="16"/>
              </w:rPr>
              <w:t>HSESC Manager</w:t>
            </w:r>
          </w:p>
        </w:tc>
      </w:tr>
      <w:tr>
        <w:tc>
          <w:tcPr>
            <w:tcW w:type="dxa" w:w="1504"/>
          </w:tcPr>
          <w:p>
            <w:pPr>
              <w:pStyle w:val="TableContents"/>
              <w:spacing w:before="0" w:after="0" w:line="240" w:lineRule="atLeast"/>
            </w:pPr>
            <w:r>
              <w:rPr>
                <w:rFonts w:ascii="Arial" w:hAnsi="Arial" w:cs="Arial" w:eastAsia="Arial"/>
                <w:sz w:val="16"/>
                <w:szCs w:val="16"/>
              </w:rPr>
              <w:t>Security incident</w:t>
            </w:r>
          </w:p>
        </w:tc>
        <w:tc>
          <w:tcPr>
            <w:tcW w:type="dxa" w:w="1504"/>
          </w:tcPr>
          <w:p>
            <w:pPr>
              <w:pStyle w:val="TableContents"/>
              <w:spacing w:before="0" w:after="0" w:line="240" w:lineRule="atLeast"/>
            </w:pPr>
            <w:r>
              <w:rPr>
                <w:rFonts w:ascii="Arial" w:hAnsi="Arial" w:cs="Arial" w:eastAsia="Arial"/>
                <w:sz w:val="16"/>
                <w:szCs w:val="16"/>
              </w:rPr>
              <w:t>Tabletop exercise</w:t>
            </w:r>
          </w:p>
        </w:tc>
        <w:tc>
          <w:tcPr>
            <w:tcW w:type="dxa" w:w="1504"/>
          </w:tcPr>
          <w:p>
            <w:pPr>
              <w:pStyle w:val="TableContents"/>
              <w:spacing w:before="0" w:after="0" w:line="240" w:lineRule="atLeast"/>
            </w:pPr>
            <w:r>
              <w:rPr>
                <w:rFonts w:ascii="Arial" w:hAnsi="Arial" w:cs="Arial" w:eastAsia="Arial"/>
                <w:sz w:val="16"/>
                <w:szCs w:val="16"/>
              </w:rPr>
              <w:t>Annually</w:t>
            </w:r>
          </w:p>
        </w:tc>
        <w:tc>
          <w:tcPr>
            <w:tcW w:type="dxa" w:w="1504"/>
          </w:tcPr>
          <w:p>
            <w:pPr>
              <w:pStyle w:val="TableContents"/>
              <w:spacing w:before="0" w:after="0" w:line="240" w:lineRule="atLeast"/>
            </w:pPr>
            <w:r>
              <w:rPr>
                <w:rFonts w:ascii="Arial" w:hAnsi="Arial" w:cs="Arial" w:eastAsia="Arial"/>
                <w:sz w:val="16"/>
                <w:szCs w:val="16"/>
              </w:rPr>
              <w:t>Local police service</w:t>
            </w:r>
          </w:p>
        </w:tc>
        <w:tc>
          <w:tcPr>
            <w:tcW w:type="dxa" w:w="1504"/>
          </w:tcPr>
          <w:p>
            <w:pPr>
              <w:pStyle w:val="TableContents"/>
              <w:spacing w:before="0" w:after="0" w:line="240" w:lineRule="atLeast"/>
            </w:pPr>
            <w:r>
              <w:rPr>
                <w:rFonts w:ascii="Arial" w:hAnsi="Arial" w:cs="Arial" w:eastAsia="Arial"/>
                <w:b/>
                <w:bCs/>
                <w:color w:val="0059D1"/>
                <w:sz w:val="16"/>
                <w:szCs w:val="16"/>
              </w:rPr>
              <w:t>[INSERT: scheduled date]</w:t>
            </w:r>
          </w:p>
        </w:tc>
        <w:tc>
          <w:tcPr>
            <w:tcW w:type="dxa" w:w="1506"/>
          </w:tcPr>
          <w:p>
            <w:pPr>
              <w:pStyle w:val="TableContents"/>
              <w:spacing w:before="0" w:after="0" w:line="240" w:lineRule="atLeast"/>
            </w:pPr>
            <w:r>
              <w:rPr>
                <w:rFonts w:ascii="Arial" w:hAnsi="Arial" w:cs="Arial" w:eastAsia="Arial"/>
                <w:sz w:val="16"/>
                <w:szCs w:val="16"/>
              </w:rPr>
              <w:t>HSESC Manager</w:t>
            </w:r>
          </w:p>
        </w:tc>
      </w:tr>
      <w:tr>
        <w:tc>
          <w:tcPr>
            <w:tcW w:type="dxa" w:w="1504"/>
          </w:tcPr>
          <w:p>
            <w:pPr>
              <w:pStyle w:val="TableContents"/>
              <w:spacing w:before="0" w:after="0" w:line="240" w:lineRule="atLeast"/>
            </w:pPr>
            <w:r>
              <w:rPr>
                <w:rFonts w:ascii="Arial" w:hAnsi="Arial" w:cs="Arial" w:eastAsia="Arial"/>
                <w:sz w:val="16"/>
                <w:szCs w:val="16"/>
              </w:rPr>
              <w:t>Medical emergency</w:t>
            </w:r>
          </w:p>
        </w:tc>
        <w:tc>
          <w:tcPr>
            <w:tcW w:type="dxa" w:w="1504"/>
          </w:tcPr>
          <w:p>
            <w:pPr>
              <w:pStyle w:val="TableContents"/>
              <w:spacing w:before="0" w:after="0" w:line="240" w:lineRule="atLeast"/>
            </w:pPr>
            <w:r>
              <w:rPr>
                <w:rFonts w:ascii="Arial" w:hAnsi="Arial" w:cs="Arial" w:eastAsia="Arial"/>
                <w:sz w:val="16"/>
                <w:szCs w:val="16"/>
              </w:rPr>
              <w:t>First aid scenario exercise</w:t>
            </w:r>
          </w:p>
        </w:tc>
        <w:tc>
          <w:tcPr>
            <w:tcW w:type="dxa" w:w="1504"/>
          </w:tcPr>
          <w:p>
            <w:pPr>
              <w:pStyle w:val="TableContents"/>
              <w:spacing w:before="0" w:after="0" w:line="240" w:lineRule="atLeast"/>
            </w:pPr>
            <w:r>
              <w:rPr>
                <w:rFonts w:ascii="Arial" w:hAnsi="Arial" w:cs="Arial" w:eastAsia="Arial"/>
                <w:sz w:val="16"/>
                <w:szCs w:val="16"/>
              </w:rPr>
              <w:t>Quarterly</w:t>
            </w:r>
          </w:p>
        </w:tc>
        <w:tc>
          <w:tcPr>
            <w:tcW w:type="dxa" w:w="1504"/>
          </w:tcPr>
          <w:p>
            <w:pPr>
              <w:pStyle w:val="TableContents"/>
              <w:spacing w:before="0" w:after="0" w:line="240" w:lineRule="atLeast"/>
            </w:pPr>
            <w:r>
              <w:rPr>
                <w:rFonts w:ascii="Arial" w:hAnsi="Arial" w:cs="Arial" w:eastAsia="Arial"/>
                <w:sz w:val="16"/>
                <w:szCs w:val="16"/>
              </w:rPr>
              <w:t>Local hospital transport test</w:t>
            </w:r>
          </w:p>
        </w:tc>
        <w:tc>
          <w:tcPr>
            <w:tcW w:type="dxa" w:w="1504"/>
          </w:tcPr>
          <w:p>
            <w:pPr>
              <w:pStyle w:val="TableContents"/>
              <w:spacing w:before="0" w:after="0" w:line="240" w:lineRule="atLeast"/>
            </w:pPr>
            <w:r>
              <w:rPr>
                <w:rFonts w:ascii="Arial" w:hAnsi="Arial" w:cs="Arial" w:eastAsia="Arial"/>
                <w:b/>
                <w:bCs/>
                <w:color w:val="0059D1"/>
                <w:sz w:val="16"/>
                <w:szCs w:val="16"/>
              </w:rPr>
              <w:t>[INSERT: scheduled date]</w:t>
            </w:r>
          </w:p>
        </w:tc>
        <w:tc>
          <w:tcPr>
            <w:tcW w:type="dxa" w:w="1506"/>
          </w:tcPr>
          <w:p>
            <w:pPr>
              <w:pStyle w:val="TableContents"/>
              <w:spacing w:before="0" w:after="0" w:line="240" w:lineRule="atLeast"/>
            </w:pPr>
            <w:r>
              <w:rPr>
                <w:rFonts w:ascii="Arial" w:hAnsi="Arial" w:cs="Arial" w:eastAsia="Arial"/>
                <w:sz w:val="16"/>
                <w:szCs w:val="16"/>
              </w:rPr>
              <w:t>Medical Officer</w:t>
            </w:r>
          </w:p>
        </w:tc>
      </w:tr>
      <w:tr>
        <w:tc>
          <w:tcPr>
            <w:tcW w:type="dxa" w:w="1504"/>
          </w:tcPr>
          <w:p>
            <w:pPr>
              <w:pStyle w:val="TableContents"/>
              <w:spacing w:before="0" w:after="0" w:line="240" w:lineRule="atLeast"/>
            </w:pPr>
            <w:r>
              <w:rPr>
                <w:rFonts w:ascii="Arial" w:hAnsi="Arial" w:cs="Arial" w:eastAsia="Arial"/>
                <w:sz w:val="16"/>
                <w:szCs w:val="16"/>
              </w:rPr>
              <w:t>BRT activation</w:t>
            </w:r>
          </w:p>
        </w:tc>
        <w:tc>
          <w:tcPr>
            <w:tcW w:type="dxa" w:w="1504"/>
          </w:tcPr>
          <w:p>
            <w:pPr>
              <w:pStyle w:val="TableContents"/>
              <w:spacing w:before="0" w:after="0" w:line="240" w:lineRule="atLeast"/>
            </w:pPr>
            <w:r>
              <w:rPr>
                <w:rFonts w:ascii="Arial" w:hAnsi="Arial" w:cs="Arial" w:eastAsia="Arial"/>
                <w:sz w:val="16"/>
                <w:szCs w:val="16"/>
              </w:rPr>
              <w:t>Tabletop exercise</w:t>
            </w:r>
          </w:p>
        </w:tc>
        <w:tc>
          <w:tcPr>
            <w:tcW w:type="dxa" w:w="1504"/>
          </w:tcPr>
          <w:p>
            <w:pPr>
              <w:pStyle w:val="TableContents"/>
              <w:spacing w:before="0" w:after="0" w:line="240" w:lineRule="atLeast"/>
            </w:pPr>
            <w:r>
              <w:rPr>
                <w:rFonts w:ascii="Arial" w:hAnsi="Arial" w:cs="Arial" w:eastAsia="Arial"/>
                <w:sz w:val="16"/>
                <w:szCs w:val="16"/>
              </w:rPr>
              <w:t>Annually</w:t>
            </w:r>
          </w:p>
        </w:tc>
        <w:tc>
          <w:tcPr>
            <w:tcW w:type="dxa" w:w="1504"/>
          </w:tcPr>
          <w:p>
            <w:pPr>
              <w:pStyle w:val="TableContents"/>
              <w:spacing w:before="0" w:after="0" w:line="240" w:lineRule="atLeast"/>
            </w:pPr>
            <w:r>
              <w:rPr>
                <w:rFonts w:ascii="Arial" w:hAnsi="Arial" w:cs="Arial" w:eastAsia="Arial"/>
                <w:sz w:val="16"/>
                <w:szCs w:val="16"/>
              </w:rPr>
              <w:t>RT Product Group or Functional Group BRT</w:t>
            </w:r>
          </w:p>
        </w:tc>
        <w:tc>
          <w:tcPr>
            <w:tcW w:type="dxa" w:w="1504"/>
          </w:tcPr>
          <w:p>
            <w:pPr>
              <w:pStyle w:val="TableContents"/>
              <w:spacing w:before="0" w:after="0" w:line="240" w:lineRule="atLeast"/>
            </w:pPr>
            <w:r>
              <w:rPr>
                <w:rFonts w:ascii="Arial" w:hAnsi="Arial" w:cs="Arial" w:eastAsia="Arial"/>
                <w:b/>
                <w:bCs/>
                <w:color w:val="0059D1"/>
                <w:sz w:val="16"/>
                <w:szCs w:val="16"/>
              </w:rPr>
              <w:t>[INSERT: scheduled date]</w:t>
            </w:r>
          </w:p>
        </w:tc>
        <w:tc>
          <w:tcPr>
            <w:tcW w:type="dxa" w:w="1506"/>
          </w:tcPr>
          <w:p>
            <w:pPr>
              <w:pStyle w:val="TableContents"/>
              <w:spacing w:before="0" w:after="0" w:line="240" w:lineRule="atLeast"/>
            </w:pPr>
            <w:r>
              <w:rPr>
                <w:rFonts w:ascii="Arial" w:hAnsi="Arial" w:cs="Arial" w:eastAsia="Arial"/>
                <w:sz w:val="16"/>
                <w:szCs w:val="16"/>
              </w:rPr>
              <w:t>Site Manager</w:t>
            </w:r>
          </w:p>
        </w:tc>
      </w:tr>
      <w:tr>
        <w:tc>
          <w:tcPr>
            <w:tcW w:type="dxa" w:w="1504"/>
          </w:tcPr>
          <w:p>
            <w:pPr>
              <w:pStyle w:val="TableContents"/>
              <w:spacing w:before="0" w:after="0" w:line="240" w:lineRule="atLeast"/>
            </w:pPr>
            <w:r>
              <w:rPr>
                <w:rFonts w:ascii="Arial" w:hAnsi="Arial" w:cs="Arial" w:eastAsia="Arial"/>
                <w:b/>
                <w:bCs/>
                <w:color w:val="0059D1"/>
                <w:sz w:val="16"/>
                <w:szCs w:val="16"/>
              </w:rPr>
              <w:t>[INSERT: project-specific scenario]</w:t>
            </w:r>
          </w:p>
        </w:tc>
        <w:tc>
          <w:tcPr>
            <w:tcW w:type="dxa" w:w="1504"/>
          </w:tcPr>
          <w:p>
            <w:pPr>
              <w:pStyle w:val="TableContents"/>
              <w:spacing w:before="0" w:after="0" w:line="240" w:lineRule="atLeast"/>
            </w:pPr>
            <w:r>
              <w:rPr>
                <w:rFonts w:ascii="Arial" w:hAnsi="Arial" w:cs="Arial" w:eastAsia="Arial"/>
                <w:b/>
                <w:bCs/>
                <w:color w:val="0059D1"/>
                <w:sz w:val="16"/>
                <w:szCs w:val="16"/>
              </w:rPr>
              <w:t>[INSERT: drill format]</w:t>
            </w:r>
          </w:p>
        </w:tc>
        <w:tc>
          <w:tcPr>
            <w:tcW w:type="dxa" w:w="1504"/>
          </w:tcPr>
          <w:p>
            <w:pPr>
              <w:pStyle w:val="TableContents"/>
              <w:spacing w:before="0" w:after="0" w:line="240" w:lineRule="atLeast"/>
            </w:pPr>
            <w:r>
              <w:rPr>
                <w:rFonts w:ascii="Arial" w:hAnsi="Arial" w:cs="Arial" w:eastAsia="Arial"/>
                <w:b/>
                <w:bCs/>
                <w:color w:val="0059D1"/>
                <w:sz w:val="16"/>
                <w:szCs w:val="16"/>
              </w:rPr>
              <w:t>[INSERT: frequency]</w:t>
            </w:r>
          </w:p>
        </w:tc>
        <w:tc>
          <w:tcPr>
            <w:tcW w:type="dxa" w:w="1504"/>
          </w:tcPr>
          <w:p>
            <w:pPr>
              <w:pStyle w:val="TableContents"/>
              <w:spacing w:before="0" w:after="0" w:line="240" w:lineRule="atLeast"/>
            </w:pPr>
            <w:r>
              <w:rPr>
                <w:rFonts w:ascii="Arial" w:hAnsi="Arial" w:cs="Arial" w:eastAsia="Arial"/>
                <w:b/>
                <w:bCs/>
                <w:color w:val="0059D1"/>
                <w:sz w:val="16"/>
                <w:szCs w:val="16"/>
              </w:rPr>
              <w:t>[INSERT: interface required]</w:t>
            </w:r>
          </w:p>
        </w:tc>
        <w:tc>
          <w:tcPr>
            <w:tcW w:type="dxa" w:w="1504"/>
          </w:tcPr>
          <w:p>
            <w:pPr>
              <w:pStyle w:val="TableContents"/>
              <w:spacing w:before="0" w:after="0" w:line="240" w:lineRule="atLeast"/>
            </w:pPr>
            <w:r>
              <w:rPr>
                <w:rFonts w:ascii="Arial" w:hAnsi="Arial" w:cs="Arial" w:eastAsia="Arial"/>
                <w:b/>
                <w:bCs/>
                <w:color w:val="0059D1"/>
                <w:sz w:val="16"/>
                <w:szCs w:val="16"/>
              </w:rPr>
              <w:t>[INSERT: scheduled date]</w:t>
            </w:r>
          </w:p>
        </w:tc>
        <w:tc>
          <w:tcPr>
            <w:tcW w:type="dxa" w:w="1506"/>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p>
      <w:pPr>
        <w:pStyle w:val="NormalNumberedtext"/>
      </w:pPr>
      <w:r>
        <w:t>Drill debrief reports are completed within</w:t>
      </w:r>
    </w:p>
    <w:p>
      <w:pPr>
        <w:pStyle w:val="NormalNumberedtext"/>
      </w:pPr>
      <w:r>
        <w:rPr>
          <w:b/>
          <w:bCs/>
          <w:color w:val="0059D1"/>
        </w:rPr>
        <w:t>[INSERT: drill_debrief_timeframe] — Define the timeframe within which drill debrief reports must be completed and issued, e.g. 10 business days</w:t>
      </w:r>
    </w:p>
    <w:p>
      <w:pPr>
        <w:pStyle w:val="NormalNumberedtext"/>
      </w:pPr>
      <w:r>
        <w:t>of each drill. Each debrief report records findings, corrective actions, responsible roles, and target completion dates. Corrective actions requiring ERP revision are raised as Management of Change items, refer [INSERT: Project Document Number].</w:t>
      </w:r>
    </w:p>
    <w:p>
      <w:pPr>
        <w:pStyle w:val="NormalNumberedtext"/>
      </w:pPr>
    </w:p>
    <w:p>
      <w:pPr>
        <w:pStyle w:val="Heading2Numbered"/>
        <w:numPr>
          <w:ilvl w:val="1"/>
          <w:numId w:val="1"/>
        </w:numPr>
      </w:pPr>
      <w:r>
        <w:rPr>
          <w:rFonts w:ascii="Arial" w:hAnsi="Arial" w:cs="Arial" w:eastAsia="Arial"/>
        </w:rPr>
        <w:t>Business Resilience Team Composition and Activation</w:t>
      </w:r>
    </w:p>
    <w:p>
      <w:pPr>
        <w:pStyle w:val="NormalNumberedtext"/>
      </w:pPr>
      <w:r>
        <w:t>This section defines the site BRT composition, activation criteria, and the escalation process to the RT Product Group or Functional Group BRT.</w:t>
      </w:r>
    </w:p>
    <w:p>
      <w:pPr>
        <w:pStyle w:val="NormalNumberedtext"/>
      </w:pPr>
      <w:r>
        <w:t>The site Business Resilience Team operates within the framework established by the Rio Tinto Corporate Business Resilience and Recovery Programme. The site ERP is structured to align with, and escalate into, the RT Product Group or Functional Group BRT when activation criteria are met.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Confirm the project BRT composition and escalation process to the RT Product Group or Functional Group BRT. Define the activation criteria specific to this project and insert them in Table 5 below.</w:t>
            </w:r>
          </w:p>
        </w:tc>
      </w:tr>
    </w:tbl>
    <w:p>
      <w:pPr>
        <w:pStyle w:val="NormalNumberedtext"/>
      </w:pPr>
    </w:p>
    <w:p>
      <w:pPr>
        <w:pStyle w:val="NormalNumberedtext"/>
      </w:pPr>
      <w:r>
        <w:t>Table 5: Site Business Resilience Team Composition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BRT Role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Project Role Holder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Contact - Primary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Contact - Alternate</w:t>
            </w:r>
          </w:p>
        </w:tc>
      </w:tr>
      <w:tr>
        <w:tc>
          <w:tcPr>
            <w:tcW w:type="dxa" w:w="2256"/>
          </w:tcPr>
          <w:p>
            <w:pPr>
              <w:pStyle w:val="TableContents"/>
              <w:spacing w:before="0" w:after="0" w:line="240" w:lineRule="atLeast"/>
            </w:pPr>
            <w:r>
              <w:rPr>
                <w:rFonts w:ascii="Arial" w:hAnsi="Arial" w:cs="Arial" w:eastAsia="Arial"/>
                <w:sz w:val="16"/>
                <w:szCs w:val="16"/>
              </w:rPr>
              <w:t>BRT Chair</w:t>
            </w:r>
          </w:p>
        </w:tc>
        <w:tc>
          <w:tcPr>
            <w:tcW w:type="dxa" w:w="2256"/>
          </w:tcPr>
          <w:p>
            <w:pPr>
              <w:pStyle w:val="TableContents"/>
              <w:spacing w:before="0" w:after="0" w:line="240" w:lineRule="atLeast"/>
            </w:pPr>
            <w:r>
              <w:rPr>
                <w:rFonts w:ascii="Arial" w:hAnsi="Arial" w:cs="Arial" w:eastAsia="Arial"/>
                <w:sz w:val="16"/>
                <w:szCs w:val="16"/>
              </w:rPr>
              <w:t>Site Manager</w:t>
            </w:r>
          </w:p>
        </w:tc>
        <w:tc>
          <w:tcPr>
            <w:tcW w:type="dxa" w:w="2256"/>
          </w:tcPr>
          <w:p>
            <w:pPr>
              <w:pStyle w:val="TableContents"/>
              <w:spacing w:before="0" w:after="0" w:line="240" w:lineRule="atLeast"/>
            </w:pPr>
            <w:r>
              <w:rPr>
                <w:rFonts w:ascii="Arial" w:hAnsi="Arial" w:cs="Arial" w:eastAsia="Arial"/>
                <w:b/>
                <w:bCs/>
                <w:color w:val="0059D1"/>
                <w:sz w:val="16"/>
                <w:szCs w:val="16"/>
              </w:rPr>
              <w:t>[INSERT: contact details]</w:t>
            </w:r>
          </w:p>
        </w:tc>
        <w:tc>
          <w:tcPr>
            <w:tcW w:type="dxa" w:w="2258"/>
          </w:tcPr>
          <w:p>
            <w:pPr>
              <w:pStyle w:val="TableContents"/>
              <w:spacing w:before="0" w:after="0" w:line="240" w:lineRule="atLeast"/>
            </w:pPr>
            <w:r>
              <w:rPr>
                <w:rFonts w:ascii="Arial" w:hAnsi="Arial" w:cs="Arial" w:eastAsia="Arial"/>
                <w:b/>
                <w:bCs/>
                <w:color w:val="0059D1"/>
                <w:sz w:val="16"/>
                <w:szCs w:val="16"/>
              </w:rPr>
              <w:t>[INSERT: alternate contact details]</w:t>
            </w:r>
          </w:p>
        </w:tc>
      </w:tr>
      <w:tr>
        <w:tc>
          <w:tcPr>
            <w:tcW w:type="dxa" w:w="2256"/>
          </w:tcPr>
          <w:p>
            <w:pPr>
              <w:pStyle w:val="TableContents"/>
              <w:spacing w:before="0" w:after="0" w:line="240" w:lineRule="atLeast"/>
            </w:pPr>
            <w:r>
              <w:rPr>
                <w:rFonts w:ascii="Arial" w:hAnsi="Arial" w:cs="Arial" w:eastAsia="Arial"/>
                <w:sz w:val="16"/>
                <w:szCs w:val="16"/>
              </w:rPr>
              <w:t>HSESC Lead</w:t>
            </w:r>
          </w:p>
        </w:tc>
        <w:tc>
          <w:tcPr>
            <w:tcW w:type="dxa" w:w="2256"/>
          </w:tcPr>
          <w:p>
            <w:pPr>
              <w:pStyle w:val="TableContents"/>
              <w:spacing w:before="0" w:after="0" w:line="240" w:lineRule="atLeast"/>
            </w:pPr>
            <w:r>
              <w:rPr>
                <w:rFonts w:ascii="Arial" w:hAnsi="Arial" w:cs="Arial" w:eastAsia="Arial"/>
                <w:sz w:val="16"/>
                <w:szCs w:val="16"/>
              </w:rPr>
              <w:t>HSESC Manager</w:t>
            </w:r>
          </w:p>
        </w:tc>
        <w:tc>
          <w:tcPr>
            <w:tcW w:type="dxa" w:w="2256"/>
          </w:tcPr>
          <w:p>
            <w:pPr>
              <w:pStyle w:val="TableContents"/>
              <w:spacing w:before="0" w:after="0" w:line="240" w:lineRule="atLeast"/>
            </w:pPr>
            <w:r>
              <w:rPr>
                <w:rFonts w:ascii="Arial" w:hAnsi="Arial" w:cs="Arial" w:eastAsia="Arial"/>
                <w:b/>
                <w:bCs/>
                <w:color w:val="0059D1"/>
                <w:sz w:val="16"/>
                <w:szCs w:val="16"/>
              </w:rPr>
              <w:t>[INSERT: contact details]</w:t>
            </w:r>
          </w:p>
        </w:tc>
        <w:tc>
          <w:tcPr>
            <w:tcW w:type="dxa" w:w="2258"/>
          </w:tcPr>
          <w:p>
            <w:pPr>
              <w:pStyle w:val="TableContents"/>
              <w:spacing w:before="0" w:after="0" w:line="240" w:lineRule="atLeast"/>
            </w:pPr>
            <w:r>
              <w:rPr>
                <w:rFonts w:ascii="Arial" w:hAnsi="Arial" w:cs="Arial" w:eastAsia="Arial"/>
                <w:b/>
                <w:bCs/>
                <w:color w:val="0059D1"/>
                <w:sz w:val="16"/>
                <w:szCs w:val="16"/>
              </w:rPr>
              <w:t>[INSERT: alternate contact details]</w:t>
            </w:r>
          </w:p>
        </w:tc>
      </w:tr>
      <w:tr>
        <w:tc>
          <w:tcPr>
            <w:tcW w:type="dxa" w:w="2256"/>
          </w:tcPr>
          <w:p>
            <w:pPr>
              <w:pStyle w:val="TableContents"/>
              <w:spacing w:before="0" w:after="0" w:line="240" w:lineRule="atLeast"/>
            </w:pPr>
            <w:r>
              <w:rPr>
                <w:rFonts w:ascii="Arial" w:hAnsi="Arial" w:cs="Arial" w:eastAsia="Arial"/>
                <w:sz w:val="16"/>
                <w:szCs w:val="16"/>
              </w:rPr>
              <w:t>Communications Lead</w:t>
            </w:r>
          </w:p>
        </w:tc>
        <w:tc>
          <w:tcPr>
            <w:tcW w:type="dxa" w:w="2256"/>
          </w:tcPr>
          <w:p>
            <w:pPr>
              <w:pStyle w:val="TableContents"/>
              <w:spacing w:before="0" w:after="0" w:line="240" w:lineRule="atLeast"/>
            </w:pPr>
            <w:r>
              <w:rPr>
                <w:rFonts w:ascii="Arial" w:hAnsi="Arial" w:cs="Arial" w:eastAsia="Arial"/>
                <w:b/>
                <w:bCs/>
                <w:color w:val="0059D1"/>
                <w:sz w:val="16"/>
                <w:szCs w:val="16"/>
              </w:rPr>
              <w:t>[INSERT: project role]</w:t>
            </w:r>
          </w:p>
        </w:tc>
        <w:tc>
          <w:tcPr>
            <w:tcW w:type="dxa" w:w="2256"/>
          </w:tcPr>
          <w:p>
            <w:pPr>
              <w:pStyle w:val="TableContents"/>
              <w:spacing w:before="0" w:after="0" w:line="240" w:lineRule="atLeast"/>
            </w:pPr>
            <w:r>
              <w:rPr>
                <w:rFonts w:ascii="Arial" w:hAnsi="Arial" w:cs="Arial" w:eastAsia="Arial"/>
                <w:b/>
                <w:bCs/>
                <w:color w:val="0059D1"/>
                <w:sz w:val="16"/>
                <w:szCs w:val="16"/>
              </w:rPr>
              <w:t>[INSERT: contact details]</w:t>
            </w:r>
          </w:p>
        </w:tc>
        <w:tc>
          <w:tcPr>
            <w:tcW w:type="dxa" w:w="2258"/>
          </w:tcPr>
          <w:p>
            <w:pPr>
              <w:pStyle w:val="TableContents"/>
              <w:spacing w:before="0" w:after="0" w:line="240" w:lineRule="atLeast"/>
            </w:pPr>
            <w:r>
              <w:rPr>
                <w:rFonts w:ascii="Arial" w:hAnsi="Arial" w:cs="Arial" w:eastAsia="Arial"/>
                <w:b/>
                <w:bCs/>
                <w:color w:val="0059D1"/>
                <w:sz w:val="16"/>
                <w:szCs w:val="16"/>
              </w:rPr>
              <w:t>[INSERT: alternate contact details]</w:t>
            </w:r>
          </w:p>
        </w:tc>
      </w:tr>
      <w:tr>
        <w:tc>
          <w:tcPr>
            <w:tcW w:type="dxa" w:w="2256"/>
          </w:tcPr>
          <w:p>
            <w:pPr>
              <w:pStyle w:val="TableContents"/>
              <w:spacing w:before="0" w:after="0" w:line="240" w:lineRule="atLeast"/>
            </w:pPr>
            <w:r>
              <w:rPr>
                <w:rFonts w:ascii="Arial" w:hAnsi="Arial" w:cs="Arial" w:eastAsia="Arial"/>
                <w:sz w:val="16"/>
                <w:szCs w:val="16"/>
              </w:rPr>
              <w:t>Medical Lead</w:t>
            </w:r>
          </w:p>
        </w:tc>
        <w:tc>
          <w:tcPr>
            <w:tcW w:type="dxa" w:w="2256"/>
          </w:tcPr>
          <w:p>
            <w:pPr>
              <w:pStyle w:val="TableContents"/>
              <w:spacing w:before="0" w:after="0" w:line="240" w:lineRule="atLeast"/>
            </w:pPr>
            <w:r>
              <w:rPr>
                <w:rFonts w:ascii="Arial" w:hAnsi="Arial" w:cs="Arial" w:eastAsia="Arial"/>
                <w:sz w:val="16"/>
                <w:szCs w:val="16"/>
              </w:rPr>
              <w:t>Medical Officer</w:t>
            </w:r>
          </w:p>
        </w:tc>
        <w:tc>
          <w:tcPr>
            <w:tcW w:type="dxa" w:w="2256"/>
          </w:tcPr>
          <w:p>
            <w:pPr>
              <w:pStyle w:val="TableContents"/>
              <w:spacing w:before="0" w:after="0" w:line="240" w:lineRule="atLeast"/>
            </w:pPr>
            <w:r>
              <w:rPr>
                <w:rFonts w:ascii="Arial" w:hAnsi="Arial" w:cs="Arial" w:eastAsia="Arial"/>
                <w:b/>
                <w:bCs/>
                <w:color w:val="0059D1"/>
                <w:sz w:val="16"/>
                <w:szCs w:val="16"/>
              </w:rPr>
              <w:t>[INSERT: contact details]</w:t>
            </w:r>
          </w:p>
        </w:tc>
        <w:tc>
          <w:tcPr>
            <w:tcW w:type="dxa" w:w="2258"/>
          </w:tcPr>
          <w:p>
            <w:pPr>
              <w:pStyle w:val="TableContents"/>
              <w:spacing w:before="0" w:after="0" w:line="240" w:lineRule="atLeast"/>
            </w:pPr>
            <w:r>
              <w:rPr>
                <w:rFonts w:ascii="Arial" w:hAnsi="Arial" w:cs="Arial" w:eastAsia="Arial"/>
                <w:b/>
                <w:bCs/>
                <w:color w:val="0059D1"/>
                <w:sz w:val="16"/>
                <w:szCs w:val="16"/>
              </w:rPr>
              <w:t>[INSERT: alternate contact details]</w:t>
            </w:r>
          </w:p>
        </w:tc>
      </w:tr>
      <w:tr>
        <w:tc>
          <w:tcPr>
            <w:tcW w:type="dxa" w:w="2256"/>
          </w:tcPr>
          <w:p>
            <w:pPr>
              <w:pStyle w:val="TableContents"/>
              <w:spacing w:before="0" w:after="0" w:line="240" w:lineRule="atLeast"/>
            </w:pPr>
            <w:r>
              <w:rPr>
                <w:rFonts w:ascii="Arial" w:hAnsi="Arial" w:cs="Arial" w:eastAsia="Arial"/>
                <w:sz w:val="16"/>
                <w:szCs w:val="16"/>
              </w:rPr>
              <w:t>Operations Lead</w:t>
            </w:r>
          </w:p>
        </w:tc>
        <w:tc>
          <w:tcPr>
            <w:tcW w:type="dxa" w:w="2256"/>
          </w:tcPr>
          <w:p>
            <w:pPr>
              <w:pStyle w:val="TableContents"/>
              <w:spacing w:before="0" w:after="0" w:line="240" w:lineRule="atLeast"/>
            </w:pPr>
            <w:r>
              <w:rPr>
                <w:rFonts w:ascii="Arial" w:hAnsi="Arial" w:cs="Arial" w:eastAsia="Arial"/>
                <w:b/>
                <w:bCs/>
                <w:color w:val="0059D1"/>
                <w:sz w:val="16"/>
                <w:szCs w:val="16"/>
              </w:rPr>
              <w:t>[INSERT: project role]</w:t>
            </w:r>
          </w:p>
        </w:tc>
        <w:tc>
          <w:tcPr>
            <w:tcW w:type="dxa" w:w="2256"/>
          </w:tcPr>
          <w:p>
            <w:pPr>
              <w:pStyle w:val="TableContents"/>
              <w:spacing w:before="0" w:after="0" w:line="240" w:lineRule="atLeast"/>
            </w:pPr>
            <w:r>
              <w:rPr>
                <w:rFonts w:ascii="Arial" w:hAnsi="Arial" w:cs="Arial" w:eastAsia="Arial"/>
                <w:b/>
                <w:bCs/>
                <w:color w:val="0059D1"/>
                <w:sz w:val="16"/>
                <w:szCs w:val="16"/>
              </w:rPr>
              <w:t>[INSERT: contact details]</w:t>
            </w:r>
          </w:p>
        </w:tc>
        <w:tc>
          <w:tcPr>
            <w:tcW w:type="dxa" w:w="2258"/>
          </w:tcPr>
          <w:p>
            <w:pPr>
              <w:pStyle w:val="TableContents"/>
              <w:spacing w:before="0" w:after="0" w:line="240" w:lineRule="atLeast"/>
            </w:pPr>
            <w:r>
              <w:rPr>
                <w:rFonts w:ascii="Arial" w:hAnsi="Arial" w:cs="Arial" w:eastAsia="Arial"/>
                <w:b/>
                <w:bCs/>
                <w:color w:val="0059D1"/>
                <w:sz w:val="16"/>
                <w:szCs w:val="16"/>
              </w:rPr>
              <w:t>[INSERT: alternate contact details]</w:t>
            </w:r>
          </w:p>
        </w:tc>
      </w:tr>
      <w:tr>
        <w:tc>
          <w:tcPr>
            <w:tcW w:type="dxa" w:w="2256"/>
          </w:tcPr>
          <w:p>
            <w:pPr>
              <w:pStyle w:val="TableContents"/>
              <w:spacing w:before="0" w:after="0" w:line="240" w:lineRule="atLeast"/>
            </w:pPr>
            <w:r>
              <w:rPr>
                <w:rFonts w:ascii="Arial" w:hAnsi="Arial" w:cs="Arial" w:eastAsia="Arial"/>
                <w:sz w:val="16"/>
                <w:szCs w:val="16"/>
              </w:rPr>
              <w:t>RT Product Group or Functional Group BRT - Escalation Contact</w:t>
            </w:r>
          </w:p>
        </w:tc>
        <w:tc>
          <w:tcPr>
            <w:tcW w:type="dxa" w:w="2256"/>
          </w:tcPr>
          <w:p>
            <w:pPr>
              <w:pStyle w:val="TableContents"/>
              <w:spacing w:before="0" w:after="0" w:line="240" w:lineRule="atLeast"/>
            </w:pPr>
            <w:r>
              <w:rPr>
                <w:rFonts w:ascii="Arial" w:hAnsi="Arial" w:cs="Arial" w:eastAsia="Arial"/>
                <w:b/>
                <w:bCs/>
                <w:color w:val="0059D1"/>
                <w:sz w:val="16"/>
                <w:szCs w:val="16"/>
              </w:rPr>
              <w:t>[INSERT: name and role]</w:t>
            </w:r>
          </w:p>
        </w:tc>
        <w:tc>
          <w:tcPr>
            <w:tcW w:type="dxa" w:w="2256"/>
          </w:tcPr>
          <w:p>
            <w:pPr>
              <w:pStyle w:val="TableContents"/>
              <w:spacing w:before="0" w:after="0" w:line="240" w:lineRule="atLeast"/>
            </w:pPr>
            <w:r>
              <w:rPr>
                <w:rFonts w:ascii="Arial" w:hAnsi="Arial" w:cs="Arial" w:eastAsia="Arial"/>
                <w:b/>
                <w:bCs/>
                <w:color w:val="0059D1"/>
                <w:sz w:val="16"/>
                <w:szCs w:val="16"/>
              </w:rPr>
              <w:t>[INSERT: contact details]</w:t>
            </w:r>
          </w:p>
        </w:tc>
        <w:tc>
          <w:tcPr>
            <w:tcW w:type="dxa" w:w="2258"/>
          </w:tcPr>
          <w:p>
            <w:pPr>
              <w:pStyle w:val="TableContents"/>
              <w:spacing w:before="0" w:after="0" w:line="240" w:lineRule="atLeast"/>
            </w:pPr>
            <w:r>
              <w:rPr>
                <w:rFonts w:ascii="Arial" w:hAnsi="Arial" w:cs="Arial" w:eastAsia="Arial"/>
                <w:b/>
                <w:bCs/>
                <w:color w:val="0059D1"/>
                <w:sz w:val="16"/>
                <w:szCs w:val="16"/>
              </w:rPr>
              <w:t>[INSERT: alternate contact details]</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BRT role]</w:t>
            </w:r>
          </w:p>
        </w:tc>
        <w:tc>
          <w:tcPr>
            <w:tcW w:type="dxa" w:w="2256"/>
          </w:tcPr>
          <w:p>
            <w:pPr>
              <w:pStyle w:val="TableContents"/>
              <w:spacing w:before="0" w:after="0" w:line="240" w:lineRule="atLeast"/>
            </w:pPr>
            <w:r>
              <w:rPr>
                <w:rFonts w:ascii="Arial" w:hAnsi="Arial" w:cs="Arial" w:eastAsia="Arial"/>
                <w:b/>
                <w:bCs/>
                <w:color w:val="0059D1"/>
                <w:sz w:val="16"/>
                <w:szCs w:val="16"/>
              </w:rPr>
              <w:t>[INSERT: project role]</w:t>
            </w:r>
          </w:p>
        </w:tc>
        <w:tc>
          <w:tcPr>
            <w:tcW w:type="dxa" w:w="2256"/>
          </w:tcPr>
          <w:p>
            <w:pPr>
              <w:pStyle w:val="TableContents"/>
              <w:spacing w:before="0" w:after="0" w:line="240" w:lineRule="atLeast"/>
            </w:pPr>
            <w:r>
              <w:rPr>
                <w:rFonts w:ascii="Arial" w:hAnsi="Arial" w:cs="Arial" w:eastAsia="Arial"/>
                <w:b/>
                <w:bCs/>
                <w:color w:val="0059D1"/>
                <w:sz w:val="16"/>
                <w:szCs w:val="16"/>
              </w:rPr>
              <w:t>[INSERT: contact details]</w:t>
            </w:r>
          </w:p>
        </w:tc>
        <w:tc>
          <w:tcPr>
            <w:tcW w:type="dxa" w:w="2258"/>
          </w:tcPr>
          <w:p>
            <w:pPr>
              <w:pStyle w:val="TableContents"/>
              <w:spacing w:before="0" w:after="0" w:line="240" w:lineRule="atLeast"/>
            </w:pPr>
            <w:r>
              <w:rPr>
                <w:rFonts w:ascii="Arial" w:hAnsi="Arial" w:cs="Arial" w:eastAsia="Arial"/>
                <w:b/>
                <w:bCs/>
                <w:color w:val="0059D1"/>
                <w:sz w:val="16"/>
                <w:szCs w:val="16"/>
              </w:rPr>
              <w:t>[INSERT: alternate contact details]</w:t>
            </w:r>
          </w:p>
        </w:tc>
      </w:tr>
    </w:tbl>
    <w:p>
      <w:pPr>
        <w:pStyle w:val="NormalNumberedtext"/>
      </w:pPr>
    </w:p>
    <w:p>
      <w:pPr>
        <w:pStyle w:val="NormalNumberedtext"/>
      </w:pPr>
      <w:r>
        <w:t>The Site Manager activates the site BRT when any of the activation criteria defined in Table 6 are met. Activation is communicated to all BRT members immediately using the notification method defined in the ERP. The Site Manager initiates escalation to the RT Product Group or Functional Group BRT when escalation thresholds are exceeded.</w:t>
      </w:r>
    </w:p>
    <w:p>
      <w:pPr>
        <w:pStyle w:val="NormalNumberedtext"/>
      </w:pPr>
      <w:r>
        <w:t>Table 6: Site BRT Activation Criteria and Escalation Thresholds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Trigger Condition</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Site BRT Activated</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Escalation to RT Product Group or Functional Group BRT Required</w:t>
            </w:r>
          </w:p>
        </w:tc>
      </w:tr>
      <w:tr>
        <w:tc>
          <w:tcPr>
            <w:tcW w:type="dxa" w:w="3008"/>
          </w:tcPr>
          <w:p>
            <w:pPr>
              <w:pStyle w:val="TableContents"/>
              <w:spacing w:before="0" w:after="0" w:line="240" w:lineRule="atLeast"/>
            </w:pPr>
            <w:r>
              <w:rPr>
                <w:rFonts w:ascii="Arial" w:hAnsi="Arial" w:cs="Arial" w:eastAsia="Arial"/>
                <w:sz w:val="16"/>
                <w:szCs w:val="16"/>
              </w:rPr>
              <w:t>Fatality or life-threatening injury</w:t>
            </w:r>
          </w:p>
        </w:tc>
        <w:tc>
          <w:tcPr>
            <w:tcW w:type="dxa" w:w="3008"/>
          </w:tcPr>
          <w:p>
            <w:pPr>
              <w:pStyle w:val="TableContents"/>
              <w:spacing w:before="0" w:after="0" w:line="240" w:lineRule="atLeast"/>
            </w:pPr>
            <w:r>
              <w:rPr>
                <w:rFonts w:ascii="Arial" w:hAnsi="Arial" w:cs="Arial" w:eastAsia="Arial"/>
                <w:sz w:val="16"/>
                <w:szCs w:val="16"/>
              </w:rPr>
              <w:t>Yes - immediate</w:t>
            </w:r>
          </w:p>
        </w:tc>
        <w:tc>
          <w:tcPr>
            <w:tcW w:type="dxa" w:w="3010"/>
          </w:tcPr>
          <w:p>
            <w:pPr>
              <w:pStyle w:val="TableContents"/>
              <w:spacing w:before="0" w:after="0" w:line="240" w:lineRule="atLeast"/>
            </w:pPr>
            <w:r>
              <w:rPr>
                <w:rFonts w:ascii="Arial" w:hAnsi="Arial" w:cs="Arial" w:eastAsia="Arial"/>
                <w:sz w:val="16"/>
                <w:szCs w:val="16"/>
              </w:rPr>
              <w:t>Yes - immediate</w:t>
            </w:r>
          </w:p>
        </w:tc>
      </w:tr>
      <w:tr>
        <w:tc>
          <w:tcPr>
            <w:tcW w:type="dxa" w:w="3008"/>
          </w:tcPr>
          <w:p>
            <w:pPr>
              <w:pStyle w:val="TableContents"/>
              <w:spacing w:before="0" w:after="0" w:line="240" w:lineRule="atLeast"/>
            </w:pPr>
            <w:r>
              <w:rPr>
                <w:rFonts w:ascii="Arial" w:hAnsi="Arial" w:cs="Arial" w:eastAsia="Arial"/>
                <w:sz w:val="16"/>
                <w:szCs w:val="16"/>
              </w:rPr>
              <w:t>Multiple serious injuries</w:t>
            </w:r>
          </w:p>
        </w:tc>
        <w:tc>
          <w:tcPr>
            <w:tcW w:type="dxa" w:w="3008"/>
          </w:tcPr>
          <w:p>
            <w:pPr>
              <w:pStyle w:val="TableContents"/>
              <w:spacing w:before="0" w:after="0" w:line="240" w:lineRule="atLeast"/>
            </w:pPr>
            <w:r>
              <w:rPr>
                <w:rFonts w:ascii="Arial" w:hAnsi="Arial" w:cs="Arial" w:eastAsia="Arial"/>
                <w:sz w:val="16"/>
                <w:szCs w:val="16"/>
              </w:rPr>
              <w:t>Yes - immediate</w:t>
            </w:r>
          </w:p>
        </w:tc>
        <w:tc>
          <w:tcPr>
            <w:tcW w:type="dxa" w:w="3010"/>
          </w:tcPr>
          <w:p>
            <w:pPr>
              <w:pStyle w:val="TableContents"/>
              <w:spacing w:before="0" w:after="0" w:line="240" w:lineRule="atLeast"/>
            </w:pPr>
            <w:r>
              <w:rPr>
                <w:rFonts w:ascii="Arial" w:hAnsi="Arial" w:cs="Arial" w:eastAsia="Arial"/>
                <w:sz w:val="16"/>
                <w:szCs w:val="16"/>
              </w:rPr>
              <w:t>Yes - immediate</w:t>
            </w:r>
          </w:p>
        </w:tc>
      </w:tr>
      <w:tr>
        <w:tc>
          <w:tcPr>
            <w:tcW w:type="dxa" w:w="3008"/>
          </w:tcPr>
          <w:p>
            <w:pPr>
              <w:pStyle w:val="TableContents"/>
              <w:spacing w:before="0" w:after="0" w:line="240" w:lineRule="atLeast"/>
            </w:pPr>
            <w:r>
              <w:rPr>
                <w:rFonts w:ascii="Arial" w:hAnsi="Arial" w:cs="Arial" w:eastAsia="Arial"/>
                <w:sz w:val="16"/>
                <w:szCs w:val="16"/>
              </w:rPr>
              <w:t>Fire with potential for structural loss or community impact</w:t>
            </w:r>
          </w:p>
        </w:tc>
        <w:tc>
          <w:tcPr>
            <w:tcW w:type="dxa" w:w="3008"/>
          </w:tcPr>
          <w:p>
            <w:pPr>
              <w:pStyle w:val="TableContents"/>
              <w:spacing w:before="0" w:after="0" w:line="240" w:lineRule="atLeast"/>
            </w:pPr>
            <w:r>
              <w:rPr>
                <w:rFonts w:ascii="Arial" w:hAnsi="Arial" w:cs="Arial" w:eastAsia="Arial"/>
                <w:sz w:val="16"/>
                <w:szCs w:val="16"/>
              </w:rPr>
              <w:t>Yes - immediate</w:t>
            </w:r>
          </w:p>
        </w:tc>
        <w:tc>
          <w:tcPr>
            <w:tcW w:type="dxa" w:w="3010"/>
          </w:tcPr>
          <w:p>
            <w:pPr>
              <w:pStyle w:val="TableContents"/>
              <w:spacing w:before="0" w:after="0" w:line="240" w:lineRule="atLeast"/>
            </w:pPr>
            <w:r>
              <w:rPr>
                <w:rFonts w:ascii="Arial" w:hAnsi="Arial" w:cs="Arial" w:eastAsia="Arial"/>
                <w:sz w:val="16"/>
                <w:szCs w:val="16"/>
              </w:rPr>
              <w:t>Yes - if community impact confirmed or probable</w:t>
            </w:r>
          </w:p>
        </w:tc>
      </w:tr>
      <w:tr>
        <w:tc>
          <w:tcPr>
            <w:tcW w:type="dxa" w:w="3008"/>
          </w:tcPr>
          <w:p>
            <w:pPr>
              <w:pStyle w:val="TableContents"/>
              <w:spacing w:before="0" w:after="0" w:line="240" w:lineRule="atLeast"/>
            </w:pPr>
            <w:r>
              <w:rPr>
                <w:rFonts w:ascii="Arial" w:hAnsi="Arial" w:cs="Arial" w:eastAsia="Arial"/>
                <w:sz w:val="16"/>
                <w:szCs w:val="16"/>
              </w:rPr>
              <w:t>Environmental release with potential off-site impact</w:t>
            </w:r>
          </w:p>
        </w:tc>
        <w:tc>
          <w:tcPr>
            <w:tcW w:type="dxa" w:w="3008"/>
          </w:tcPr>
          <w:p>
            <w:pPr>
              <w:pStyle w:val="TableContents"/>
              <w:spacing w:before="0" w:after="0" w:line="240" w:lineRule="atLeast"/>
            </w:pPr>
            <w:r>
              <w:rPr>
                <w:rFonts w:ascii="Arial" w:hAnsi="Arial" w:cs="Arial" w:eastAsia="Arial"/>
                <w:sz w:val="16"/>
                <w:szCs w:val="16"/>
              </w:rPr>
              <w:t>Yes - immediate</w:t>
            </w:r>
          </w:p>
        </w:tc>
        <w:tc>
          <w:tcPr>
            <w:tcW w:type="dxa" w:w="3010"/>
          </w:tcPr>
          <w:p>
            <w:pPr>
              <w:pStyle w:val="TableContents"/>
              <w:spacing w:before="0" w:after="0" w:line="240" w:lineRule="atLeast"/>
            </w:pPr>
            <w:r>
              <w:rPr>
                <w:rFonts w:ascii="Arial" w:hAnsi="Arial" w:cs="Arial" w:eastAsia="Arial"/>
                <w:sz w:val="16"/>
                <w:szCs w:val="16"/>
              </w:rPr>
              <w:t>Yes - if regulatory notification is required</w:t>
            </w:r>
          </w:p>
        </w:tc>
      </w:tr>
      <w:tr>
        <w:tc>
          <w:tcPr>
            <w:tcW w:type="dxa" w:w="3008"/>
          </w:tcPr>
          <w:p>
            <w:pPr>
              <w:pStyle w:val="TableContents"/>
              <w:spacing w:before="0" w:after="0" w:line="240" w:lineRule="atLeast"/>
            </w:pPr>
            <w:r>
              <w:rPr>
                <w:rFonts w:ascii="Arial" w:hAnsi="Arial" w:cs="Arial" w:eastAsia="Arial"/>
                <w:sz w:val="16"/>
                <w:szCs w:val="16"/>
              </w:rPr>
              <w:t>Security threat affecting personnel safety</w:t>
            </w:r>
          </w:p>
        </w:tc>
        <w:tc>
          <w:tcPr>
            <w:tcW w:type="dxa" w:w="3008"/>
          </w:tcPr>
          <w:p>
            <w:pPr>
              <w:pStyle w:val="TableContents"/>
              <w:spacing w:before="0" w:after="0" w:line="240" w:lineRule="atLeast"/>
            </w:pPr>
            <w:r>
              <w:rPr>
                <w:rFonts w:ascii="Arial" w:hAnsi="Arial" w:cs="Arial" w:eastAsia="Arial"/>
                <w:sz w:val="16"/>
                <w:szCs w:val="16"/>
              </w:rPr>
              <w:t>Yes - immediate</w:t>
            </w:r>
          </w:p>
        </w:tc>
        <w:tc>
          <w:tcPr>
            <w:tcW w:type="dxa" w:w="3010"/>
          </w:tcPr>
          <w:p>
            <w:pPr>
              <w:pStyle w:val="TableContents"/>
              <w:spacing w:before="0" w:after="0" w:line="240" w:lineRule="atLeast"/>
            </w:pPr>
            <w:r>
              <w:rPr>
                <w:rFonts w:ascii="Arial" w:hAnsi="Arial" w:cs="Arial" w:eastAsia="Arial"/>
                <w:sz w:val="16"/>
                <w:szCs w:val="16"/>
              </w:rPr>
              <w:t>Yes - if threat exceeds site containment capability</w:t>
            </w:r>
          </w:p>
        </w:tc>
      </w:tr>
      <w:tr>
        <w:tc>
          <w:tcPr>
            <w:tcW w:type="dxa" w:w="3008"/>
          </w:tcPr>
          <w:p>
            <w:pPr>
              <w:pStyle w:val="TableContents"/>
              <w:spacing w:before="0" w:after="0" w:line="240" w:lineRule="atLeast"/>
            </w:pPr>
            <w:r>
              <w:rPr>
                <w:rFonts w:ascii="Arial" w:hAnsi="Arial" w:cs="Arial" w:eastAsia="Arial"/>
                <w:sz w:val="16"/>
                <w:szCs w:val="16"/>
              </w:rPr>
              <w:t>Significant adverse media or community impact</w:t>
            </w:r>
          </w:p>
        </w:tc>
        <w:tc>
          <w:tcPr>
            <w:tcW w:type="dxa" w:w="3008"/>
          </w:tcPr>
          <w:p>
            <w:pPr>
              <w:pStyle w:val="TableContents"/>
              <w:spacing w:before="0" w:after="0" w:line="240" w:lineRule="atLeast"/>
            </w:pPr>
            <w:r>
              <w:rPr>
                <w:rFonts w:ascii="Arial" w:hAnsi="Arial" w:cs="Arial" w:eastAsia="Arial"/>
                <w:sz w:val="16"/>
                <w:szCs w:val="16"/>
              </w:rPr>
              <w:t>Yes - within 1 hour of identification</w:t>
            </w:r>
          </w:p>
        </w:tc>
        <w:tc>
          <w:tcPr>
            <w:tcW w:type="dxa" w:w="3010"/>
          </w:tcPr>
          <w:p>
            <w:pPr>
              <w:pStyle w:val="TableContents"/>
              <w:spacing w:before="0" w:after="0" w:line="240" w:lineRule="atLeast"/>
            </w:pPr>
            <w:r>
              <w:rPr>
                <w:rFonts w:ascii="Arial" w:hAnsi="Arial" w:cs="Arial" w:eastAsia="Arial"/>
                <w:sz w:val="16"/>
                <w:szCs w:val="16"/>
              </w:rPr>
              <w:t>Yes - at Site Manager discretion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project-specific activation trigger]</w:t>
            </w:r>
          </w:p>
        </w:tc>
        <w:tc>
          <w:tcPr>
            <w:tcW w:type="dxa" w:w="3008"/>
          </w:tcPr>
          <w:p>
            <w:pPr>
              <w:pStyle w:val="TableContents"/>
              <w:spacing w:before="0" w:after="0" w:line="240" w:lineRule="atLeast"/>
            </w:pPr>
            <w:r>
              <w:rPr>
                <w:rFonts w:ascii="Arial" w:hAnsi="Arial" w:cs="Arial" w:eastAsia="Arial"/>
                <w:b/>
                <w:bCs/>
                <w:color w:val="0059D1"/>
                <w:sz w:val="16"/>
                <w:szCs w:val="16"/>
              </w:rPr>
              <w:t>[INSERT: yes / no / criteria]</w:t>
            </w:r>
          </w:p>
        </w:tc>
        <w:tc>
          <w:tcPr>
            <w:tcW w:type="dxa" w:w="3010"/>
          </w:tcPr>
          <w:p>
            <w:pPr>
              <w:pStyle w:val="TableContents"/>
              <w:spacing w:before="0" w:after="0" w:line="240" w:lineRule="atLeast"/>
            </w:pPr>
            <w:r>
              <w:rPr>
                <w:rFonts w:ascii="Arial" w:hAnsi="Arial" w:cs="Arial" w:eastAsia="Arial"/>
                <w:b/>
                <w:bCs/>
                <w:color w:val="0059D1"/>
                <w:sz w:val="16"/>
                <w:szCs w:val="16"/>
              </w:rPr>
              <w:t>[INSERT: yes / no / criteria]</w:t>
            </w:r>
          </w:p>
        </w:tc>
      </w:tr>
    </w:tbl>
    <w:p>
      <w:pPr>
        <w:pStyle w:val="NormalNumberedtext"/>
      </w:pPr>
    </w:p>
    <w:p>
      <w:pPr>
        <w:pStyle w:val="Heading2Numbered"/>
        <w:numPr>
          <w:ilvl w:val="1"/>
          <w:numId w:val="1"/>
        </w:numPr>
      </w:pPr>
      <w:r>
        <w:rPr>
          <w:rFonts w:ascii="Arial" w:hAnsi="Arial" w:cs="Arial" w:eastAsia="Arial"/>
        </w:rPr>
        <w:t>Emergency Contact List</w:t>
      </w:r>
    </w:p>
    <w:p>
      <w:pPr>
        <w:pStyle w:val="NormalNumberedtext"/>
      </w:pPr>
      <w:r>
        <w:t>This section defines the emergency contact numbers that must be confirmed, inserted, and displayed at all project work locations before Work commences.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all emergency contact numbers specific to this project location before Work commences. The contact list must be displayed at all work locations across the project site. Insert completed contact details in Table 7.</w:t>
            </w:r>
          </w:p>
        </w:tc>
      </w:tr>
    </w:tbl>
    <w:p>
      <w:pPr>
        <w:pStyle w:val="NormalNumberedtext"/>
      </w:pPr>
    </w:p>
    <w:p>
      <w:pPr>
        <w:pStyle w:val="NormalNumberedtext"/>
      </w:pPr>
      <w:r>
        <w:t>Table 7: Project Emergency Contact List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Contact</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Organisation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Phone - Primary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Phone - Alternate</w:t>
            </w:r>
          </w:p>
        </w:tc>
      </w:tr>
      <w:tr>
        <w:tc>
          <w:tcPr>
            <w:tcW w:type="dxa" w:w="2256"/>
          </w:tcPr>
          <w:p>
            <w:pPr>
              <w:pStyle w:val="TableContents"/>
              <w:spacing w:before="0" w:after="0" w:line="240" w:lineRule="atLeast"/>
            </w:pPr>
            <w:r>
              <w:rPr>
                <w:rFonts w:ascii="Arial" w:hAnsi="Arial" w:cs="Arial" w:eastAsia="Arial"/>
                <w:sz w:val="16"/>
                <w:szCs w:val="16"/>
              </w:rPr>
              <w:t>Local emergency services (fire, ambulance, police)</w:t>
            </w:r>
          </w:p>
        </w:tc>
        <w:tc>
          <w:tcPr>
            <w:tcW w:type="dxa" w:w="2256"/>
          </w:tcPr>
          <w:p>
            <w:pPr>
              <w:pStyle w:val="TableContents"/>
              <w:spacing w:before="0" w:after="0" w:line="240" w:lineRule="atLeast"/>
            </w:pPr>
            <w:r>
              <w:rPr>
                <w:rFonts w:ascii="Arial" w:hAnsi="Arial" w:cs="Arial" w:eastAsia="Arial"/>
                <w:b/>
                <w:bCs/>
                <w:color w:val="0059D1"/>
                <w:sz w:val="16"/>
                <w:szCs w:val="16"/>
              </w:rPr>
              <w:t>[INSERT: local authority name]</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r>
        <w:tc>
          <w:tcPr>
            <w:tcW w:type="dxa" w:w="2256"/>
          </w:tcPr>
          <w:p>
            <w:pPr>
              <w:pStyle w:val="TableContents"/>
              <w:spacing w:before="0" w:after="0" w:line="240" w:lineRule="atLeast"/>
            </w:pPr>
            <w:r>
              <w:rPr>
                <w:rFonts w:ascii="Arial" w:hAnsi="Arial" w:cs="Arial" w:eastAsia="Arial"/>
                <w:sz w:val="16"/>
                <w:szCs w:val="16"/>
              </w:rPr>
              <w:t>Nearest hospital</w:t>
            </w:r>
          </w:p>
        </w:tc>
        <w:tc>
          <w:tcPr>
            <w:tcW w:type="dxa" w:w="2256"/>
          </w:tcPr>
          <w:p>
            <w:pPr>
              <w:pStyle w:val="TableContents"/>
              <w:spacing w:before="0" w:after="0" w:line="240" w:lineRule="atLeast"/>
            </w:pPr>
            <w:r>
              <w:rPr>
                <w:rFonts w:ascii="Arial" w:hAnsi="Arial" w:cs="Arial" w:eastAsia="Arial"/>
                <w:b/>
                <w:bCs/>
                <w:color w:val="0059D1"/>
                <w:sz w:val="16"/>
                <w:szCs w:val="16"/>
              </w:rPr>
              <w:t>[INSERT: hospital name]</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r>
        <w:tc>
          <w:tcPr>
            <w:tcW w:type="dxa" w:w="2256"/>
          </w:tcPr>
          <w:p>
            <w:pPr>
              <w:pStyle w:val="TableContents"/>
              <w:spacing w:before="0" w:after="0" w:line="240" w:lineRule="atLeast"/>
            </w:pPr>
            <w:r>
              <w:rPr>
                <w:rFonts w:ascii="Arial" w:hAnsi="Arial" w:cs="Arial" w:eastAsia="Arial"/>
                <w:sz w:val="16"/>
                <w:szCs w:val="16"/>
              </w:rPr>
              <w:t>Nearest trauma centre</w:t>
            </w:r>
          </w:p>
        </w:tc>
        <w:tc>
          <w:tcPr>
            <w:tcW w:type="dxa" w:w="2256"/>
          </w:tcPr>
          <w:p>
            <w:pPr>
              <w:pStyle w:val="TableContents"/>
              <w:spacing w:before="0" w:after="0" w:line="240" w:lineRule="atLeast"/>
            </w:pPr>
            <w:r>
              <w:rPr>
                <w:rFonts w:ascii="Arial" w:hAnsi="Arial" w:cs="Arial" w:eastAsia="Arial"/>
                <w:b/>
                <w:bCs/>
                <w:color w:val="0059D1"/>
                <w:sz w:val="16"/>
                <w:szCs w:val="16"/>
              </w:rPr>
              <w:t>[INSERT: trauma centre name]</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r>
        <w:tc>
          <w:tcPr>
            <w:tcW w:type="dxa" w:w="2256"/>
          </w:tcPr>
          <w:p>
            <w:pPr>
              <w:pStyle w:val="TableContents"/>
              <w:spacing w:before="0" w:after="0" w:line="240" w:lineRule="atLeast"/>
            </w:pPr>
            <w:r>
              <w:rPr>
                <w:rFonts w:ascii="Arial" w:hAnsi="Arial" w:cs="Arial" w:eastAsia="Arial"/>
                <w:sz w:val="16"/>
                <w:szCs w:val="16"/>
              </w:rPr>
              <w:t>Medical Officer - project</w:t>
            </w:r>
          </w:p>
        </w:tc>
        <w:tc>
          <w:tcPr>
            <w:tcW w:type="dxa" w:w="2256"/>
          </w:tcPr>
          <w:p>
            <w:pPr>
              <w:pStyle w:val="TableContents"/>
              <w:spacing w:before="0" w:after="0" w:line="240" w:lineRule="atLeast"/>
            </w:pPr>
            <w:r>
              <w:rPr>
                <w:rFonts w:ascii="Arial" w:hAnsi="Arial" w:cs="Arial" w:eastAsia="Arial"/>
                <w:b/>
                <w:bCs/>
                <w:color w:val="0059D1"/>
                <w:sz w:val="16"/>
                <w:szCs w:val="16"/>
              </w:rPr>
              <w:t>[INSERT: name]</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r>
        <w:tc>
          <w:tcPr>
            <w:tcW w:type="dxa" w:w="2256"/>
          </w:tcPr>
          <w:p>
            <w:pPr>
              <w:pStyle w:val="TableContents"/>
              <w:spacing w:before="0" w:after="0" w:line="240" w:lineRule="atLeast"/>
            </w:pPr>
            <w:r>
              <w:rPr>
                <w:rFonts w:ascii="Arial" w:hAnsi="Arial" w:cs="Arial" w:eastAsia="Arial"/>
                <w:sz w:val="16"/>
                <w:szCs w:val="16"/>
              </w:rPr>
              <w:t>Site Manager - project</w:t>
            </w:r>
          </w:p>
        </w:tc>
        <w:tc>
          <w:tcPr>
            <w:tcW w:type="dxa" w:w="2256"/>
          </w:tcPr>
          <w:p>
            <w:pPr>
              <w:pStyle w:val="TableContents"/>
              <w:spacing w:before="0" w:after="0" w:line="240" w:lineRule="atLeast"/>
            </w:pPr>
            <w:r>
              <w:rPr>
                <w:rFonts w:ascii="Arial" w:hAnsi="Arial" w:cs="Arial" w:eastAsia="Arial"/>
                <w:b/>
                <w:bCs/>
                <w:color w:val="0059D1"/>
                <w:sz w:val="16"/>
                <w:szCs w:val="16"/>
              </w:rPr>
              <w:t>[INSERT: name]</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r>
        <w:tc>
          <w:tcPr>
            <w:tcW w:type="dxa" w:w="2256"/>
          </w:tcPr>
          <w:p>
            <w:pPr>
              <w:pStyle w:val="TableContents"/>
              <w:spacing w:before="0" w:after="0" w:line="240" w:lineRule="atLeast"/>
            </w:pPr>
            <w:r>
              <w:rPr>
                <w:rFonts w:ascii="Arial" w:hAnsi="Arial" w:cs="Arial" w:eastAsia="Arial"/>
                <w:sz w:val="16"/>
                <w:szCs w:val="16"/>
              </w:rPr>
              <w:t>Project Director</w:t>
            </w:r>
          </w:p>
        </w:tc>
        <w:tc>
          <w:tcPr>
            <w:tcW w:type="dxa" w:w="2256"/>
          </w:tcPr>
          <w:p>
            <w:pPr>
              <w:pStyle w:val="TableContents"/>
              <w:spacing w:before="0" w:after="0" w:line="240" w:lineRule="atLeast"/>
            </w:pPr>
            <w:r>
              <w:rPr>
                <w:rFonts w:ascii="Arial" w:hAnsi="Arial" w:cs="Arial" w:eastAsia="Arial"/>
                <w:b/>
                <w:bCs/>
                <w:color w:val="0059D1"/>
                <w:sz w:val="16"/>
                <w:szCs w:val="16"/>
              </w:rPr>
              <w:t>[INSERT: name]</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r>
        <w:tc>
          <w:tcPr>
            <w:tcW w:type="dxa" w:w="2256"/>
          </w:tcPr>
          <w:p>
            <w:pPr>
              <w:pStyle w:val="TableContents"/>
              <w:spacing w:before="0" w:after="0" w:line="240" w:lineRule="atLeast"/>
            </w:pPr>
            <w:r>
              <w:rPr>
                <w:rFonts w:ascii="Arial" w:hAnsi="Arial" w:cs="Arial" w:eastAsia="Arial"/>
                <w:sz w:val="16"/>
                <w:szCs w:val="16"/>
              </w:rPr>
              <w:t>RT Product Group or Functional Group BRT - escalation contact</w:t>
            </w:r>
          </w:p>
        </w:tc>
        <w:tc>
          <w:tcPr>
            <w:tcW w:type="dxa" w:w="2256"/>
          </w:tcPr>
          <w:p>
            <w:pPr>
              <w:pStyle w:val="TableContents"/>
              <w:spacing w:before="0" w:after="0" w:line="240" w:lineRule="atLeast"/>
            </w:pPr>
            <w:r>
              <w:rPr>
                <w:rFonts w:ascii="Arial" w:hAnsi="Arial" w:cs="Arial" w:eastAsia="Arial"/>
                <w:b/>
                <w:bCs/>
                <w:color w:val="0059D1"/>
                <w:sz w:val="16"/>
                <w:szCs w:val="16"/>
              </w:rPr>
              <w:t>[INSERT: name and role]</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r>
        <w:tc>
          <w:tcPr>
            <w:tcW w:type="dxa" w:w="2256"/>
          </w:tcPr>
          <w:p>
            <w:pPr>
              <w:pStyle w:val="TableContents"/>
              <w:spacing w:before="0" w:after="0" w:line="240" w:lineRule="atLeast"/>
            </w:pPr>
            <w:r>
              <w:rPr>
                <w:rFonts w:ascii="Arial" w:hAnsi="Arial" w:cs="Arial" w:eastAsia="Arial"/>
                <w:sz w:val="16"/>
                <w:szCs w:val="16"/>
              </w:rPr>
              <w:t>Environmental regulator - emergency notification line</w:t>
            </w:r>
          </w:p>
        </w:tc>
        <w:tc>
          <w:tcPr>
            <w:tcW w:type="dxa" w:w="2256"/>
          </w:tcPr>
          <w:p>
            <w:pPr>
              <w:pStyle w:val="TableContents"/>
              <w:spacing w:before="0" w:after="0" w:line="240" w:lineRule="atLeast"/>
            </w:pPr>
            <w:r>
              <w:rPr>
                <w:rFonts w:ascii="Arial" w:hAnsi="Arial" w:cs="Arial" w:eastAsia="Arial"/>
                <w:b/>
                <w:bCs/>
                <w:color w:val="0059D1"/>
                <w:sz w:val="16"/>
                <w:szCs w:val="16"/>
              </w:rPr>
              <w:t>[INSERT: regulator name]</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contact]</w:t>
            </w:r>
          </w:p>
        </w:tc>
        <w:tc>
          <w:tcPr>
            <w:tcW w:type="dxa" w:w="2256"/>
          </w:tcPr>
          <w:p>
            <w:pPr>
              <w:pStyle w:val="TableContents"/>
              <w:spacing w:before="0" w:after="0" w:line="240" w:lineRule="atLeast"/>
            </w:pPr>
            <w:r>
              <w:rPr>
                <w:rFonts w:ascii="Arial" w:hAnsi="Arial" w:cs="Arial" w:eastAsia="Arial"/>
                <w:b/>
                <w:bCs/>
                <w:color w:val="0059D1"/>
                <w:sz w:val="16"/>
                <w:szCs w:val="16"/>
              </w:rPr>
              <w:t>[INSERT: organisation]</w:t>
            </w:r>
          </w:p>
        </w:tc>
        <w:tc>
          <w:tcPr>
            <w:tcW w:type="dxa" w:w="2256"/>
          </w:tcPr>
          <w:p>
            <w:pPr>
              <w:pStyle w:val="TableContents"/>
              <w:spacing w:before="0" w:after="0" w:line="240" w:lineRule="atLeast"/>
            </w:pPr>
            <w:r>
              <w:rPr>
                <w:rFonts w:ascii="Arial" w:hAnsi="Arial" w:cs="Arial" w:eastAsia="Arial"/>
                <w:b/>
                <w:bCs/>
                <w:color w:val="0059D1"/>
                <w:sz w:val="16"/>
                <w:szCs w:val="16"/>
              </w:rPr>
              <w:t>[INSERT: phone number]</w:t>
            </w:r>
          </w:p>
        </w:tc>
        <w:tc>
          <w:tcPr>
            <w:tcW w:type="dxa" w:w="2258"/>
          </w:tcPr>
          <w:p>
            <w:pPr>
              <w:pStyle w:val="TableContents"/>
              <w:spacing w:before="0" w:after="0" w:line="240" w:lineRule="atLeast"/>
            </w:pPr>
            <w:r>
              <w:rPr>
                <w:rFonts w:ascii="Arial" w:hAnsi="Arial" w:cs="Arial" w:eastAsia="Arial"/>
                <w:b/>
                <w:bCs/>
                <w:color w:val="0059D1"/>
                <w:sz w:val="16"/>
                <w:szCs w:val="16"/>
              </w:rPr>
              <w:t>[INSERT: phone number]</w:t>
            </w:r>
          </w:p>
        </w:tc>
      </w:tr>
    </w:tbl>
    <w:p>
      <w:pPr>
        <w:pStyle w:val="NormalNumberedtext"/>
      </w:pPr>
    </w:p>
    <w:p>
      <w:pPr>
        <w:pStyle w:val="NormalNumberedtext"/>
      </w:pPr>
      <w:r>
        <w:t>The emergency contact list is posted at all site offices, crib rooms, first aid stations, and work-front notice boards before Work commences. The HSESC Manager reviews and updates the contact list at a minimum of</w:t>
      </w:r>
    </w:p>
    <w:p>
      <w:pPr>
        <w:pStyle w:val="NormalNumberedtext"/>
      </w:pPr>
      <w:r>
        <w:rPr>
          <w:b/>
          <w:bCs/>
          <w:color w:val="0059D1"/>
        </w:rPr>
        <w:t>[INSERT: contact_list_review_frequency] — Define the review frequency for the emergency contact list, e.g. every six months and following any change in key personnel</w:t>
      </w:r>
    </w:p>
    <w:p>
      <w:pPr>
        <w:pStyle w:val="NormalNumberedtext"/>
      </w:pPr>
      <w:r>
        <w:t>and following any change in key project personnel or local emergency service contacts. Updates are processed through the Management of Change procedure, refer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BCP</w:t>
            </w:r>
          </w:p>
        </w:tc>
        <w:tc>
          <w:tcPr>
            <w:tcW w:type="dxa" w:w="4889"/>
          </w:tcPr>
          <w:p>
            <w:pPr>
              <w:pStyle w:val="TableContents"/>
              <w:spacing w:before="0" w:after="0" w:line="240" w:lineRule="atLeast"/>
            </w:pPr>
            <w:r>
              <w:rPr>
                <w:rFonts w:ascii="Arial" w:hAnsi="Arial" w:cs="Arial" w:eastAsia="Arial"/>
                <w:sz w:val="16"/>
                <w:szCs w:val="16"/>
              </w:rPr>
              <w:t>Business Continuity Plan - a documented plan outlining procedures and information to enable an organisation to respond to disruptions and resume critical business functions within a defined timeframe.</w:t>
            </w:r>
          </w:p>
        </w:tc>
      </w:tr>
      <w:tr>
        <w:tc>
          <w:tcPr>
            <w:tcW w:type="dxa" w:w="4888"/>
          </w:tcPr>
          <w:p>
            <w:pPr>
              <w:pStyle w:val="TableContents"/>
              <w:spacing w:before="0" w:after="0" w:line="240" w:lineRule="atLeast"/>
            </w:pPr>
            <w:r>
              <w:rPr>
                <w:rFonts w:ascii="Arial" w:hAnsi="Arial" w:cs="Arial" w:eastAsia="Arial"/>
                <w:sz w:val="16"/>
                <w:szCs w:val="16"/>
              </w:rPr>
              <w:t>BRT</w:t>
            </w:r>
          </w:p>
        </w:tc>
        <w:tc>
          <w:tcPr>
            <w:tcW w:type="dxa" w:w="4889"/>
          </w:tcPr>
          <w:p>
            <w:pPr>
              <w:pStyle w:val="TableContents"/>
              <w:spacing w:before="0" w:after="0" w:line="240" w:lineRule="atLeast"/>
            </w:pPr>
            <w:r>
              <w:rPr>
                <w:rFonts w:ascii="Arial" w:hAnsi="Arial" w:cs="Arial" w:eastAsia="Arial"/>
                <w:sz w:val="16"/>
                <w:szCs w:val="16"/>
              </w:rPr>
              <w:t>Business Resilience Team - the designated team responsible for coordinating business continuity and recovery activities, activating the Emergency Response Plan, and managing communications during an emergency event.</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identifies potential emergency scenarios, defines response actions, assigns responsibilities, and establishes communication protocols to protect people, environment, and assets.</w:t>
            </w:r>
          </w:p>
        </w:tc>
      </w:tr>
      <w:tr>
        <w:tc>
          <w:tcPr>
            <w:tcW w:type="dxa" w:w="4888"/>
          </w:tcPr>
          <w:p>
            <w:pPr>
              <w:pStyle w:val="TableContents"/>
              <w:spacing w:before="0" w:after="0" w:line="240" w:lineRule="atLeast"/>
            </w:pPr>
            <w:r>
              <w:rPr>
                <w:rFonts w:ascii="Arial" w:hAnsi="Arial" w:cs="Arial" w:eastAsia="Arial"/>
                <w:sz w:val="16"/>
                <w:szCs w:val="16"/>
              </w:rPr>
              <w:t>ERT</w:t>
            </w:r>
          </w:p>
        </w:tc>
        <w:tc>
          <w:tcPr>
            <w:tcW w:type="dxa" w:w="4889"/>
          </w:tcPr>
          <w:p>
            <w:pPr>
              <w:pStyle w:val="TableContents"/>
              <w:spacing w:before="0" w:after="0" w:line="240" w:lineRule="atLeast"/>
            </w:pPr>
            <w:r>
              <w:rPr>
                <w:rFonts w:ascii="Arial" w:hAnsi="Arial" w:cs="Arial" w:eastAsia="Arial"/>
                <w:sz w:val="16"/>
                <w:szCs w:val="16"/>
              </w:rPr>
              <w:t>Emergency Response Team - personnel trained and assigned to respond to emergency incidents on site, including first aid, fire, evacuation, and other emergency scenarios as defined in the ERP.</w:t>
            </w:r>
          </w:p>
        </w:tc>
      </w:tr>
      <w:tr>
        <w:tc>
          <w:tcPr>
            <w:tcW w:type="dxa" w:w="4888"/>
          </w:tcPr>
          <w:p>
            <w:pPr>
              <w:pStyle w:val="TableContents"/>
              <w:spacing w:before="0" w:after="0" w:line="240" w:lineRule="atLeast"/>
            </w:pPr>
            <w:r>
              <w:rPr>
                <w:rFonts w:ascii="Arial" w:hAnsi="Arial" w:cs="Arial" w:eastAsia="Arial"/>
                <w:sz w:val="16"/>
                <w:szCs w:val="16"/>
              </w:rPr>
              <w:t>FFW</w:t>
            </w:r>
          </w:p>
        </w:tc>
        <w:tc>
          <w:tcPr>
            <w:tcW w:type="dxa" w:w="4889"/>
          </w:tcPr>
          <w:p>
            <w:pPr>
              <w:pStyle w:val="TableContents"/>
              <w:spacing w:before="0" w:after="0" w:line="240" w:lineRule="atLeast"/>
            </w:pPr>
            <w:r>
              <w:rPr>
                <w:rFonts w:ascii="Arial" w:hAnsi="Arial" w:cs="Arial" w:eastAsia="Arial"/>
                <w:sz w:val="16"/>
                <w:szCs w:val="16"/>
              </w:rPr>
              <w:t xml:space="preserve">Fitness for Work - the state in which an individual is physically, physiologically, and psychologically capable of performing their assigned tasks without undue risk to themselves or others, as assessed in accordance with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management framework governing all health, safety, environmental, security, and community-related activities across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and management systems concerned with the protection of people and the environment in the workplace and surrounding communities.</w:t>
            </w:r>
          </w:p>
        </w:tc>
      </w:tr>
      <w:tr>
        <w:tc>
          <w:tcPr>
            <w:tcW w:type="dxa" w:w="4888"/>
          </w:tcPr>
          <w:p>
            <w:pPr>
              <w:pStyle w:val="TableContents"/>
              <w:spacing w:before="0" w:after="0" w:line="240" w:lineRule="atLeast"/>
            </w:pPr>
            <w:r>
              <w:rPr>
                <w:rFonts w:ascii="Arial" w:hAnsi="Arial" w:cs="Arial" w:eastAsia="Arial"/>
                <w:sz w:val="16"/>
                <w:szCs w:val="16"/>
              </w:rPr>
              <w:t>ICS</w:t>
            </w:r>
          </w:p>
        </w:tc>
        <w:tc>
          <w:tcPr>
            <w:tcW w:type="dxa" w:w="4889"/>
          </w:tcPr>
          <w:p>
            <w:pPr>
              <w:pStyle w:val="TableContents"/>
              <w:spacing w:before="0" w:after="0" w:line="240" w:lineRule="atLeast"/>
            </w:pPr>
            <w:r>
              <w:rPr>
                <w:rFonts w:ascii="Arial" w:hAnsi="Arial" w:cs="Arial" w:eastAsia="Arial"/>
                <w:sz w:val="16"/>
                <w:szCs w:val="16"/>
              </w:rPr>
              <w:t>Incident Command System - a standardised on-site emergency management system designed to enable effective, efficient incident management through integration of facilities, equipment, personnel, procedures, and communications.</w:t>
            </w:r>
          </w:p>
        </w:tc>
      </w:tr>
      <w:tr>
        <w:tc>
          <w:tcPr>
            <w:tcW w:type="dxa" w:w="4888"/>
          </w:tcPr>
          <w:p>
            <w:pPr>
              <w:pStyle w:val="TableContents"/>
              <w:spacing w:before="0" w:after="0" w:line="240" w:lineRule="atLeast"/>
            </w:pPr>
            <w:r>
              <w:rPr>
                <w:rFonts w:ascii="Arial" w:hAnsi="Arial" w:cs="Arial" w:eastAsia="Arial"/>
                <w:sz w:val="16"/>
                <w:szCs w:val="16"/>
              </w:rPr>
              <w:t>IMT</w:t>
            </w:r>
          </w:p>
        </w:tc>
        <w:tc>
          <w:tcPr>
            <w:tcW w:type="dxa" w:w="4889"/>
          </w:tcPr>
          <w:p>
            <w:pPr>
              <w:pStyle w:val="TableContents"/>
              <w:spacing w:before="0" w:after="0" w:line="240" w:lineRule="atLeast"/>
            </w:pPr>
            <w:r>
              <w:rPr>
                <w:rFonts w:ascii="Arial" w:hAnsi="Arial" w:cs="Arial" w:eastAsia="Arial"/>
                <w:sz w:val="16"/>
                <w:szCs w:val="16"/>
              </w:rPr>
              <w:t xml:space="preserve">Incident Management Team - the group of personnel responsible for managing the tactical and strategic response to an emergency incident in accordance with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MEP</w:t>
            </w:r>
          </w:p>
        </w:tc>
        <w:tc>
          <w:tcPr>
            <w:tcW w:type="dxa" w:w="4889"/>
          </w:tcPr>
          <w:p>
            <w:pPr>
              <w:pStyle w:val="TableContents"/>
              <w:spacing w:before="0" w:after="0" w:line="240" w:lineRule="atLeast"/>
            </w:pPr>
            <w:r>
              <w:rPr>
                <w:rFonts w:ascii="Arial" w:hAnsi="Arial" w:cs="Arial" w:eastAsia="Arial"/>
                <w:sz w:val="16"/>
                <w:szCs w:val="16"/>
              </w:rPr>
              <w:t>Medical Emergency Plan - a subset of the Emergency Response Plan that defines procedures, resources, and responsibilities for responding to medical emergencies on site, including first aid, medical evacuation, and hospital notification protocols.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 xml:space="preserve">Management of Change - a systematic process for evaluating, approving, and documenting changes to procedures, equipment, personnel, or conditions to ensure risks are identified and controlled, governed by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MEDEVAC</w:t>
            </w:r>
          </w:p>
        </w:tc>
        <w:tc>
          <w:tcPr>
            <w:tcW w:type="dxa" w:w="4889"/>
          </w:tcPr>
          <w:p>
            <w:pPr>
              <w:pStyle w:val="TableContents"/>
              <w:spacing w:before="0" w:after="0" w:line="240" w:lineRule="atLeast"/>
            </w:pPr>
            <w:r>
              <w:rPr>
                <w:rFonts w:ascii="Arial" w:hAnsi="Arial" w:cs="Arial" w:eastAsia="Arial"/>
                <w:sz w:val="16"/>
                <w:szCs w:val="16"/>
              </w:rPr>
              <w:t>Medical Evacuation - the planned or emergency transport of an injured or ill person from site to an appropriate medical facility, as defined within the Medical Emergency Plan.</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step-by-step instructions that prescribe how a specific process or activity is to be conducted within the Rio Tinto project management system.</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 xml:space="preserve">Register - a controlled document used to record and track specific data, training records, incidents, or other information required by the management system, such as </w:t>
            </w:r>
            <w:r>
              <w:rPr>
                <w:rFonts w:ascii="Arial" w:hAnsi="Arial" w:cs="Arial" w:eastAsia="Arial"/>
                <w:b/>
                <w:bCs/>
                <w:color w:val="0059D1"/>
                <w:sz w:val="16"/>
                <w:szCs w:val="16"/>
              </w:rPr>
              <w:t>[INSERT: Project Document Number]</w:t>
            </w:r>
            <w:r>
              <w:rPr>
                <w:rFonts w:ascii="Arial" w:hAnsi="Arial" w:cs="Arial" w:eastAsia="Arial"/>
                <w:sz w:val="16"/>
                <w:szCs w:val="16"/>
              </w:rPr>
              <w:t xml:space="preserve"> for ERT training records.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materials group under whose standards, procedures, and frameworks this procedure has been developed and is maintained.</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prefix designation applied to all project-level management system documents developed for Rio Tinto owner-led projects, distinguishing them from corporate-level standards.</w:t>
            </w:r>
          </w:p>
        </w:tc>
      </w:tr>
      <w:tr>
        <w:tc>
          <w:tcPr>
            <w:tcW w:type="dxa" w:w="4888"/>
          </w:tcPr>
          <w:p>
            <w:pPr>
              <w:pStyle w:val="TableContents"/>
              <w:spacing w:before="0" w:after="0" w:line="240" w:lineRule="atLeast"/>
            </w:pPr>
            <w:r>
              <w:rPr>
                <w:rFonts w:ascii="Arial" w:hAnsi="Arial" w:cs="Arial" w:eastAsia="Arial"/>
                <w:sz w:val="16"/>
                <w:szCs w:val="16"/>
              </w:rPr>
              <w:t>RTO</w:t>
            </w:r>
          </w:p>
        </w:tc>
        <w:tc>
          <w:tcPr>
            <w:tcW w:type="dxa" w:w="4889"/>
          </w:tcPr>
          <w:p>
            <w:pPr>
              <w:pStyle w:val="TableContents"/>
              <w:spacing w:before="0" w:after="0" w:line="240" w:lineRule="atLeast"/>
            </w:pPr>
            <w:r>
              <w:rPr>
                <w:rFonts w:ascii="Arial" w:hAnsi="Arial" w:cs="Arial" w:eastAsia="Arial"/>
                <w:sz w:val="16"/>
                <w:szCs w:val="16"/>
              </w:rPr>
              <w:t>Recovery Time Objective - the maximum acceptable length of time that a critical business process or function can be disrupted following an emergency event before recovery must be achieved.</w:t>
            </w:r>
          </w:p>
        </w:tc>
      </w:tr>
      <w:tr>
        <w:tc>
          <w:tcPr>
            <w:tcW w:type="dxa" w:w="4888"/>
          </w:tcPr>
          <w:p>
            <w:pPr>
              <w:pStyle w:val="TableContents"/>
              <w:spacing w:before="0" w:after="0" w:line="240" w:lineRule="atLeast"/>
            </w:pPr>
            <w:r>
              <w:rPr>
                <w:rFonts w:ascii="Arial" w:hAnsi="Arial" w:cs="Arial" w:eastAsia="Arial"/>
                <w:sz w:val="16"/>
                <w:szCs w:val="16"/>
              </w:rPr>
              <w:t>SIMEX</w:t>
            </w:r>
          </w:p>
        </w:tc>
        <w:tc>
          <w:tcPr>
            <w:tcW w:type="dxa" w:w="4889"/>
          </w:tcPr>
          <w:p>
            <w:pPr>
              <w:pStyle w:val="TableContents"/>
              <w:spacing w:before="0" w:after="0" w:line="240" w:lineRule="atLeast"/>
            </w:pPr>
            <w:r>
              <w:rPr>
                <w:rFonts w:ascii="Arial" w:hAnsi="Arial" w:cs="Arial" w:eastAsia="Arial"/>
                <w:sz w:val="16"/>
                <w:szCs w:val="16"/>
              </w:rPr>
              <w:t>Simulated Exercise - a planned emergency drill or tabletop exercise conducted to test the effectiveness of the Emergency Response Plan, Business Resilience Team readiness, and ERT capabilities without the presence of an actual emergency.</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documented procedure detailing the routine steps required to perform a specific task or activity safely and in accordance with regulatory and management system requirements.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Fitness for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ERT Training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of Change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Consequence and Likelihood Criteria</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§31.4</w:t>
            </w:r>
          </w:p>
        </w:tc>
        <w:tc>
          <w:tcPr>
            <w:tcW w:type="dxa" w:w="2256"/>
          </w:tcPr>
          <w:p>
            <w:pPr>
              <w:pStyle w:val="TableContents"/>
              <w:spacing w:before="0" w:after="0" w:line="240" w:lineRule="atLeast"/>
            </w:pPr>
            <w:r>
              <w:rPr>
                <w:rFonts w:ascii="Arial" w:hAnsi="Arial" w:cs="Arial" w:eastAsia="Arial"/>
                <w:sz w:val="16"/>
                <w:szCs w:val="16"/>
              </w:rPr>
              <w:t>Requires an emergency response risk assessment workshop, development of ERPs covering all credible scenarios with defined minimum content, scenario-specific response instructions, integration of contractor ERPs, periodic drill testing, and incorporation of lessons learned into ERP updates.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§31.3</w:t>
            </w:r>
          </w:p>
        </w:tc>
        <w:tc>
          <w:tcPr>
            <w:tcW w:type="dxa" w:w="2256"/>
          </w:tcPr>
          <w:p>
            <w:pPr>
              <w:pStyle w:val="TableContents"/>
              <w:spacing w:before="0" w:after="0" w:line="240" w:lineRule="atLeast"/>
            </w:pPr>
            <w:r>
              <w:rPr>
                <w:rFonts w:ascii="Arial" w:hAnsi="Arial" w:cs="Arial" w:eastAsia="Arial"/>
                <w:sz w:val="16"/>
                <w:szCs w:val="16"/>
              </w:rPr>
              <w:t>Requires identification of potentially affected communities, community consultation in ERP development, and accessible community emergency communications.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§31.4.1</w:t>
            </w:r>
          </w:p>
        </w:tc>
        <w:tc>
          <w:tcPr>
            <w:tcW w:type="dxa" w:w="2256"/>
          </w:tcPr>
          <w:p>
            <w:pPr>
              <w:pStyle w:val="TableContents"/>
              <w:spacing w:before="0" w:after="0" w:line="240" w:lineRule="atLeast"/>
            </w:pPr>
            <w:r>
              <w:rPr>
                <w:rFonts w:ascii="Arial" w:hAnsi="Arial" w:cs="Arial" w:eastAsia="Arial"/>
                <w:sz w:val="16"/>
                <w:szCs w:val="16"/>
              </w:rPr>
              <w:t>Requires explicit assessment and addressing of language and cultural barriers in emergency response, including translated materials and interpreters.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§31.5.6</w:t>
            </w:r>
          </w:p>
        </w:tc>
        <w:tc>
          <w:tcPr>
            <w:tcW w:type="dxa" w:w="2256"/>
          </w:tcPr>
          <w:p>
            <w:pPr>
              <w:pStyle w:val="TableContents"/>
              <w:spacing w:before="0" w:after="0" w:line="240" w:lineRule="atLeast"/>
            </w:pPr>
            <w:r>
              <w:rPr>
                <w:rFonts w:ascii="Arial" w:hAnsi="Arial" w:cs="Arial" w:eastAsia="Arial"/>
                <w:sz w:val="16"/>
                <w:szCs w:val="16"/>
              </w:rPr>
              <w:t>Requires ERPs to include communication methods for host community coordination and a defined community notification process for scenarios with community impact.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§31.5.7</w:t>
            </w:r>
          </w:p>
        </w:tc>
        <w:tc>
          <w:tcPr>
            <w:tcW w:type="dxa" w:w="2256"/>
          </w:tcPr>
          <w:p>
            <w:pPr>
              <w:pStyle w:val="TableContents"/>
              <w:spacing w:before="0" w:after="0" w:line="240" w:lineRule="atLeast"/>
            </w:pPr>
            <w:r>
              <w:rPr>
                <w:rFonts w:ascii="Arial" w:hAnsi="Arial" w:cs="Arial" w:eastAsia="Arial"/>
                <w:sz w:val="16"/>
                <w:szCs w:val="16"/>
              </w:rPr>
              <w:t>Requires ERPs to include scenario-tailored environmental protection measures including containment, notification, and remediation steps for environmentally impactful incidents.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§31.5.9</w:t>
            </w:r>
          </w:p>
        </w:tc>
        <w:tc>
          <w:tcPr>
            <w:tcW w:type="dxa" w:w="2256"/>
          </w:tcPr>
          <w:p>
            <w:pPr>
              <w:pStyle w:val="TableContents"/>
              <w:spacing w:before="0" w:after="0" w:line="240" w:lineRule="atLeast"/>
            </w:pPr>
            <w:r>
              <w:rPr>
                <w:rFonts w:ascii="Arial" w:hAnsi="Arial" w:cs="Arial" w:eastAsia="Arial"/>
                <w:sz w:val="16"/>
                <w:szCs w:val="16"/>
              </w:rPr>
              <w:t>Requires ERPs to include response measures and instructions for security incidents alongside safety and environmental scenarios.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§32</w:t>
            </w:r>
          </w:p>
        </w:tc>
        <w:tc>
          <w:tcPr>
            <w:tcW w:type="dxa" w:w="2256"/>
          </w:tcPr>
          <w:p>
            <w:pPr>
              <w:pStyle w:val="TableContents"/>
              <w:spacing w:before="0" w:after="0" w:line="240" w:lineRule="atLeast"/>
            </w:pPr>
            <w:r>
              <w:rPr>
                <w:rFonts w:ascii="Arial" w:hAnsi="Arial" w:cs="Arial" w:eastAsia="Arial"/>
                <w:sz w:val="16"/>
                <w:szCs w:val="16"/>
              </w:rPr>
              <w:t>Requires a comprehensive Medical Emergency Plan covering first aid risk assessment, resources, call-out flowcharts, transport arrangements, emergency contacts, controlled drug register, first aid equipment, and medical equipment inspection schedule.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§32.7</w:t>
            </w:r>
          </w:p>
        </w:tc>
        <w:tc>
          <w:tcPr>
            <w:tcW w:type="dxa" w:w="2256"/>
          </w:tcPr>
          <w:p>
            <w:pPr>
              <w:pStyle w:val="TableContents"/>
              <w:spacing w:before="0" w:after="0" w:line="240" w:lineRule="atLeast"/>
            </w:pPr>
            <w:r>
              <w:rPr>
                <w:rFonts w:ascii="Arial" w:hAnsi="Arial" w:cs="Arial" w:eastAsia="Arial"/>
                <w:sz w:val="16"/>
                <w:szCs w:val="16"/>
              </w:rPr>
              <w:t>Requires a controlled drug register recording substance, quantity, recipient, authorising medical officer, and date for all drugs distributed within the project medical facility.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§32.9</w:t>
            </w:r>
          </w:p>
        </w:tc>
        <w:tc>
          <w:tcPr>
            <w:tcW w:type="dxa" w:w="2256"/>
          </w:tcPr>
          <w:p>
            <w:pPr>
              <w:pStyle w:val="TableContents"/>
              <w:spacing w:before="0" w:after="0" w:line="240" w:lineRule="atLeast"/>
            </w:pPr>
            <w:r>
              <w:rPr>
                <w:rFonts w:ascii="Arial" w:hAnsi="Arial" w:cs="Arial" w:eastAsia="Arial"/>
                <w:sz w:val="16"/>
                <w:szCs w:val="16"/>
              </w:rPr>
              <w:t>Requires a medical equipment inspection schedule defining inspection and maintenance frequency, with records maintained and available for audit.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§93.0.1</w:t>
            </w:r>
          </w:p>
        </w:tc>
        <w:tc>
          <w:tcPr>
            <w:tcW w:type="dxa" w:w="2256"/>
          </w:tcPr>
          <w:p>
            <w:pPr>
              <w:pStyle w:val="TableContents"/>
              <w:spacing w:before="0" w:after="0" w:line="240" w:lineRule="atLeast"/>
            </w:pPr>
            <w:r>
              <w:rPr>
                <w:rFonts w:ascii="Arial" w:hAnsi="Arial" w:cs="Arial" w:eastAsia="Arial"/>
                <w:sz w:val="16"/>
                <w:szCs w:val="16"/>
              </w:rPr>
              <w:t>Requires the emergency response risk assessment workshop to include an environmental component so that environmental risks, controls, and response pathways are incorporated into the ERP.</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Crisis Management and Communications Planning Protocol, Indicator CM1</w:t>
            </w:r>
          </w:p>
        </w:tc>
        <w:tc>
          <w:tcPr>
            <w:tcW w:type="dxa" w:w="2256"/>
          </w:tcPr>
          <w:p>
            <w:pPr>
              <w:pStyle w:val="TableContents"/>
              <w:spacing w:before="0" w:after="0" w:line="240" w:lineRule="atLeast"/>
            </w:pPr>
            <w:r>
              <w:rPr>
                <w:rFonts w:ascii="Arial" w:hAnsi="Arial" w:cs="Arial" w:eastAsia="Arial"/>
                <w:sz w:val="16"/>
                <w:szCs w:val="16"/>
              </w:rPr>
              <w:t>Requires identification and assessment of facility-level crisis scenarios as part of emergency planning with clearly defined escalation to corporate-level crisis management.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Crisis Management and Communications Planning Protocol, Indicator CM2</w:t>
            </w:r>
          </w:p>
        </w:tc>
        <w:tc>
          <w:tcPr>
            <w:tcW w:type="dxa" w:w="2256"/>
          </w:tcPr>
          <w:p>
            <w:pPr>
              <w:pStyle w:val="TableContents"/>
              <w:spacing w:before="0" w:after="0" w:line="240" w:lineRule="atLeast"/>
            </w:pPr>
            <w:r>
              <w:rPr>
                <w:rFonts w:ascii="Arial" w:hAnsi="Arial" w:cs="Arial" w:eastAsia="Arial"/>
                <w:sz w:val="16"/>
                <w:szCs w:val="16"/>
              </w:rPr>
              <w:t>Requires development and testing of crisis communication plans enabling timely, accurate, and transparent communication to all affected stakeholders during an emergency.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Principle 4 - Risk Management</w:t>
            </w:r>
          </w:p>
        </w:tc>
        <w:tc>
          <w:tcPr>
            <w:tcW w:type="dxa" w:w="2256"/>
          </w:tcPr>
          <w:p>
            <w:pPr>
              <w:pStyle w:val="TableContents"/>
              <w:spacing w:before="0" w:after="0" w:line="240" w:lineRule="atLeast"/>
            </w:pPr>
            <w:r>
              <w:rPr>
                <w:rFonts w:ascii="Arial" w:hAnsi="Arial" w:cs="Arial" w:eastAsia="Arial"/>
                <w:sz w:val="16"/>
                <w:szCs w:val="16"/>
              </w:rPr>
              <w:t>Requires emergency response plans to be developed, maintained, and tested, and where risks to external stakeholders are significant, plans must be developed in collaboration with potentially affected stakeholders.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 PS2 §24</w:t>
            </w:r>
          </w:p>
        </w:tc>
        <w:tc>
          <w:tcPr>
            <w:tcW w:type="dxa" w:w="2256"/>
          </w:tcPr>
          <w:p>
            <w:pPr>
              <w:pStyle w:val="TableContents"/>
              <w:spacing w:before="0" w:after="0" w:line="240" w:lineRule="atLeast"/>
            </w:pPr>
            <w:r>
              <w:rPr>
                <w:rFonts w:ascii="Arial" w:hAnsi="Arial" w:cs="Arial" w:eastAsia="Arial"/>
                <w:sz w:val="16"/>
                <w:szCs w:val="16"/>
              </w:rPr>
              <w:t>Requires medical emergency planning to account for local medical infrastructure availability and ensure the project provides appropriate first aid and medical resources where local services are inadequate.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Business Resilience Standard</w:t>
            </w:r>
          </w:p>
        </w:tc>
        <w:tc>
          <w:tcPr>
            <w:tcW w:type="dxa" w:w="2256"/>
          </w:tcPr>
          <w:p>
            <w:pPr>
              <w:pStyle w:val="TableContents"/>
              <w:spacing w:before="0" w:after="0" w:line="240" w:lineRule="atLeast"/>
            </w:pPr>
            <w:r>
              <w:rPr>
                <w:rFonts w:ascii="Arial" w:hAnsi="Arial" w:cs="Arial" w:eastAsia="Arial"/>
                <w:sz w:val="16"/>
                <w:szCs w:val="16"/>
              </w:rPr>
              <w:t>Requires definition of the site Business Resilience Team composition, activation criteria, and escalation process to the RT Product Group/Functional Group BRT, confirming the site ERP operates within the RT Corporate BRRP framework.</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