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Management Review</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Management Review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conducting periodic management reviews of the owner-led project HSESC management system to ensure its continuing suitability, adequacy, and effectiveness - and to drive documented continuous improvement in HSESC performance.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management review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management review activities it governs, and the project lifecycle phases within scope from Pre-mobilisation through to End of Contract.</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the management review framework it establishes, and the requirements it creates for the project.</w:t>
      </w:r>
    </w:p>
    <w:p>
      <w:pPr>
        <w:pStyle w:val="NormalNumberedtext"/>
      </w:pPr>
      <w:r>
        <w:t>This procedure meets the following purpose requirements:</w:t>
      </w:r>
    </w:p>
    <w:p>
      <w:pPr>
        <w:pStyle w:val="NormalNumberedtext"/>
      </w:pPr>
      <w:r>
        <w:t>This procedure establishes the formal management review process for the HSESC management system on this project, meeting the following purposes:</w:t>
      </w:r>
    </w:p>
    <w:p>
      <w:pPr>
        <w:pStyle w:val="NumberedBulletL1"/>
      </w:pPr>
      <w:r>
        <w:t>This procedure defines the schedule, inputs, outputs, and governance for formal management reviews conducted across all project phases, and supports [INSERT: project name].</w:t>
      </w:r>
    </w:p>
    <w:p>
      <w:pPr>
        <w:pStyle w:val="NumberedBulletL1"/>
      </w:pPr>
      <w:r>
        <w:t>This procedure operationalises Rio Tinto Group management review requirements into a documented, project-specific process for evaluating HSESC system performance, driving continuous improvement, and discharging senior leadership accountability.</w:t>
      </w:r>
    </w:p>
    <w:p>
      <w:pPr>
        <w:pStyle w:val="NumberedBulletL1"/>
      </w:pPr>
      <w:r>
        <w:t>This procedure defines management review requirements from Pre-mobilisation through Execution, Commissioning Readiness, and End of Contract. It addresses health, safety, environment, security and community performance in one integrated review process.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management review activities and lifecycle phases this procedure governs and how it connects to other project monitoring and improvement processes.</w:t>
      </w:r>
    </w:p>
    <w:p>
      <w:pPr>
        <w:pStyle w:val="NormalNumberedtext"/>
      </w:pPr>
      <w:r>
        <w:t>This procedure applies the following scope requirements:</w:t>
      </w:r>
    </w:p>
    <w:p>
      <w:pPr>
        <w:pStyle w:val="NumberedBulletL1"/>
      </w:pPr>
      <w:r>
        <w:t>This procedure governs the formal management review process. It is distinct from operational performance reviews, which are governed by the Improvement Planning Procedure, [INSERT: Project Document Number].</w:t>
      </w:r>
    </w:p>
    <w:p>
      <w:pPr>
        <w:pStyle w:val="NumberedBulletL1"/>
      </w:pPr>
      <w:r>
        <w:t>This procedure applies to all formal management reviews from the Pre-mobilisation phase through to End of Contract. It governs the schedule, inputs, outputs, action tracking, and continuous improvement integration requirements for each review.</w:t>
      </w:r>
    </w:p>
    <w:p>
      <w:pPr>
        <w:pStyle w:val="NumberedBulletL1"/>
      </w:pPr>
      <w:r>
        <w:t>This procedure applies to Rio Tinto senior project leadership, the HSESC Manager, functional representatives, and relevant contractor leadership. All participants hold defined responsibilities under this procedure.</w:t>
      </w:r>
    </w:p>
    <w:p>
      <w:pPr>
        <w:pStyle w:val="NormalNumberedtext"/>
      </w:pPr>
    </w:p>
    <w:p>
      <w:pPr>
        <w:pStyle w:val="Heading1Numbered"/>
        <w:numPr>
          <w:ilvl w:val="0"/>
          <w:numId w:val="1"/>
        </w:numPr>
      </w:pPr>
      <w:r>
        <w:rPr>
          <w:rFonts w:ascii="Arial" w:hAnsi="Arial" w:cs="Arial" w:eastAsia="Arial"/>
        </w:rPr>
        <w:t>Review Schedule and Participants</w:t>
      </w:r>
    </w:p>
    <w:p>
      <w:pPr>
        <w:pStyle w:val="NormalNumberedtext"/>
      </w:pPr>
      <w:r>
        <w:t>This section defines the management review schedule aligned to project phases, the required participants at each review, and the performance topics that must be addressed at every review cycle.</w:t>
      </w:r>
    </w:p>
    <w:p>
      <w:pPr>
        <w:pStyle w:val="NormalNumberedtext"/>
      </w:pPr>
    </w:p>
    <w:p>
      <w:pPr>
        <w:pStyle w:val="Heading2Numbered"/>
        <w:numPr>
          <w:ilvl w:val="1"/>
          <w:numId w:val="1"/>
        </w:numPr>
      </w:pPr>
      <w:r>
        <w:rPr>
          <w:rFonts w:ascii="Arial" w:hAnsi="Arial" w:cs="Arial" w:eastAsia="Arial"/>
        </w:rPr>
        <w:t>Management Review Schedule</w:t>
      </w:r>
    </w:p>
    <w:p>
      <w:pPr>
        <w:pStyle w:val="NormalNumberedtext"/>
      </w:pPr>
      <w:r>
        <w:t>The management review schedule defines the minimum review frequency by project phase and the project-specific dates for each review.</w:t>
      </w:r>
    </w:p>
    <w:p>
      <w:pPr>
        <w:pStyle w:val="NormalNumberedtext"/>
      </w:pPr>
      <w:r>
        <w:t>The HSESC management system on this project is subject to formal management review at each of the phases defined in Table 1. The schedule below reflects the minimum requirement. The project team inserts the confirmed dates before mobilisation.</w:t>
      </w:r>
    </w:p>
    <w:p>
      <w:pPr>
        <w:pStyle w:val="NormalNumberedtext"/>
      </w:pPr>
      <w:r>
        <w:t>Table 1: Management Review Schedule by Project Phase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Review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Project Phase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Frequency</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Project-Specific Date</w:t>
            </w:r>
          </w:p>
        </w:tc>
      </w:tr>
      <w:tr>
        <w:tc>
          <w:tcPr>
            <w:tcW w:type="dxa" w:w="2256"/>
          </w:tcPr>
          <w:p>
            <w:pPr>
              <w:pStyle w:val="TableContents"/>
              <w:spacing w:before="0" w:after="0" w:line="240" w:lineRule="atLeast"/>
            </w:pPr>
            <w:r>
              <w:rPr>
                <w:rFonts w:ascii="Arial" w:hAnsi="Arial" w:cs="Arial" w:eastAsia="Arial"/>
                <w:sz w:val="16"/>
                <w:szCs w:val="16"/>
              </w:rPr>
              <w:t>Pre-mobilisation Review</w:t>
            </w:r>
          </w:p>
        </w:tc>
        <w:tc>
          <w:tcPr>
            <w:tcW w:type="dxa" w:w="2256"/>
          </w:tcPr>
          <w:p>
            <w:pPr>
              <w:pStyle w:val="TableContents"/>
              <w:spacing w:before="0" w:after="0" w:line="240" w:lineRule="atLeast"/>
            </w:pPr>
            <w:r>
              <w:rPr>
                <w:rFonts w:ascii="Arial" w:hAnsi="Arial" w:cs="Arial" w:eastAsia="Arial"/>
                <w:sz w:val="16"/>
                <w:szCs w:val="16"/>
              </w:rPr>
              <w:t>Pre-mobilisation</w:t>
            </w:r>
          </w:p>
        </w:tc>
        <w:tc>
          <w:tcPr>
            <w:tcW w:type="dxa" w:w="2256"/>
          </w:tcPr>
          <w:p>
            <w:pPr>
              <w:pStyle w:val="TableContents"/>
              <w:spacing w:before="0" w:after="0" w:line="240" w:lineRule="atLeast"/>
            </w:pPr>
            <w:r>
              <w:rPr>
                <w:rFonts w:ascii="Arial" w:hAnsi="Arial" w:cs="Arial" w:eastAsia="Arial"/>
                <w:sz w:val="16"/>
                <w:szCs w:val="16"/>
              </w:rPr>
              <w:t>Once, prior to first personnel mobilisation</w:t>
            </w:r>
          </w:p>
        </w:tc>
        <w:tc>
          <w:tcPr>
            <w:tcW w:type="dxa" w:w="2258"/>
          </w:tcPr>
          <w:p>
            <w:pPr>
              <w:pStyle w:val="TableContents"/>
              <w:spacing w:before="0" w:after="0" w:line="240" w:lineRule="atLeast"/>
            </w:pPr>
            <w:r>
              <w:rPr>
                <w:rFonts w:ascii="Arial" w:hAnsi="Arial" w:cs="Arial" w:eastAsia="Arial"/>
                <w:b/>
                <w:bCs/>
                <w:color w:val="0059D1"/>
                <w:sz w:val="16"/>
                <w:szCs w:val="16"/>
              </w:rPr>
              <w:t>[INSERT: confirmed date]</w:t>
            </w:r>
          </w:p>
        </w:tc>
      </w:tr>
      <w:tr>
        <w:tc>
          <w:tcPr>
            <w:tcW w:type="dxa" w:w="2256"/>
          </w:tcPr>
          <w:p>
            <w:pPr>
              <w:pStyle w:val="TableContents"/>
              <w:spacing w:before="0" w:after="0" w:line="240" w:lineRule="atLeast"/>
            </w:pPr>
            <w:r>
              <w:rPr>
                <w:rFonts w:ascii="Arial" w:hAnsi="Arial" w:cs="Arial" w:eastAsia="Arial"/>
                <w:sz w:val="16"/>
                <w:szCs w:val="16"/>
              </w:rPr>
              <w:t>Quarterly Execution Review</w:t>
            </w:r>
          </w:p>
        </w:tc>
        <w:tc>
          <w:tcPr>
            <w:tcW w:type="dxa" w:w="2256"/>
          </w:tcPr>
          <w:p>
            <w:pPr>
              <w:pStyle w:val="TableContents"/>
              <w:spacing w:before="0" w:after="0" w:line="240" w:lineRule="atLeast"/>
            </w:pPr>
            <w:r>
              <w:rPr>
                <w:rFonts w:ascii="Arial" w:hAnsi="Arial" w:cs="Arial" w:eastAsia="Arial"/>
                <w:sz w:val="16"/>
                <w:szCs w:val="16"/>
              </w:rPr>
              <w:t>Execution</w:t>
            </w:r>
          </w:p>
        </w:tc>
        <w:tc>
          <w:tcPr>
            <w:tcW w:type="dxa" w:w="2256"/>
          </w:tcPr>
          <w:p>
            <w:pPr>
              <w:pStyle w:val="TableContents"/>
              <w:spacing w:before="0" w:after="0" w:line="240" w:lineRule="atLeast"/>
            </w:pPr>
            <w:r>
              <w:rPr>
                <w:rFonts w:ascii="Arial" w:hAnsi="Arial" w:cs="Arial" w:eastAsia="Arial"/>
                <w:sz w:val="16"/>
                <w:szCs w:val="16"/>
              </w:rPr>
              <w:t>Once per quarter</w:t>
            </w:r>
          </w:p>
        </w:tc>
        <w:tc>
          <w:tcPr>
            <w:tcW w:type="dxa" w:w="2258"/>
          </w:tcPr>
          <w:p>
            <w:pPr>
              <w:pStyle w:val="TableContents"/>
              <w:spacing w:before="0" w:after="0" w:line="240" w:lineRule="atLeast"/>
            </w:pPr>
            <w:r>
              <w:rPr>
                <w:rFonts w:ascii="Arial" w:hAnsi="Arial" w:cs="Arial" w:eastAsia="Arial"/>
                <w:b/>
                <w:bCs/>
                <w:color w:val="0059D1"/>
                <w:sz w:val="16"/>
                <w:szCs w:val="16"/>
              </w:rPr>
              <w:t>[INSERT: confirmed dates for each quarter]</w:t>
            </w:r>
          </w:p>
        </w:tc>
      </w:tr>
      <w:tr>
        <w:tc>
          <w:tcPr>
            <w:tcW w:type="dxa" w:w="2256"/>
          </w:tcPr>
          <w:p>
            <w:pPr>
              <w:pStyle w:val="TableContents"/>
              <w:spacing w:before="0" w:after="0" w:line="240" w:lineRule="atLeast"/>
            </w:pPr>
            <w:r>
              <w:rPr>
                <w:rFonts w:ascii="Arial" w:hAnsi="Arial" w:cs="Arial" w:eastAsia="Arial"/>
                <w:sz w:val="16"/>
                <w:szCs w:val="16"/>
              </w:rPr>
              <w:t>Commissioning Readiness Review</w:t>
            </w:r>
          </w:p>
        </w:tc>
        <w:tc>
          <w:tcPr>
            <w:tcW w:type="dxa" w:w="2256"/>
          </w:tcPr>
          <w:p>
            <w:pPr>
              <w:pStyle w:val="TableContents"/>
              <w:spacing w:before="0" w:after="0" w:line="240" w:lineRule="atLeast"/>
            </w:pPr>
            <w:r>
              <w:rPr>
                <w:rFonts w:ascii="Arial" w:hAnsi="Arial" w:cs="Arial" w:eastAsia="Arial"/>
                <w:sz w:val="16"/>
                <w:szCs w:val="16"/>
              </w:rPr>
              <w:t>Commissioning</w:t>
            </w:r>
          </w:p>
        </w:tc>
        <w:tc>
          <w:tcPr>
            <w:tcW w:type="dxa" w:w="2256"/>
          </w:tcPr>
          <w:p>
            <w:pPr>
              <w:pStyle w:val="TableContents"/>
              <w:spacing w:before="0" w:after="0" w:line="240" w:lineRule="atLeast"/>
            </w:pPr>
            <w:r>
              <w:rPr>
                <w:rFonts w:ascii="Arial" w:hAnsi="Arial" w:cs="Arial" w:eastAsia="Arial"/>
                <w:sz w:val="16"/>
                <w:szCs w:val="16"/>
              </w:rPr>
              <w:t>Once, prior to commissioning activities commencing</w:t>
            </w:r>
          </w:p>
        </w:tc>
        <w:tc>
          <w:tcPr>
            <w:tcW w:type="dxa" w:w="2258"/>
          </w:tcPr>
          <w:p>
            <w:pPr>
              <w:pStyle w:val="TableContents"/>
              <w:spacing w:before="0" w:after="0" w:line="240" w:lineRule="atLeast"/>
            </w:pPr>
            <w:r>
              <w:rPr>
                <w:rFonts w:ascii="Arial" w:hAnsi="Arial" w:cs="Arial" w:eastAsia="Arial"/>
                <w:b/>
                <w:bCs/>
                <w:color w:val="0059D1"/>
                <w:sz w:val="16"/>
                <w:szCs w:val="16"/>
              </w:rPr>
              <w:t>[INSERT: confirmed date]</w:t>
            </w:r>
          </w:p>
        </w:tc>
      </w:tr>
      <w:tr>
        <w:tc>
          <w:tcPr>
            <w:tcW w:type="dxa" w:w="2256"/>
          </w:tcPr>
          <w:p>
            <w:pPr>
              <w:pStyle w:val="TableContents"/>
              <w:spacing w:before="0" w:after="0" w:line="240" w:lineRule="atLeast"/>
            </w:pPr>
            <w:r>
              <w:rPr>
                <w:rFonts w:ascii="Arial" w:hAnsi="Arial" w:cs="Arial" w:eastAsia="Arial"/>
                <w:sz w:val="16"/>
                <w:szCs w:val="16"/>
              </w:rPr>
              <w:t>End of Contract Review</w:t>
            </w:r>
          </w:p>
        </w:tc>
        <w:tc>
          <w:tcPr>
            <w:tcW w:type="dxa" w:w="2256"/>
          </w:tcPr>
          <w:p>
            <w:pPr>
              <w:pStyle w:val="TableContents"/>
              <w:spacing w:before="0" w:after="0" w:line="240" w:lineRule="atLeast"/>
            </w:pPr>
            <w:r>
              <w:rPr>
                <w:rFonts w:ascii="Arial" w:hAnsi="Arial" w:cs="Arial" w:eastAsia="Arial"/>
                <w:sz w:val="16"/>
                <w:szCs w:val="16"/>
              </w:rPr>
              <w:t>Closeout</w:t>
            </w:r>
          </w:p>
        </w:tc>
        <w:tc>
          <w:tcPr>
            <w:tcW w:type="dxa" w:w="2256"/>
          </w:tcPr>
          <w:p>
            <w:pPr>
              <w:pStyle w:val="TableContents"/>
              <w:spacing w:before="0" w:after="0" w:line="240" w:lineRule="atLeast"/>
            </w:pPr>
            <w:r>
              <w:rPr>
                <w:rFonts w:ascii="Arial" w:hAnsi="Arial" w:cs="Arial" w:eastAsia="Arial"/>
                <w:sz w:val="16"/>
                <w:szCs w:val="16"/>
              </w:rPr>
              <w:t>Once, prior to project demobilisation</w:t>
            </w:r>
          </w:p>
        </w:tc>
        <w:tc>
          <w:tcPr>
            <w:tcW w:type="dxa" w:w="2258"/>
          </w:tcPr>
          <w:p>
            <w:pPr>
              <w:pStyle w:val="TableContents"/>
              <w:spacing w:before="0" w:after="0" w:line="240" w:lineRule="atLeast"/>
            </w:pPr>
            <w:r>
              <w:rPr>
                <w:rFonts w:ascii="Arial" w:hAnsi="Arial" w:cs="Arial" w:eastAsia="Arial"/>
                <w:b/>
                <w:bCs/>
                <w:color w:val="0059D1"/>
                <w:sz w:val="16"/>
                <w:szCs w:val="16"/>
              </w:rPr>
              <w:t>[INSERT: confirmed date]</w:t>
            </w:r>
          </w:p>
        </w:tc>
      </w:tr>
    </w:tbl>
    <w:p>
      <w:pPr>
        <w:pStyle w:val="NormalNumberedtext"/>
      </w:pPr>
    </w:p>
    <w:p>
      <w:pPr>
        <w:pStyle w:val="NormalNumberedtext"/>
      </w:pPr>
      <w:r>
        <w:t>The HSESC Manager maintains the management review schedule and confirms dates with the project director no later than [INSERT: timeframe, e.g. four weeks] before each review is due. If a project phase is accelerated or delayed, the HSESC Manager adjusts the review date accordingly and notifies all required participants.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1: Define the management review dates for this project relative to the project programme phases. The procedure defines the minimum schedule - insert the project-specific dates in Table 1 above before this document is issued.</w:t>
            </w:r>
          </w:p>
        </w:tc>
      </w:tr>
    </w:tbl>
    <w:p>
      <w:pPr>
        <w:pStyle w:val="NormalNumberedtext"/>
      </w:pPr>
    </w:p>
    <w:p>
      <w:pPr>
        <w:pStyle w:val="Heading2Numbered"/>
        <w:numPr>
          <w:ilvl w:val="1"/>
          <w:numId w:val="1"/>
        </w:numPr>
      </w:pPr>
      <w:r>
        <w:rPr>
          <w:rFonts w:ascii="Arial" w:hAnsi="Arial" w:cs="Arial" w:eastAsia="Arial"/>
        </w:rPr>
        <w:t>Required Participants</w:t>
      </w:r>
    </w:p>
    <w:p>
      <w:pPr>
        <w:pStyle w:val="NormalNumberedtext"/>
      </w:pPr>
      <w:r>
        <w:t>This section defines the required participants at each management review and the roles responsible for chairing and recording each review.</w:t>
      </w:r>
    </w:p>
    <w:p>
      <w:pPr>
        <w:pStyle w:val="NormalNumberedtext"/>
      </w:pPr>
      <w:r>
        <w:t>Senior management sets safety and health targets through the management review process and reviews performance against those targets at each review cycle, consistent with the requirements of the TSM Safe, Healthy and Respectful Workplaces Protocol, Indicator SH1. Participation by senior project leadership is mandatory at every review; attendance by proxy is not an acceptable substitute for required roles.</w:t>
      </w:r>
    </w:p>
    <w:p>
      <w:pPr>
        <w:pStyle w:val="NormalNumberedtext"/>
      </w:pPr>
      <w:r>
        <w:t>Table 2: Required Management Review Participants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Participation Requirement</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Project Position Title</w:t>
            </w:r>
          </w:p>
        </w:tc>
      </w:tr>
      <w:tr>
        <w:tc>
          <w:tcPr>
            <w:tcW w:type="dxa" w:w="3008"/>
          </w:tcPr>
          <w:p>
            <w:pPr>
              <w:pStyle w:val="TableContents"/>
              <w:spacing w:before="0" w:after="0" w:line="240" w:lineRule="atLeast"/>
            </w:pPr>
            <w:r>
              <w:rPr>
                <w:rFonts w:ascii="Arial" w:hAnsi="Arial" w:cs="Arial" w:eastAsia="Arial"/>
                <w:sz w:val="16"/>
                <w:szCs w:val="16"/>
              </w:rPr>
              <w:t>Rio Tinto Project Director</w:t>
            </w:r>
          </w:p>
        </w:tc>
        <w:tc>
          <w:tcPr>
            <w:tcW w:type="dxa" w:w="3008"/>
          </w:tcPr>
          <w:p>
            <w:pPr>
              <w:pStyle w:val="TableContents"/>
              <w:spacing w:before="0" w:after="0" w:line="240" w:lineRule="atLeast"/>
            </w:pPr>
            <w:r>
              <w:rPr>
                <w:rFonts w:ascii="Arial" w:hAnsi="Arial" w:cs="Arial" w:eastAsia="Arial"/>
                <w:sz w:val="16"/>
                <w:szCs w:val="16"/>
              </w:rPr>
              <w:t>Mandatory - chairs the review and provides formal sign-off on outputs</w:t>
            </w:r>
          </w:p>
        </w:tc>
        <w:tc>
          <w:tcPr>
            <w:tcW w:type="dxa" w:w="3010"/>
          </w:tcPr>
          <w:p>
            <w:pPr>
              <w:pStyle w:val="TableContents"/>
              <w:spacing w:before="0" w:after="0" w:line="240" w:lineRule="atLeast"/>
            </w:pPr>
            <w:r>
              <w:rPr>
                <w:rFonts w:ascii="Arial" w:hAnsi="Arial" w:cs="Arial" w:eastAsia="Arial"/>
                <w:b/>
                <w:bCs/>
                <w:color w:val="0059D1"/>
                <w:sz w:val="16"/>
                <w:szCs w:val="16"/>
              </w:rPr>
              <w:t>[INSERT: position title]</w:t>
            </w:r>
          </w:p>
        </w:tc>
      </w:tr>
      <w:tr>
        <w:tc>
          <w:tcPr>
            <w:tcW w:type="dxa" w:w="3008"/>
          </w:tcPr>
          <w:p>
            <w:pPr>
              <w:pStyle w:val="TableContents"/>
              <w:spacing w:before="0" w:after="0" w:line="240" w:lineRule="atLeast"/>
            </w:pPr>
            <w:r>
              <w:rPr>
                <w:rFonts w:ascii="Arial" w:hAnsi="Arial" w:cs="Arial" w:eastAsia="Arial"/>
                <w:sz w:val="16"/>
                <w:szCs w:val="16"/>
              </w:rPr>
              <w:t>HSESC Manager</w:t>
            </w:r>
          </w:p>
        </w:tc>
        <w:tc>
          <w:tcPr>
            <w:tcW w:type="dxa" w:w="3008"/>
          </w:tcPr>
          <w:p>
            <w:pPr>
              <w:pStyle w:val="TableContents"/>
              <w:spacing w:before="0" w:after="0" w:line="240" w:lineRule="atLeast"/>
            </w:pPr>
            <w:r>
              <w:rPr>
                <w:rFonts w:ascii="Arial" w:hAnsi="Arial" w:cs="Arial" w:eastAsia="Arial"/>
                <w:sz w:val="16"/>
                <w:szCs w:val="16"/>
              </w:rPr>
              <w:t>Mandatory - presents performance data and facilitates review agenda</w:t>
            </w:r>
          </w:p>
        </w:tc>
        <w:tc>
          <w:tcPr>
            <w:tcW w:type="dxa" w:w="3010"/>
          </w:tcPr>
          <w:p>
            <w:pPr>
              <w:pStyle w:val="TableContents"/>
              <w:spacing w:before="0" w:after="0" w:line="240" w:lineRule="atLeast"/>
            </w:pPr>
            <w:r>
              <w:rPr>
                <w:rFonts w:ascii="Arial" w:hAnsi="Arial" w:cs="Arial" w:eastAsia="Arial"/>
                <w:b/>
                <w:bCs/>
                <w:color w:val="0059D1"/>
                <w:sz w:val="16"/>
                <w:szCs w:val="16"/>
              </w:rPr>
              <w:t>[INSERT: position title]</w:t>
            </w:r>
          </w:p>
        </w:tc>
      </w:tr>
      <w:tr>
        <w:tc>
          <w:tcPr>
            <w:tcW w:type="dxa" w:w="3008"/>
          </w:tcPr>
          <w:p>
            <w:pPr>
              <w:pStyle w:val="TableContents"/>
              <w:spacing w:before="0" w:after="0" w:line="240" w:lineRule="atLeast"/>
            </w:pPr>
            <w:r>
              <w:rPr>
                <w:rFonts w:ascii="Arial" w:hAnsi="Arial" w:cs="Arial" w:eastAsia="Arial"/>
                <w:sz w:val="16"/>
                <w:szCs w:val="16"/>
              </w:rPr>
              <w:t>Rio Tinto Senior Project Leadership</w:t>
            </w:r>
          </w:p>
        </w:tc>
        <w:tc>
          <w:tcPr>
            <w:tcW w:type="dxa" w:w="3008"/>
          </w:tcPr>
          <w:p>
            <w:pPr>
              <w:pStyle w:val="TableContents"/>
              <w:spacing w:before="0" w:after="0" w:line="240" w:lineRule="atLeast"/>
            </w:pPr>
            <w:r>
              <w:rPr>
                <w:rFonts w:ascii="Arial" w:hAnsi="Arial" w:cs="Arial" w:eastAsia="Arial"/>
                <w:sz w:val="16"/>
                <w:szCs w:val="16"/>
              </w:rPr>
              <w:t xml:space="preserve">Mandatory - all members of the HSESC Leadership Team as defined in </w:t>
            </w:r>
            <w:r>
              <w:rPr>
                <w:rFonts w:ascii="Arial" w:hAnsi="Arial" w:cs="Arial" w:eastAsia="Arial"/>
                <w:b/>
                <w:bCs/>
                <w:color w:val="0059D1"/>
                <w:sz w:val="16"/>
                <w:szCs w:val="16"/>
              </w:rPr>
              <w:t>[INSERT: Project Document Number]</w:t>
            </w:r>
          </w:p>
        </w:tc>
        <w:tc>
          <w:tcPr>
            <w:tcW w:type="dxa" w:w="3010"/>
          </w:tcPr>
          <w:p>
            <w:pPr>
              <w:pStyle w:val="TableContents"/>
              <w:spacing w:before="0" w:after="0" w:line="240" w:lineRule="atLeast"/>
            </w:pPr>
            <w:r>
              <w:rPr>
                <w:rFonts w:ascii="Arial" w:hAnsi="Arial" w:cs="Arial" w:eastAsia="Arial"/>
                <w:b/>
                <w:bCs/>
                <w:color w:val="0059D1"/>
                <w:sz w:val="16"/>
                <w:szCs w:val="16"/>
              </w:rPr>
              <w:t>[INSERT: position titles]</w:t>
            </w:r>
          </w:p>
        </w:tc>
      </w:tr>
      <w:tr>
        <w:tc>
          <w:tcPr>
            <w:tcW w:type="dxa" w:w="3008"/>
          </w:tcPr>
          <w:p>
            <w:pPr>
              <w:pStyle w:val="TableContents"/>
              <w:spacing w:before="0" w:after="0" w:line="240" w:lineRule="atLeast"/>
            </w:pPr>
            <w:r>
              <w:rPr>
                <w:rFonts w:ascii="Arial" w:hAnsi="Arial" w:cs="Arial" w:eastAsia="Arial"/>
                <w:sz w:val="16"/>
                <w:szCs w:val="16"/>
              </w:rPr>
              <w:t>Functional Representatives</w:t>
            </w:r>
          </w:p>
        </w:tc>
        <w:tc>
          <w:tcPr>
            <w:tcW w:type="dxa" w:w="3008"/>
          </w:tcPr>
          <w:p>
            <w:pPr>
              <w:pStyle w:val="TableContents"/>
              <w:spacing w:before="0" w:after="0" w:line="240" w:lineRule="atLeast"/>
            </w:pPr>
            <w:r>
              <w:rPr>
                <w:rFonts w:ascii="Arial" w:hAnsi="Arial" w:cs="Arial" w:eastAsia="Arial"/>
                <w:sz w:val="16"/>
                <w:szCs w:val="16"/>
              </w:rPr>
              <w:t>Mandatory - environment, community, security, and health functions as applicable to the review phase</w:t>
            </w:r>
          </w:p>
        </w:tc>
        <w:tc>
          <w:tcPr>
            <w:tcW w:type="dxa" w:w="3010"/>
          </w:tcPr>
          <w:p>
            <w:pPr>
              <w:pStyle w:val="TableContents"/>
              <w:spacing w:before="0" w:after="0" w:line="240" w:lineRule="atLeast"/>
            </w:pPr>
            <w:r>
              <w:rPr>
                <w:rFonts w:ascii="Arial" w:hAnsi="Arial" w:cs="Arial" w:eastAsia="Arial"/>
                <w:b/>
                <w:bCs/>
                <w:color w:val="0059D1"/>
                <w:sz w:val="16"/>
                <w:szCs w:val="16"/>
              </w:rPr>
              <w:t>[INSERT: position titles]</w:t>
            </w:r>
          </w:p>
        </w:tc>
      </w:tr>
      <w:tr>
        <w:tc>
          <w:tcPr>
            <w:tcW w:type="dxa" w:w="3008"/>
          </w:tcPr>
          <w:p>
            <w:pPr>
              <w:pStyle w:val="TableContents"/>
              <w:spacing w:before="0" w:after="0" w:line="240" w:lineRule="atLeast"/>
            </w:pPr>
            <w:r>
              <w:rPr>
                <w:rFonts w:ascii="Arial" w:hAnsi="Arial" w:cs="Arial" w:eastAsia="Arial"/>
                <w:sz w:val="16"/>
                <w:szCs w:val="16"/>
              </w:rPr>
              <w:t>Principal Contractor Leadership</w:t>
            </w:r>
          </w:p>
        </w:tc>
        <w:tc>
          <w:tcPr>
            <w:tcW w:type="dxa" w:w="3008"/>
          </w:tcPr>
          <w:p>
            <w:pPr>
              <w:pStyle w:val="TableContents"/>
              <w:spacing w:before="0" w:after="0" w:line="240" w:lineRule="atLeast"/>
            </w:pPr>
            <w:r>
              <w:rPr>
                <w:rFonts w:ascii="Arial" w:hAnsi="Arial" w:cs="Arial" w:eastAsia="Arial"/>
                <w:sz w:val="16"/>
                <w:szCs w:val="16"/>
              </w:rPr>
              <w:t>Mandatory - project manager and HSESC lead from each principal contractor</w:t>
            </w:r>
          </w:p>
        </w:tc>
        <w:tc>
          <w:tcPr>
            <w:tcW w:type="dxa" w:w="3010"/>
          </w:tcPr>
          <w:p>
            <w:pPr>
              <w:pStyle w:val="TableContents"/>
              <w:spacing w:before="0" w:after="0" w:line="240" w:lineRule="atLeast"/>
            </w:pPr>
            <w:r>
              <w:rPr>
                <w:rFonts w:ascii="Arial" w:hAnsi="Arial" w:cs="Arial" w:eastAsia="Arial"/>
                <w:b/>
                <w:bCs/>
                <w:color w:val="0059D1"/>
                <w:sz w:val="16"/>
                <w:szCs w:val="16"/>
              </w:rPr>
              <w:t>[INSERT: contractor organisation names and position titles]</w:t>
            </w:r>
          </w:p>
        </w:tc>
      </w:tr>
      <w:tr>
        <w:tc>
          <w:tcPr>
            <w:tcW w:type="dxa" w:w="3008"/>
          </w:tcPr>
          <w:p>
            <w:pPr>
              <w:pStyle w:val="TableContents"/>
              <w:spacing w:before="0" w:after="0" w:line="240" w:lineRule="atLeast"/>
            </w:pPr>
            <w:r>
              <w:rPr>
                <w:rFonts w:ascii="Arial" w:hAnsi="Arial" w:cs="Arial" w:eastAsia="Arial"/>
                <w:sz w:val="16"/>
                <w:szCs w:val="16"/>
              </w:rPr>
              <w:t>Additional Contractor Leadership</w:t>
            </w:r>
          </w:p>
        </w:tc>
        <w:tc>
          <w:tcPr>
            <w:tcW w:type="dxa" w:w="3008"/>
          </w:tcPr>
          <w:p>
            <w:pPr>
              <w:pStyle w:val="TableContents"/>
              <w:spacing w:before="0" w:after="0" w:line="240" w:lineRule="atLeast"/>
            </w:pPr>
            <w:r>
              <w:rPr>
                <w:rFonts w:ascii="Arial" w:hAnsi="Arial" w:cs="Arial" w:eastAsia="Arial"/>
                <w:sz w:val="16"/>
                <w:szCs w:val="16"/>
              </w:rPr>
              <w:t>As required - invited by the HSESC Manager based on the performance topics for the review cycle</w:t>
            </w:r>
          </w:p>
        </w:tc>
        <w:tc>
          <w:tcPr>
            <w:tcW w:type="dxa" w:w="3010"/>
          </w:tcPr>
          <w:p>
            <w:pPr>
              <w:pStyle w:val="TableContents"/>
              <w:spacing w:before="0" w:after="0" w:line="240" w:lineRule="atLeast"/>
            </w:pPr>
            <w:r>
              <w:rPr>
                <w:rFonts w:ascii="Arial" w:hAnsi="Arial" w:cs="Arial" w:eastAsia="Arial"/>
                <w:b/>
                <w:bCs/>
                <w:color w:val="0059D1"/>
                <w:sz w:val="16"/>
                <w:szCs w:val="16"/>
              </w:rPr>
              <w:t>[INSERT: criteria for inclusion]</w:t>
            </w:r>
          </w:p>
        </w:tc>
      </w:tr>
    </w:tbl>
    <w:p>
      <w:pPr>
        <w:pStyle w:val="NormalNumberedtext"/>
      </w:pPr>
    </w:p>
    <w:p>
      <w:pPr>
        <w:pStyle w:val="NormalNumberedtext"/>
      </w:pPr>
      <w:r>
        <w:t>The governance framework for the HSESC Leadership Team, including composition and escalation authority, is defined in the Organisational Resources Procedure, [INSERT: Project Document Number]. This procedure does not repeat that content.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2: Define the management review chair and required attendees for this project. The procedure requires senior leadership participation - identify each required role by position title in Table 2 above before this document is issued.</w:t>
            </w:r>
          </w:p>
        </w:tc>
      </w:tr>
    </w:tbl>
    <w:p>
      <w:pPr>
        <w:pStyle w:val="NormalNumberedtext"/>
      </w:pPr>
    </w:p>
    <w:p>
      <w:pPr>
        <w:pStyle w:val="Heading2Numbered"/>
        <w:numPr>
          <w:ilvl w:val="1"/>
          <w:numId w:val="1"/>
        </w:numPr>
      </w:pPr>
      <w:r>
        <w:rPr>
          <w:rFonts w:ascii="Arial" w:hAnsi="Arial" w:cs="Arial" w:eastAsia="Arial"/>
        </w:rPr>
        <w:t>Performance Topics at Every Review</w:t>
      </w:r>
    </w:p>
    <w:p>
      <w:pPr>
        <w:pStyle w:val="NormalNumberedtext"/>
      </w:pPr>
      <w:r>
        <w:t>This section defines the performance topics that must be addressed at each management review, regardless of project phase.</w:t>
      </w:r>
    </w:p>
    <w:p>
      <w:pPr>
        <w:pStyle w:val="NormalNumberedtext"/>
      </w:pPr>
      <w:r>
        <w:t>Each management review includes an explicit review of performance against the project's goals for elimination of fatalities, serious injuries, and psychosocial hazards, consistent with ICMM Principle 5, Performance Expectation 5.1. These topics are standing agenda items and are not deferred or combined with other agenda items.</w:t>
      </w:r>
    </w:p>
    <w:p>
      <w:pPr>
        <w:pStyle w:val="NormalNumberedtext"/>
      </w:pPr>
      <w:r>
        <w:t>The following performance topics are standing agenda items at every management review:</w:t>
      </w:r>
    </w:p>
    <w:p>
      <w:pPr>
        <w:pStyle w:val="NumberedBulletL1"/>
      </w:pPr>
      <w:r>
        <w:t>Performance against project targets for elimination of fatalities and life-altering injuries, including high-potential incident trends.</w:t>
      </w:r>
    </w:p>
    <w:p>
      <w:pPr>
        <w:pStyle w:val="NumberedBulletL1"/>
      </w:pPr>
      <w:r>
        <w:t>Performance against project targets for elimination or control of serious injuries and occupational illnesses.</w:t>
      </w:r>
    </w:p>
    <w:p>
      <w:pPr>
        <w:pStyle w:val="NumberedBulletL1"/>
      </w:pPr>
      <w:r>
        <w:t>Performance against project targets for psychosocial hazard identification, reporting, and control.</w:t>
      </w:r>
    </w:p>
    <w:p>
      <w:pPr>
        <w:pStyle w:val="NumberedBulletL1"/>
      </w:pPr>
      <w:r>
        <w:t>Progress against actions and improvement commitments from the previous management review.</w:t>
      </w:r>
    </w:p>
    <w:p>
      <w:pPr>
        <w:pStyle w:val="NumberedBulletL1"/>
      </w:pPr>
      <w:r>
        <w:t>Overall HSESC system effectiveness as assessed against the programme as a whole, not only individual element performance.</w:t>
      </w:r>
    </w:p>
    <w:p>
      <w:pPr>
        <w:pStyle w:val="NormalNumberedtext"/>
      </w:pPr>
    </w:p>
    <w:p>
      <w:pPr>
        <w:pStyle w:val="Heading1Numbered"/>
        <w:numPr>
          <w:ilvl w:val="0"/>
          <w:numId w:val="1"/>
        </w:numPr>
      </w:pPr>
      <w:r>
        <w:rPr>
          <w:rFonts w:ascii="Arial" w:hAnsi="Arial" w:cs="Arial" w:eastAsia="Arial"/>
        </w:rPr>
        <w:t>Review Inputs</w:t>
      </w:r>
    </w:p>
    <w:p>
      <w:pPr>
        <w:pStyle w:val="NormalNumberedtext"/>
      </w:pPr>
      <w:r>
        <w:t>This section defines the mandatory inputs to each management review, the sources from which inputs are drawn, and how monitoring and stakeholder data are incorporated into the review package.</w:t>
      </w:r>
    </w:p>
    <w:p>
      <w:pPr>
        <w:pStyle w:val="NormalNumberedtext"/>
      </w:pPr>
    </w:p>
    <w:p>
      <w:pPr>
        <w:pStyle w:val="Heading2Numbered"/>
        <w:numPr>
          <w:ilvl w:val="1"/>
          <w:numId w:val="1"/>
        </w:numPr>
      </w:pPr>
      <w:r>
        <w:rPr>
          <w:rFonts w:ascii="Arial" w:hAnsi="Arial" w:cs="Arial" w:eastAsia="Arial"/>
        </w:rPr>
        <w:t>Mandatory Review Input Requirements</w:t>
      </w:r>
    </w:p>
    <w:p>
      <w:pPr>
        <w:pStyle w:val="NormalNumberedtext"/>
      </w:pPr>
      <w:r>
        <w:t>The HSESC Manager compiles and distributes the review input package to all participants before each management review.</w:t>
      </w:r>
    </w:p>
    <w:p>
      <w:pPr>
        <w:pStyle w:val="NormalNumberedtext"/>
      </w:pPr>
      <w:r>
        <w:t>Monitoring data and stakeholder feedback are incorporated into management review inputs to ensure the review reflects real-world project performance and not only internal programme metrics, consistent with IFC PS1 §22. Monitoring data is drawn from the Monitoring Procedure, [INSERT: Project Document Number], and stakeholder feedback is incorporated from community and stakeholder engagement records held by the relevant functional team.</w:t>
      </w:r>
    </w:p>
    <w:p>
      <w:pPr>
        <w:pStyle w:val="NormalNumberedtext"/>
      </w:pPr>
      <w:r>
        <w:t>The HSESC Manager distributes the complete review input package to all required participants no later than [INSERT: timeframe, e.g. five business days] before the scheduled review date. Inputs are drawn from the project management system and cross-referenced to source documents; source content is not reproduced in the input package.</w:t>
      </w:r>
    </w:p>
    <w:p>
      <w:pPr>
        <w:pStyle w:val="NormalNumberedtext"/>
      </w:pPr>
      <w:r>
        <w:t>The following inputs are mandatory at each management review:</w:t>
      </w:r>
    </w:p>
    <w:p>
      <w:pPr>
        <w:pStyle w:val="NumberedBulletL1"/>
      </w:pPr>
      <w:r>
        <w:t>HSESC performance metrics covering both leading indicators and lagging indicators for the review period, drawn from the Monitoring Procedure, [INSERT: Project Document Number].</w:t>
      </w:r>
    </w:p>
    <w:p>
      <w:pPr>
        <w:pStyle w:val="NumberedBulletL1"/>
      </w:pPr>
      <w:r>
        <w:t>Audit and inspection findings, including open findings, overdue actions, and repeat findings, drawn from the Auditing Procedure, [INSERT: Project Document Number].</w:t>
      </w:r>
    </w:p>
    <w:p>
      <w:pPr>
        <w:pStyle w:val="NumberedBulletL1"/>
      </w:pPr>
      <w:r>
        <w:t>Incident trends and root cause analysis summaries for the review period, drawn from the Incident Management Procedure, [INSERT: Project Document Number].</w:t>
      </w:r>
    </w:p>
    <w:p>
      <w:pPr>
        <w:pStyle w:val="NumberedBulletL1"/>
      </w:pPr>
      <w:r>
        <w:t>Critical Risk Management programme performance, including critical control verification outcomes and any critical control failures in the review period.</w:t>
      </w:r>
    </w:p>
    <w:p>
      <w:pPr>
        <w:pStyle w:val="NumberedBulletL1"/>
      </w:pPr>
      <w:r>
        <w:t>Safety and Health Management Maturity assessment outcomes where a maturity assessment has been completed since the previous review.</w:t>
      </w:r>
    </w:p>
    <w:p>
      <w:pPr>
        <w:pStyle w:val="NumberedBulletL1"/>
      </w:pPr>
      <w:r>
        <w:t>Community complaints and feedback received during the review period, including response status and any unresolved items.</w:t>
      </w:r>
    </w:p>
    <w:p>
      <w:pPr>
        <w:pStyle w:val="NumberedBulletL1"/>
      </w:pPr>
      <w:r>
        <w:t>Environmental performance against project environmental criteria and any exceedances or non-conformances in the review period.</w:t>
      </w:r>
    </w:p>
    <w:p>
      <w:pPr>
        <w:pStyle w:val="NumberedBulletL1"/>
      </w:pPr>
      <w:r>
        <w:t>Legal and regulatory compliance status, including any notices, directions, or changes to applicable legislation since the last review.</w:t>
      </w:r>
    </w:p>
    <w:p>
      <w:pPr>
        <w:pStyle w:val="NumberedBulletL1"/>
      </w:pPr>
      <w:r>
        <w:t>Status of all actions from the previous management review, including actions closed, actions overdue, and actions pending.</w:t>
      </w:r>
    </w:p>
    <w:p>
      <w:pPr>
        <w:pStyle w:val="NumberedBulletL1"/>
      </w:pPr>
      <w:r>
        <w:t>Risks and opportunities identified or changed since the previous review, including any new significant risks to the HSESC system.</w:t>
      </w:r>
    </w:p>
    <w:p>
      <w:pPr>
        <w:pStyle w:val="NormalNumberedtext"/>
      </w:pPr>
    </w:p>
    <w:p>
      <w:pPr>
        <w:pStyle w:val="Heading2Numbered"/>
        <w:numPr>
          <w:ilvl w:val="1"/>
          <w:numId w:val="1"/>
        </w:numPr>
      </w:pPr>
      <w:r>
        <w:rPr>
          <w:rFonts w:ascii="Arial" w:hAnsi="Arial" w:cs="Arial" w:eastAsia="Arial"/>
        </w:rPr>
        <w:t>Input Preparation Responsibilities</w:t>
      </w:r>
    </w:p>
    <w:p>
      <w:pPr>
        <w:pStyle w:val="NormalNumberedtext"/>
      </w:pPr>
      <w:r>
        <w:t>This section defines who is responsible for preparing and submitting each input category to the HSESC Manager before the review.</w:t>
      </w:r>
    </w:p>
    <w:p>
      <w:pPr>
        <w:pStyle w:val="NormalNumberedtext"/>
      </w:pPr>
      <w:r>
        <w:t>Table 3: Management Review Input Responsibilities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Input Category</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Source Document or System</w:t>
            </w:r>
          </w:p>
        </w:tc>
      </w:tr>
      <w:tr>
        <w:tc>
          <w:tcPr>
            <w:tcW w:type="dxa" w:w="3008"/>
          </w:tcPr>
          <w:p>
            <w:pPr>
              <w:pStyle w:val="TableContents"/>
              <w:spacing w:before="0" w:after="0" w:line="240" w:lineRule="atLeast"/>
            </w:pPr>
            <w:r>
              <w:rPr>
                <w:rFonts w:ascii="Arial" w:hAnsi="Arial" w:cs="Arial" w:eastAsia="Arial"/>
                <w:sz w:val="16"/>
                <w:szCs w:val="16"/>
              </w:rPr>
              <w:t>HSESC performance metrics - leading and lagging</w:t>
            </w:r>
          </w:p>
        </w:tc>
        <w:tc>
          <w:tcPr>
            <w:tcW w:type="dxa" w:w="3008"/>
          </w:tcPr>
          <w:p>
            <w:pPr>
              <w:pStyle w:val="TableContents"/>
              <w:spacing w:before="0" w:after="0" w:line="240" w:lineRule="atLeast"/>
            </w:pPr>
            <w:r>
              <w:rPr>
                <w:rFonts w:ascii="Arial" w:hAnsi="Arial" w:cs="Arial" w:eastAsia="Arial"/>
                <w:sz w:val="16"/>
                <w:szCs w:val="16"/>
              </w:rPr>
              <w:t>HSESC Manager</w:t>
            </w:r>
          </w:p>
        </w:tc>
        <w:tc>
          <w:tcPr>
            <w:tcW w:type="dxa" w:w="3010"/>
          </w:tcPr>
          <w:p>
            <w:pPr>
              <w:pStyle w:val="TableContents"/>
              <w:spacing w:before="0" w:after="0" w:line="240" w:lineRule="atLeast"/>
            </w:pPr>
            <w:r>
              <w:rPr>
                <w:rFonts w:ascii="Arial" w:hAnsi="Arial" w:cs="Arial" w:eastAsia="Arial"/>
                <w:b/>
                <w:bCs/>
                <w:color w:val="0059D1"/>
                <w:sz w:val="16"/>
                <w:szCs w:val="16"/>
              </w:rPr>
              <w:t>[INSERT: Project Document Number]</w:t>
            </w:r>
            <w:r>
              <w:rPr>
                <w:rFonts w:ascii="Arial" w:hAnsi="Arial" w:cs="Arial" w:eastAsia="Arial"/>
                <w:sz w:val="16"/>
                <w:szCs w:val="16"/>
              </w:rPr>
              <w:t xml:space="preserve"> - Monitoring</w:t>
            </w:r>
          </w:p>
        </w:tc>
      </w:tr>
      <w:tr>
        <w:tc>
          <w:tcPr>
            <w:tcW w:type="dxa" w:w="3008"/>
          </w:tcPr>
          <w:p>
            <w:pPr>
              <w:pStyle w:val="TableContents"/>
              <w:spacing w:before="0" w:after="0" w:line="240" w:lineRule="atLeast"/>
            </w:pPr>
            <w:r>
              <w:rPr>
                <w:rFonts w:ascii="Arial" w:hAnsi="Arial" w:cs="Arial" w:eastAsia="Arial"/>
                <w:sz w:val="16"/>
                <w:szCs w:val="16"/>
              </w:rPr>
              <w:t>Audit and inspection findings</w:t>
            </w:r>
          </w:p>
        </w:tc>
        <w:tc>
          <w:tcPr>
            <w:tcW w:type="dxa" w:w="3008"/>
          </w:tcPr>
          <w:p>
            <w:pPr>
              <w:pStyle w:val="TableContents"/>
              <w:spacing w:before="0" w:after="0" w:line="240" w:lineRule="atLeast"/>
            </w:pPr>
            <w:r>
              <w:rPr>
                <w:rFonts w:ascii="Arial" w:hAnsi="Arial" w:cs="Arial" w:eastAsia="Arial"/>
                <w:sz w:val="16"/>
                <w:szCs w:val="16"/>
              </w:rPr>
              <w:t>HSESC Manager - Audit Function</w:t>
            </w:r>
          </w:p>
        </w:tc>
        <w:tc>
          <w:tcPr>
            <w:tcW w:type="dxa" w:w="3010"/>
          </w:tcPr>
          <w:p>
            <w:pPr>
              <w:pStyle w:val="TableContents"/>
              <w:spacing w:before="0" w:after="0" w:line="240" w:lineRule="atLeast"/>
            </w:pPr>
            <w:r>
              <w:rPr>
                <w:rFonts w:ascii="Arial" w:hAnsi="Arial" w:cs="Arial" w:eastAsia="Arial"/>
                <w:b/>
                <w:bCs/>
                <w:color w:val="0059D1"/>
                <w:sz w:val="16"/>
                <w:szCs w:val="16"/>
              </w:rPr>
              <w:t>[INSERT: Project Document Number]</w:t>
            </w:r>
            <w:r>
              <w:rPr>
                <w:rFonts w:ascii="Arial" w:hAnsi="Arial" w:cs="Arial" w:eastAsia="Arial"/>
                <w:sz w:val="16"/>
                <w:szCs w:val="16"/>
              </w:rPr>
              <w:t xml:space="preserve"> - Auditing</w:t>
            </w:r>
          </w:p>
        </w:tc>
      </w:tr>
      <w:tr>
        <w:tc>
          <w:tcPr>
            <w:tcW w:type="dxa" w:w="3008"/>
          </w:tcPr>
          <w:p>
            <w:pPr>
              <w:pStyle w:val="TableContents"/>
              <w:spacing w:before="0" w:after="0" w:line="240" w:lineRule="atLeast"/>
            </w:pPr>
            <w:r>
              <w:rPr>
                <w:rFonts w:ascii="Arial" w:hAnsi="Arial" w:cs="Arial" w:eastAsia="Arial"/>
                <w:sz w:val="16"/>
                <w:szCs w:val="16"/>
              </w:rPr>
              <w:t>Incident trends and root cause summaries</w:t>
            </w:r>
          </w:p>
        </w:tc>
        <w:tc>
          <w:tcPr>
            <w:tcW w:type="dxa" w:w="3008"/>
          </w:tcPr>
          <w:p>
            <w:pPr>
              <w:pStyle w:val="TableContents"/>
              <w:spacing w:before="0" w:after="0" w:line="240" w:lineRule="atLeast"/>
            </w:pPr>
            <w:r>
              <w:rPr>
                <w:rFonts w:ascii="Arial" w:hAnsi="Arial" w:cs="Arial" w:eastAsia="Arial"/>
                <w:sz w:val="16"/>
                <w:szCs w:val="16"/>
              </w:rPr>
              <w:t>HSESC Manager</w:t>
            </w:r>
          </w:p>
        </w:tc>
        <w:tc>
          <w:tcPr>
            <w:tcW w:type="dxa" w:w="3010"/>
          </w:tcPr>
          <w:p>
            <w:pPr>
              <w:pStyle w:val="TableContents"/>
              <w:spacing w:before="0" w:after="0" w:line="240" w:lineRule="atLeast"/>
            </w:pPr>
            <w:r>
              <w:rPr>
                <w:rFonts w:ascii="Arial" w:hAnsi="Arial" w:cs="Arial" w:eastAsia="Arial"/>
                <w:b/>
                <w:bCs/>
                <w:color w:val="0059D1"/>
                <w:sz w:val="16"/>
                <w:szCs w:val="16"/>
              </w:rPr>
              <w:t>[INSERT: Project Document Number]</w:t>
            </w:r>
            <w:r>
              <w:rPr>
                <w:rFonts w:ascii="Arial" w:hAnsi="Arial" w:cs="Arial" w:eastAsia="Arial"/>
                <w:sz w:val="16"/>
                <w:szCs w:val="16"/>
              </w:rPr>
              <w:t xml:space="preserve"> - Incident Management</w:t>
            </w:r>
          </w:p>
        </w:tc>
      </w:tr>
      <w:tr>
        <w:tc>
          <w:tcPr>
            <w:tcW w:type="dxa" w:w="3008"/>
          </w:tcPr>
          <w:p>
            <w:pPr>
              <w:pStyle w:val="TableContents"/>
              <w:spacing w:before="0" w:after="0" w:line="240" w:lineRule="atLeast"/>
            </w:pPr>
            <w:r>
              <w:rPr>
                <w:rFonts w:ascii="Arial" w:hAnsi="Arial" w:cs="Arial" w:eastAsia="Arial"/>
                <w:sz w:val="16"/>
                <w:szCs w:val="16"/>
              </w:rPr>
              <w:t>CRM programme performance</w:t>
            </w:r>
          </w:p>
        </w:tc>
        <w:tc>
          <w:tcPr>
            <w:tcW w:type="dxa" w:w="3008"/>
          </w:tcPr>
          <w:p>
            <w:pPr>
              <w:pStyle w:val="TableContents"/>
              <w:spacing w:before="0" w:after="0" w:line="240" w:lineRule="atLeast"/>
            </w:pPr>
            <w:r>
              <w:rPr>
                <w:rFonts w:ascii="Arial" w:hAnsi="Arial" w:cs="Arial" w:eastAsia="Arial"/>
                <w:sz w:val="16"/>
                <w:szCs w:val="16"/>
              </w:rPr>
              <w:t>HSESC Manager</w:t>
            </w:r>
          </w:p>
        </w:tc>
        <w:tc>
          <w:tcPr>
            <w:tcW w:type="dxa" w:w="3010"/>
          </w:tcPr>
          <w:p>
            <w:pPr>
              <w:pStyle w:val="TableContents"/>
              <w:spacing w:before="0" w:after="0" w:line="240" w:lineRule="atLeast"/>
            </w:pPr>
            <w:r>
              <w:rPr>
                <w:rFonts w:ascii="Arial" w:hAnsi="Arial" w:cs="Arial" w:eastAsia="Arial"/>
                <w:b/>
                <w:bCs/>
                <w:color w:val="0059D1"/>
                <w:sz w:val="16"/>
                <w:szCs w:val="16"/>
              </w:rPr>
              <w:t>[INSERT: CRM programme register or system]</w:t>
            </w:r>
          </w:p>
        </w:tc>
      </w:tr>
      <w:tr>
        <w:tc>
          <w:tcPr>
            <w:tcW w:type="dxa" w:w="3008"/>
          </w:tcPr>
          <w:p>
            <w:pPr>
              <w:pStyle w:val="TableContents"/>
              <w:spacing w:before="0" w:after="0" w:line="240" w:lineRule="atLeast"/>
            </w:pPr>
            <w:r>
              <w:rPr>
                <w:rFonts w:ascii="Arial" w:hAnsi="Arial" w:cs="Arial" w:eastAsia="Arial"/>
                <w:sz w:val="16"/>
                <w:szCs w:val="16"/>
              </w:rPr>
              <w:t>SMM maturity assessment outcomes</w:t>
            </w:r>
          </w:p>
        </w:tc>
        <w:tc>
          <w:tcPr>
            <w:tcW w:type="dxa" w:w="3008"/>
          </w:tcPr>
          <w:p>
            <w:pPr>
              <w:pStyle w:val="TableContents"/>
              <w:spacing w:before="0" w:after="0" w:line="240" w:lineRule="atLeast"/>
            </w:pPr>
            <w:r>
              <w:rPr>
                <w:rFonts w:ascii="Arial" w:hAnsi="Arial" w:cs="Arial" w:eastAsia="Arial"/>
                <w:sz w:val="16"/>
                <w:szCs w:val="16"/>
              </w:rPr>
              <w:t>HSESC Manager</w:t>
            </w:r>
          </w:p>
        </w:tc>
        <w:tc>
          <w:tcPr>
            <w:tcW w:type="dxa" w:w="3010"/>
          </w:tcPr>
          <w:p>
            <w:pPr>
              <w:pStyle w:val="TableContents"/>
              <w:spacing w:before="0" w:after="0" w:line="240" w:lineRule="atLeast"/>
            </w:pPr>
            <w:r>
              <w:rPr>
                <w:rFonts w:ascii="Arial" w:hAnsi="Arial" w:cs="Arial" w:eastAsia="Arial"/>
                <w:b/>
                <w:bCs/>
                <w:color w:val="0059D1"/>
                <w:sz w:val="16"/>
                <w:szCs w:val="16"/>
              </w:rPr>
              <w:t>[INSERT: maturity assessment record location]</w:t>
            </w:r>
          </w:p>
        </w:tc>
      </w:tr>
      <w:tr>
        <w:tc>
          <w:tcPr>
            <w:tcW w:type="dxa" w:w="3008"/>
          </w:tcPr>
          <w:p>
            <w:pPr>
              <w:pStyle w:val="TableContents"/>
              <w:spacing w:before="0" w:after="0" w:line="240" w:lineRule="atLeast"/>
            </w:pPr>
            <w:r>
              <w:rPr>
                <w:rFonts w:ascii="Arial" w:hAnsi="Arial" w:cs="Arial" w:eastAsia="Arial"/>
                <w:sz w:val="16"/>
                <w:szCs w:val="16"/>
              </w:rPr>
              <w:t>Community complaints and feedback</w:t>
            </w:r>
          </w:p>
        </w:tc>
        <w:tc>
          <w:tcPr>
            <w:tcW w:type="dxa" w:w="3008"/>
          </w:tcPr>
          <w:p>
            <w:pPr>
              <w:pStyle w:val="TableContents"/>
              <w:spacing w:before="0" w:after="0" w:line="240" w:lineRule="atLeast"/>
            </w:pPr>
            <w:r>
              <w:rPr>
                <w:rFonts w:ascii="Arial" w:hAnsi="Arial" w:cs="Arial" w:eastAsia="Arial"/>
                <w:sz w:val="16"/>
                <w:szCs w:val="16"/>
              </w:rPr>
              <w:t>Community Relations Lead</w:t>
            </w:r>
          </w:p>
        </w:tc>
        <w:tc>
          <w:tcPr>
            <w:tcW w:type="dxa" w:w="3010"/>
          </w:tcPr>
          <w:p>
            <w:pPr>
              <w:pStyle w:val="TableContents"/>
              <w:spacing w:before="0" w:after="0" w:line="240" w:lineRule="atLeast"/>
            </w:pPr>
            <w:r>
              <w:rPr>
                <w:rFonts w:ascii="Arial" w:hAnsi="Arial" w:cs="Arial" w:eastAsia="Arial"/>
                <w:b/>
                <w:bCs/>
                <w:color w:val="0059D1"/>
                <w:sz w:val="16"/>
                <w:szCs w:val="16"/>
              </w:rPr>
              <w:t>[INSERT: stakeholder engagement register]</w:t>
            </w:r>
          </w:p>
        </w:tc>
      </w:tr>
      <w:tr>
        <w:tc>
          <w:tcPr>
            <w:tcW w:type="dxa" w:w="3008"/>
          </w:tcPr>
          <w:p>
            <w:pPr>
              <w:pStyle w:val="TableContents"/>
              <w:spacing w:before="0" w:after="0" w:line="240" w:lineRule="atLeast"/>
            </w:pPr>
            <w:r>
              <w:rPr>
                <w:rFonts w:ascii="Arial" w:hAnsi="Arial" w:cs="Arial" w:eastAsia="Arial"/>
                <w:sz w:val="16"/>
                <w:szCs w:val="16"/>
              </w:rPr>
              <w:t>Environmental performance</w:t>
            </w:r>
          </w:p>
        </w:tc>
        <w:tc>
          <w:tcPr>
            <w:tcW w:type="dxa" w:w="3008"/>
          </w:tcPr>
          <w:p>
            <w:pPr>
              <w:pStyle w:val="TableContents"/>
              <w:spacing w:before="0" w:after="0" w:line="240" w:lineRule="atLeast"/>
            </w:pPr>
            <w:r>
              <w:rPr>
                <w:rFonts w:ascii="Arial" w:hAnsi="Arial" w:cs="Arial" w:eastAsia="Arial"/>
                <w:sz w:val="16"/>
                <w:szCs w:val="16"/>
              </w:rPr>
              <w:t>Environmental Lead</w:t>
            </w:r>
          </w:p>
        </w:tc>
        <w:tc>
          <w:tcPr>
            <w:tcW w:type="dxa" w:w="3010"/>
          </w:tcPr>
          <w:p>
            <w:pPr>
              <w:pStyle w:val="TableContents"/>
              <w:spacing w:before="0" w:after="0" w:line="240" w:lineRule="atLeast"/>
            </w:pPr>
            <w:r>
              <w:rPr>
                <w:rFonts w:ascii="Arial" w:hAnsi="Arial" w:cs="Arial" w:eastAsia="Arial"/>
                <w:b/>
                <w:bCs/>
                <w:color w:val="0059D1"/>
                <w:sz w:val="16"/>
                <w:szCs w:val="16"/>
              </w:rPr>
              <w:t>[INSERT: environmental monitoring register]</w:t>
            </w:r>
          </w:p>
        </w:tc>
      </w:tr>
      <w:tr>
        <w:tc>
          <w:tcPr>
            <w:tcW w:type="dxa" w:w="3008"/>
          </w:tcPr>
          <w:p>
            <w:pPr>
              <w:pStyle w:val="TableContents"/>
              <w:spacing w:before="0" w:after="0" w:line="240" w:lineRule="atLeast"/>
            </w:pPr>
            <w:r>
              <w:rPr>
                <w:rFonts w:ascii="Arial" w:hAnsi="Arial" w:cs="Arial" w:eastAsia="Arial"/>
                <w:sz w:val="16"/>
                <w:szCs w:val="16"/>
              </w:rPr>
              <w:t>Legal and regulatory compliance status</w:t>
            </w:r>
          </w:p>
        </w:tc>
        <w:tc>
          <w:tcPr>
            <w:tcW w:type="dxa" w:w="3008"/>
          </w:tcPr>
          <w:p>
            <w:pPr>
              <w:pStyle w:val="TableContents"/>
              <w:spacing w:before="0" w:after="0" w:line="240" w:lineRule="atLeast"/>
            </w:pPr>
            <w:r>
              <w:rPr>
                <w:rFonts w:ascii="Arial" w:hAnsi="Arial" w:cs="Arial" w:eastAsia="Arial"/>
                <w:sz w:val="16"/>
                <w:szCs w:val="16"/>
              </w:rPr>
              <w:t>HSESC Manager</w:t>
            </w:r>
          </w:p>
        </w:tc>
        <w:tc>
          <w:tcPr>
            <w:tcW w:type="dxa" w:w="3010"/>
          </w:tcPr>
          <w:p>
            <w:pPr>
              <w:pStyle w:val="TableContents"/>
              <w:spacing w:before="0" w:after="0" w:line="240" w:lineRule="atLeast"/>
            </w:pPr>
            <w:r>
              <w:rPr>
                <w:rFonts w:ascii="Arial" w:hAnsi="Arial" w:cs="Arial" w:eastAsia="Arial"/>
                <w:b/>
                <w:bCs/>
                <w:color w:val="0059D1"/>
                <w:sz w:val="16"/>
                <w:szCs w:val="16"/>
              </w:rPr>
              <w:t>[INSERT: compliance register]</w:t>
            </w:r>
          </w:p>
        </w:tc>
      </w:tr>
      <w:tr>
        <w:tc>
          <w:tcPr>
            <w:tcW w:type="dxa" w:w="3008"/>
          </w:tcPr>
          <w:p>
            <w:pPr>
              <w:pStyle w:val="TableContents"/>
              <w:spacing w:before="0" w:after="0" w:line="240" w:lineRule="atLeast"/>
            </w:pPr>
            <w:r>
              <w:rPr>
                <w:rFonts w:ascii="Arial" w:hAnsi="Arial" w:cs="Arial" w:eastAsia="Arial"/>
                <w:sz w:val="16"/>
                <w:szCs w:val="16"/>
              </w:rPr>
              <w:t>Status of previous review actions</w:t>
            </w:r>
          </w:p>
        </w:tc>
        <w:tc>
          <w:tcPr>
            <w:tcW w:type="dxa" w:w="3008"/>
          </w:tcPr>
          <w:p>
            <w:pPr>
              <w:pStyle w:val="TableContents"/>
              <w:spacing w:before="0" w:after="0" w:line="240" w:lineRule="atLeast"/>
            </w:pPr>
            <w:r>
              <w:rPr>
                <w:rFonts w:ascii="Arial" w:hAnsi="Arial" w:cs="Arial" w:eastAsia="Arial"/>
                <w:sz w:val="16"/>
                <w:szCs w:val="16"/>
              </w:rPr>
              <w:t>HSESC Manager</w:t>
            </w:r>
          </w:p>
        </w:tc>
        <w:tc>
          <w:tcPr>
            <w:tcW w:type="dxa" w:w="3010"/>
          </w:tcPr>
          <w:p>
            <w:pPr>
              <w:pStyle w:val="TableContents"/>
              <w:spacing w:before="0" w:after="0" w:line="240" w:lineRule="atLeast"/>
            </w:pPr>
            <w:r>
              <w:rPr>
                <w:rFonts w:ascii="Arial" w:hAnsi="Arial" w:cs="Arial" w:eastAsia="Arial"/>
                <w:b/>
                <w:bCs/>
                <w:color w:val="0059D1"/>
                <w:sz w:val="16"/>
                <w:szCs w:val="16"/>
              </w:rPr>
              <w:t>[INSERT: action tracking register]</w:t>
            </w:r>
          </w:p>
        </w:tc>
      </w:tr>
      <w:tr>
        <w:tc>
          <w:tcPr>
            <w:tcW w:type="dxa" w:w="3008"/>
          </w:tcPr>
          <w:p>
            <w:pPr>
              <w:pStyle w:val="TableContents"/>
              <w:spacing w:before="0" w:after="0" w:line="240" w:lineRule="atLeast"/>
            </w:pPr>
            <w:r>
              <w:rPr>
                <w:rFonts w:ascii="Arial" w:hAnsi="Arial" w:cs="Arial" w:eastAsia="Arial"/>
                <w:sz w:val="16"/>
                <w:szCs w:val="16"/>
              </w:rPr>
              <w:t>Risks and opportunities update</w:t>
            </w:r>
          </w:p>
        </w:tc>
        <w:tc>
          <w:tcPr>
            <w:tcW w:type="dxa" w:w="3008"/>
          </w:tcPr>
          <w:p>
            <w:pPr>
              <w:pStyle w:val="TableContents"/>
              <w:spacing w:before="0" w:after="0" w:line="240" w:lineRule="atLeast"/>
            </w:pPr>
            <w:r>
              <w:rPr>
                <w:rFonts w:ascii="Arial" w:hAnsi="Arial" w:cs="Arial" w:eastAsia="Arial"/>
                <w:sz w:val="16"/>
                <w:szCs w:val="16"/>
              </w:rPr>
              <w:t>HSESC Manager</w:t>
            </w:r>
          </w:p>
        </w:tc>
        <w:tc>
          <w:tcPr>
            <w:tcW w:type="dxa" w:w="3010"/>
          </w:tcPr>
          <w:p>
            <w:pPr>
              <w:pStyle w:val="TableContents"/>
              <w:spacing w:before="0" w:after="0" w:line="240" w:lineRule="atLeast"/>
            </w:pPr>
            <w:r>
              <w:rPr>
                <w:rFonts w:ascii="Arial" w:hAnsi="Arial" w:cs="Arial" w:eastAsia="Arial"/>
                <w:b/>
                <w:bCs/>
                <w:color w:val="0059D1"/>
                <w:sz w:val="16"/>
                <w:szCs w:val="16"/>
              </w:rPr>
              <w:t>[INSERT: project risk register]</w:t>
            </w:r>
          </w:p>
        </w:tc>
      </w:tr>
    </w:tbl>
    <w:p>
      <w:pPr>
        <w:pStyle w:val="NormalNumberedtext"/>
      </w:pPr>
    </w:p>
    <w:p>
      <w:pPr>
        <w:pStyle w:val="Heading1Numbered"/>
        <w:numPr>
          <w:ilvl w:val="0"/>
          <w:numId w:val="1"/>
        </w:numPr>
      </w:pPr>
      <w:r>
        <w:rPr>
          <w:rFonts w:ascii="Arial" w:hAnsi="Arial" w:cs="Arial" w:eastAsia="Arial"/>
        </w:rPr>
        <w:t>Review Outputs and Continuous Improvement</w:t>
      </w:r>
    </w:p>
    <w:p>
      <w:pPr>
        <w:pStyle w:val="NormalNumberedtext"/>
      </w:pPr>
      <w:r>
        <w:t>This section defines the required outputs from each management review, the documentation and action tracking requirements that apply to all outputs, and how outputs drive systemic improvement in the HSESC management system.</w:t>
      </w:r>
    </w:p>
    <w:p>
      <w:pPr>
        <w:pStyle w:val="NormalNumberedtext"/>
      </w:pPr>
    </w:p>
    <w:p>
      <w:pPr>
        <w:pStyle w:val="Heading2Numbered"/>
        <w:numPr>
          <w:ilvl w:val="1"/>
          <w:numId w:val="1"/>
        </w:numPr>
      </w:pPr>
      <w:r>
        <w:rPr>
          <w:rFonts w:ascii="Arial" w:hAnsi="Arial" w:cs="Arial" w:eastAsia="Arial"/>
        </w:rPr>
        <w:t>Required Review Outputs</w:t>
      </w:r>
    </w:p>
    <w:p>
      <w:pPr>
        <w:pStyle w:val="NormalNumberedtext"/>
      </w:pPr>
      <w:r>
        <w:t>Management review outputs must address the overall effectiveness of the HSESC programme and set programme-level improvement targets for the next review period.</w:t>
      </w:r>
    </w:p>
    <w:p>
      <w:pPr>
        <w:pStyle w:val="NormalNumberedtext"/>
      </w:pPr>
      <w:r>
        <w:t>The overall effectiveness of the safety and health programme is evaluated at each management review, not only the performance of individual system elements, consistent with the OSHA Programme Evaluation and Improvement requirements. The review sets programme-level improvement targets for the next review period and records them as actions with assigned owners and due dates.</w:t>
      </w:r>
    </w:p>
    <w:p>
      <w:pPr>
        <w:pStyle w:val="NormalNumberedtext"/>
      </w:pPr>
      <w:r>
        <w:t>The following outputs are required from each management review:</w:t>
      </w:r>
    </w:p>
    <w:p>
      <w:pPr>
        <w:pStyle w:val="NumberedBulletL1"/>
      </w:pPr>
      <w:r>
        <w:t>Improvement decisions for the HSESC management system, including decisions to revise, strengthen, or simplify system elements based on review findings.</w:t>
      </w:r>
    </w:p>
    <w:p>
      <w:pPr>
        <w:pStyle w:val="NumberedBulletL1"/>
      </w:pPr>
      <w:r>
        <w:t>Resource changes required to address identified gaps in personnel, equipment, or budget allocation for HSESC activities.</w:t>
      </w:r>
    </w:p>
    <w:p>
      <w:pPr>
        <w:pStyle w:val="NumberedBulletL1"/>
      </w:pPr>
      <w:r>
        <w:t>Revisions to policies, objectives, or targets where review findings indicate that current settings are no longer appropriate or achievable.</w:t>
      </w:r>
    </w:p>
    <w:p>
      <w:pPr>
        <w:pStyle w:val="NumberedBulletL1"/>
      </w:pPr>
      <w:r>
        <w:t>Lessons learned captured from the review period, formatted for retention in the project lessons learned register and for sharing with the Rio Tinto project delivery community.</w:t>
      </w:r>
    </w:p>
    <w:p>
      <w:pPr>
        <w:pStyle w:val="NumberedBulletL1"/>
      </w:pPr>
      <w:r>
        <w:t>Programme-level improvement targets for the next review period, set against the overall effectiveness of the HSESC programme.</w:t>
      </w:r>
    </w:p>
    <w:p>
      <w:pPr>
        <w:pStyle w:val="NumberedBulletL1"/>
      </w:pPr>
      <w:r>
        <w:t>Formal sign-off by the project director confirming the review was conducted, findings were considered, and outputs were endorsed.</w:t>
      </w:r>
    </w:p>
    <w:p>
      <w:pPr>
        <w:pStyle w:val="NormalNumberedtext"/>
      </w:pPr>
    </w:p>
    <w:p>
      <w:pPr>
        <w:pStyle w:val="Heading2Numbered"/>
        <w:numPr>
          <w:ilvl w:val="1"/>
          <w:numId w:val="1"/>
        </w:numPr>
      </w:pPr>
      <w:r>
        <w:rPr>
          <w:rFonts w:ascii="Arial" w:hAnsi="Arial" w:cs="Arial" w:eastAsia="Arial"/>
        </w:rPr>
        <w:t>Systemic Improvement Integration</w:t>
      </w:r>
    </w:p>
    <w:p>
      <w:pPr>
        <w:pStyle w:val="NormalNumberedtext"/>
      </w:pPr>
      <w:r>
        <w:t>Management review outputs are used to drive systemic improvement in the management system, not only to generate individual corrective actions.</w:t>
      </w:r>
    </w:p>
    <w:p>
      <w:pPr>
        <w:pStyle w:val="NormalNumberedtext"/>
      </w:pPr>
      <w:r>
        <w:t>Management review outputs are used to drive systemic improvement in the HSESC management system, consistent with IFC PS1 §11. The risk assessment, management plans, and monitoring programmes are updated based on management review conclusions where the review identifies that current settings do not adequately reflect project risk or performance. These updates are initiated by the HSESC Manager within [INSERT: timeframe, e.g. 10 business days] of the review sign-off date.</w:t>
      </w:r>
    </w:p>
    <w:p>
      <w:pPr>
        <w:pStyle w:val="NormalNumberedtext"/>
      </w:pPr>
      <w:r>
        <w:t>The continuous improvement process that operationalises management review outputs into the project HSESC programme is governed by the Improvement Planning Procedure, [INSERT: Project Document Number]. This procedure does not repeat that process content.</w:t>
      </w:r>
    </w:p>
    <w:p>
      <w:pPr>
        <w:pStyle w:val="NormalNumberedtext"/>
      </w:pPr>
      <w:r>
        <w:t>The following systemic improvement actions are triggered by management review outputs where applicable:</w:t>
      </w:r>
    </w:p>
    <w:p>
      <w:pPr>
        <w:pStyle w:val="NumberedBulletL1"/>
      </w:pPr>
      <w:r>
        <w:t>Update to the project risk register to reflect new or changed risks identified during the review.</w:t>
      </w:r>
    </w:p>
    <w:p>
      <w:pPr>
        <w:pStyle w:val="NumberedBulletL1"/>
      </w:pPr>
      <w:r>
        <w:t>Update to HSESC management plans where review conclusions identify gaps between planned and actual controls.</w:t>
      </w:r>
    </w:p>
    <w:p>
      <w:pPr>
        <w:pStyle w:val="NumberedBulletL1"/>
      </w:pPr>
      <w:r>
        <w:t>Update to the monitoring programme where review findings indicate that current monitoring does not capture the information required to assess HSESC system performance.</w:t>
      </w:r>
    </w:p>
    <w:p>
      <w:pPr>
        <w:pStyle w:val="NumberedBulletL1"/>
      </w:pPr>
      <w:r>
        <w:t>Update to project targets and objectives where the review determines that current settings require revision.</w:t>
      </w:r>
    </w:p>
    <w:p>
      <w:pPr>
        <w:pStyle w:val="NormalNumberedtext"/>
      </w:pPr>
    </w:p>
    <w:p>
      <w:pPr>
        <w:pStyle w:val="Heading2Numbered"/>
        <w:numPr>
          <w:ilvl w:val="1"/>
          <w:numId w:val="1"/>
        </w:numPr>
      </w:pPr>
      <w:r>
        <w:rPr>
          <w:rFonts w:ascii="Arial" w:hAnsi="Arial" w:cs="Arial" w:eastAsia="Arial"/>
        </w:rPr>
        <w:t>Minutes, Action Tracking, and Sign-Off</w:t>
      </w:r>
    </w:p>
    <w:p>
      <w:pPr>
        <w:pStyle w:val="NormalNumberedtext"/>
      </w:pPr>
      <w:r>
        <w:t>This section defines the documentation, distribution, action tracking, and formal sign-off requirements for every management review.</w:t>
      </w:r>
    </w:p>
    <w:p>
      <w:pPr>
        <w:pStyle w:val="NormalNumberedtext"/>
      </w:pPr>
      <w:r>
        <w:t>The HSESC Manager ensures minutes are recorded for every management review, distributed to all participants and relevant stakeholders, and retained in the project document management system. Minutes record attendance, agenda items discussed, decisions made, and all actions raised.</w:t>
      </w:r>
    </w:p>
    <w:p>
      <w:pPr>
        <w:pStyle w:val="NormalNumberedtext"/>
      </w:pPr>
      <w:r>
        <w:t>The minutes format and distribution list for this project are defined below. The HSESC Manager distributes final minutes within [INSERT: timeframe, e.g. five business days] of the review date.</w:t>
      </w:r>
    </w:p>
    <w:p>
      <w:pPr>
        <w:pStyle w:val="NormalNumberedtext"/>
      </w:pPr>
      <w:r>
        <w:rPr>
          <w:b/>
          <w:bCs/>
          <w:color w:val="0059D1"/>
        </w:rPr>
        <w:t>[INSERT: minutes_format_and_distribution] — Define the management review minutes format and distribution list for this project, including the document template reference and the list of roles and organisations that receive final minutes.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3: Define the management review minutes format and distribution list for this project. Insert the document template reference and the complete distribution list in the placeholder above before this document is issued.</w:t>
            </w:r>
          </w:p>
        </w:tc>
      </w:tr>
    </w:tbl>
    <w:p>
      <w:pPr>
        <w:pStyle w:val="NormalNumberedtext"/>
      </w:pPr>
    </w:p>
    <w:p>
      <w:pPr>
        <w:pStyle w:val="NormalNumberedtext"/>
      </w:pPr>
      <w:r>
        <w:t>All actions arising from the management review are entered into the project action tracking register with a defined owner, due date, and priority rating. Action tracking for management review outputs follows the process defined in the Improvement Planning Procedure, [INSERT: Project Document Number].</w:t>
      </w:r>
    </w:p>
    <w:p>
      <w:pPr>
        <w:pStyle w:val="NormalNumberedtext"/>
      </w:pPr>
      <w:r>
        <w:t>Table 4: Management Review Action Tracking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Standard</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Project-Specific Detail</w:t>
            </w:r>
          </w:p>
        </w:tc>
      </w:tr>
      <w:tr>
        <w:tc>
          <w:tcPr>
            <w:tcW w:type="dxa" w:w="3008"/>
          </w:tcPr>
          <w:p>
            <w:pPr>
              <w:pStyle w:val="TableContents"/>
              <w:spacing w:before="0" w:after="0" w:line="240" w:lineRule="atLeast"/>
            </w:pPr>
            <w:r>
              <w:rPr>
                <w:rFonts w:ascii="Arial" w:hAnsi="Arial" w:cs="Arial" w:eastAsia="Arial"/>
                <w:sz w:val="16"/>
                <w:szCs w:val="16"/>
              </w:rPr>
              <w:t>Action tracking register location</w:t>
            </w:r>
          </w:p>
        </w:tc>
        <w:tc>
          <w:tcPr>
            <w:tcW w:type="dxa" w:w="3008"/>
          </w:tcPr>
          <w:p>
            <w:pPr>
              <w:pStyle w:val="TableContents"/>
              <w:spacing w:before="0" w:after="0" w:line="240" w:lineRule="atLeast"/>
            </w:pPr>
            <w:r>
              <w:rPr>
                <w:rFonts w:ascii="Arial" w:hAnsi="Arial" w:cs="Arial" w:eastAsia="Arial"/>
                <w:sz w:val="16"/>
                <w:szCs w:val="16"/>
              </w:rPr>
              <w:t>All actions entered within two business days of review sign-off</w:t>
            </w:r>
          </w:p>
        </w:tc>
        <w:tc>
          <w:tcPr>
            <w:tcW w:type="dxa" w:w="3010"/>
          </w:tcPr>
          <w:p>
            <w:pPr>
              <w:pStyle w:val="TableContents"/>
              <w:spacing w:before="0" w:after="0" w:line="240" w:lineRule="atLeast"/>
            </w:pPr>
            <w:r>
              <w:rPr>
                <w:rFonts w:ascii="Arial" w:hAnsi="Arial" w:cs="Arial" w:eastAsia="Arial"/>
                <w:b/>
                <w:bCs/>
                <w:color w:val="0059D1"/>
                <w:sz w:val="16"/>
                <w:szCs w:val="16"/>
              </w:rPr>
              <w:t>[INSERT: action tracking register name and system location]</w:t>
            </w:r>
          </w:p>
        </w:tc>
      </w:tr>
      <w:tr>
        <w:tc>
          <w:tcPr>
            <w:tcW w:type="dxa" w:w="3008"/>
          </w:tcPr>
          <w:p>
            <w:pPr>
              <w:pStyle w:val="TableContents"/>
              <w:spacing w:before="0" w:after="0" w:line="240" w:lineRule="atLeast"/>
            </w:pPr>
            <w:r>
              <w:rPr>
                <w:rFonts w:ascii="Arial" w:hAnsi="Arial" w:cs="Arial" w:eastAsia="Arial"/>
                <w:sz w:val="16"/>
                <w:szCs w:val="16"/>
              </w:rPr>
              <w:t>Action owner assignment</w:t>
            </w:r>
          </w:p>
        </w:tc>
        <w:tc>
          <w:tcPr>
            <w:tcW w:type="dxa" w:w="3008"/>
          </w:tcPr>
          <w:p>
            <w:pPr>
              <w:pStyle w:val="TableContents"/>
              <w:spacing w:before="0" w:after="0" w:line="240" w:lineRule="atLeast"/>
            </w:pPr>
            <w:r>
              <w:rPr>
                <w:rFonts w:ascii="Arial" w:hAnsi="Arial" w:cs="Arial" w:eastAsia="Arial"/>
                <w:sz w:val="16"/>
                <w:szCs w:val="16"/>
              </w:rPr>
              <w:t>Each action assigned to a named position title, not a team or function</w:t>
            </w:r>
          </w:p>
        </w:tc>
        <w:tc>
          <w:tcPr>
            <w:tcW w:type="dxa" w:w="3010"/>
          </w:tcPr>
          <w:p>
            <w:pPr>
              <w:pStyle w:val="TableContents"/>
              <w:spacing w:before="0" w:after="0" w:line="240" w:lineRule="atLeast"/>
            </w:pPr>
            <w:r>
              <w:rPr>
                <w:rFonts w:ascii="Arial" w:hAnsi="Arial" w:cs="Arial" w:eastAsia="Arial"/>
                <w:b/>
                <w:bCs/>
                <w:color w:val="0059D1"/>
                <w:sz w:val="16"/>
                <w:szCs w:val="16"/>
              </w:rPr>
              <w:t>[INSERT: confirm owner assignment process]</w:t>
            </w:r>
          </w:p>
        </w:tc>
      </w:tr>
      <w:tr>
        <w:tc>
          <w:tcPr>
            <w:tcW w:type="dxa" w:w="3008"/>
          </w:tcPr>
          <w:p>
            <w:pPr>
              <w:pStyle w:val="TableContents"/>
              <w:spacing w:before="0" w:after="0" w:line="240" w:lineRule="atLeast"/>
            </w:pPr>
            <w:r>
              <w:rPr>
                <w:rFonts w:ascii="Arial" w:hAnsi="Arial" w:cs="Arial" w:eastAsia="Arial"/>
                <w:sz w:val="16"/>
                <w:szCs w:val="16"/>
              </w:rPr>
              <w:t>Due date assignment</w:t>
            </w:r>
          </w:p>
        </w:tc>
        <w:tc>
          <w:tcPr>
            <w:tcW w:type="dxa" w:w="3008"/>
          </w:tcPr>
          <w:p>
            <w:pPr>
              <w:pStyle w:val="TableContents"/>
              <w:spacing w:before="0" w:after="0" w:line="240" w:lineRule="atLeast"/>
            </w:pPr>
            <w:r>
              <w:rPr>
                <w:rFonts w:ascii="Arial" w:hAnsi="Arial" w:cs="Arial" w:eastAsia="Arial"/>
                <w:sz w:val="16"/>
                <w:szCs w:val="16"/>
              </w:rPr>
              <w:t>Each action assigned a due date consistent with its priority rating</w:t>
            </w:r>
          </w:p>
        </w:tc>
        <w:tc>
          <w:tcPr>
            <w:tcW w:type="dxa" w:w="3010"/>
          </w:tcPr>
          <w:p>
            <w:pPr>
              <w:pStyle w:val="TableContents"/>
              <w:spacing w:before="0" w:after="0" w:line="240" w:lineRule="atLeast"/>
            </w:pPr>
            <w:r>
              <w:rPr>
                <w:rFonts w:ascii="Arial" w:hAnsi="Arial" w:cs="Arial" w:eastAsia="Arial"/>
                <w:b/>
                <w:bCs/>
                <w:color w:val="0059D1"/>
                <w:sz w:val="16"/>
                <w:szCs w:val="16"/>
              </w:rPr>
              <w:t>[INSERT: priority rating definitions if not defined in RTPR-HSE-PRO-0007]</w:t>
            </w:r>
          </w:p>
        </w:tc>
      </w:tr>
      <w:tr>
        <w:tc>
          <w:tcPr>
            <w:tcW w:type="dxa" w:w="3008"/>
          </w:tcPr>
          <w:p>
            <w:pPr>
              <w:pStyle w:val="TableContents"/>
              <w:spacing w:before="0" w:after="0" w:line="240" w:lineRule="atLeast"/>
            </w:pPr>
            <w:r>
              <w:rPr>
                <w:rFonts w:ascii="Arial" w:hAnsi="Arial" w:cs="Arial" w:eastAsia="Arial"/>
                <w:sz w:val="16"/>
                <w:szCs w:val="16"/>
              </w:rPr>
              <w:t>Closure reporting at next review</w:t>
            </w:r>
          </w:p>
        </w:tc>
        <w:tc>
          <w:tcPr>
            <w:tcW w:type="dxa" w:w="3008"/>
          </w:tcPr>
          <w:p>
            <w:pPr>
              <w:pStyle w:val="TableContents"/>
              <w:spacing w:before="0" w:after="0" w:line="240" w:lineRule="atLeast"/>
            </w:pPr>
            <w:r>
              <w:rPr>
                <w:rFonts w:ascii="Arial" w:hAnsi="Arial" w:cs="Arial" w:eastAsia="Arial"/>
                <w:sz w:val="16"/>
                <w:szCs w:val="16"/>
              </w:rPr>
              <w:t>All actions from the previous review reported as closed, overdue, or in progress at the opening of the next review</w:t>
            </w:r>
          </w:p>
        </w:tc>
        <w:tc>
          <w:tcPr>
            <w:tcW w:type="dxa" w:w="3010"/>
          </w:tcPr>
          <w:p>
            <w:pPr>
              <w:pStyle w:val="TableContents"/>
              <w:spacing w:before="0" w:after="0" w:line="240" w:lineRule="atLeast"/>
            </w:pPr>
            <w:r>
              <w:rPr>
                <w:rFonts w:ascii="Arial" w:hAnsi="Arial" w:cs="Arial" w:eastAsia="Arial"/>
                <w:b/>
                <w:bCs/>
                <w:color w:val="0059D1"/>
                <w:sz w:val="16"/>
                <w:szCs w:val="16"/>
              </w:rPr>
              <w:t>[INSERT: confirm reporting format]</w:t>
            </w:r>
          </w:p>
        </w:tc>
      </w:tr>
      <w:tr>
        <w:tc>
          <w:tcPr>
            <w:tcW w:type="dxa" w:w="3008"/>
          </w:tcPr>
          <w:p>
            <w:pPr>
              <w:pStyle w:val="TableContents"/>
              <w:spacing w:before="0" w:after="0" w:line="240" w:lineRule="atLeast"/>
            </w:pPr>
            <w:r>
              <w:rPr>
                <w:rFonts w:ascii="Arial" w:hAnsi="Arial" w:cs="Arial" w:eastAsia="Arial"/>
                <w:sz w:val="16"/>
                <w:szCs w:val="16"/>
              </w:rPr>
              <w:t>Escalation for overdue actions</w:t>
            </w:r>
          </w:p>
        </w:tc>
        <w:tc>
          <w:tcPr>
            <w:tcW w:type="dxa" w:w="3008"/>
          </w:tcPr>
          <w:p>
            <w:pPr>
              <w:pStyle w:val="TableContents"/>
              <w:spacing w:before="0" w:after="0" w:line="240" w:lineRule="atLeast"/>
            </w:pPr>
            <w:r>
              <w:rPr>
                <w:rFonts w:ascii="Arial" w:hAnsi="Arial" w:cs="Arial" w:eastAsia="Arial"/>
                <w:sz w:val="16"/>
                <w:szCs w:val="16"/>
              </w:rPr>
              <w:t>Overdue actions escalated to the project director before the next scheduled review</w:t>
            </w:r>
          </w:p>
        </w:tc>
        <w:tc>
          <w:tcPr>
            <w:tcW w:type="dxa" w:w="3010"/>
          </w:tcPr>
          <w:p>
            <w:pPr>
              <w:pStyle w:val="TableContents"/>
              <w:spacing w:before="0" w:after="0" w:line="240" w:lineRule="atLeast"/>
            </w:pPr>
            <w:r>
              <w:rPr>
                <w:rFonts w:ascii="Arial" w:hAnsi="Arial" w:cs="Arial" w:eastAsia="Arial"/>
                <w:b/>
                <w:bCs/>
                <w:color w:val="0059D1"/>
                <w:sz w:val="16"/>
                <w:szCs w:val="16"/>
              </w:rPr>
              <w:t>[INSERT: escalation timeframe and process]</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4: Define how management review actions are tracked in the project action register and how actions from one review are reported as closed at the next review. Insert the register location and process details in Table 4 above before this document is issued.</w:t>
            </w:r>
          </w:p>
        </w:tc>
      </w:tr>
    </w:tbl>
    <w:p>
      <w:pPr>
        <w:pStyle w:val="NormalNumberedtext"/>
      </w:pPr>
    </w:p>
    <w:p>
      <w:pPr>
        <w:pStyle w:val="NormalNumberedtext"/>
      </w:pPr>
      <w:r>
        <w:t>The project director provides formal sign-off on the management review minutes confirming the review was conducted, all mandatory inputs were considered, and the outputs were endorsed. Signed minutes are retained in the project document management system as a quality and compliance record.</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Security Committee - the governance body responsible for overseeing HSESC management system performance across the project.</w:t>
            </w:r>
          </w:p>
        </w:tc>
      </w:tr>
      <w:tr>
        <w:tc>
          <w:tcPr>
            <w:tcW w:type="dxa" w:w="4888"/>
          </w:tcPr>
          <w:p>
            <w:pPr>
              <w:pStyle w:val="TableContents"/>
              <w:spacing w:before="0" w:after="0" w:line="240" w:lineRule="atLeast"/>
            </w:pPr>
            <w:r>
              <w:rPr>
                <w:rFonts w:ascii="Arial" w:hAnsi="Arial" w:cs="Arial" w:eastAsia="Arial"/>
                <w:sz w:val="16"/>
                <w:szCs w:val="16"/>
              </w:rPr>
              <w:t>HSESCLT</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Leadership Team - the senior leadership group responsible for providing governance and strategic direction over the HSESC management system, including formal management review.</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instruction that specifies the method by which an activity or process within the HSESC management system is to be carried out.</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Rio Tinto owner-led project delivery entity accountable for executing capital projects in accordance with Rio Tinto standards, requirements and management systems.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combined discipline area addressing occupational health, safety and environmental protection obligations within the project management system.</w:t>
            </w:r>
          </w:p>
        </w:tc>
      </w:tr>
      <w:tr>
        <w:tc>
          <w:tcPr>
            <w:tcW w:type="dxa" w:w="4888"/>
          </w:tcPr>
          <w:p>
            <w:pPr>
              <w:pStyle w:val="TableContents"/>
              <w:spacing w:before="0" w:after="0" w:line="240" w:lineRule="atLeast"/>
            </w:pPr>
            <w:r>
              <w:rPr>
                <w:rFonts w:ascii="Arial" w:hAnsi="Arial" w:cs="Arial" w:eastAsia="Arial"/>
                <w:sz w:val="16"/>
                <w:szCs w:val="16"/>
              </w:rPr>
              <w:t>MS</w:t>
            </w:r>
          </w:p>
        </w:tc>
        <w:tc>
          <w:tcPr>
            <w:tcW w:type="dxa" w:w="4889"/>
          </w:tcPr>
          <w:p>
            <w:pPr>
              <w:pStyle w:val="TableContents"/>
              <w:spacing w:before="0" w:after="0" w:line="240" w:lineRule="atLeast"/>
            </w:pPr>
            <w:r>
              <w:rPr>
                <w:rFonts w:ascii="Arial" w:hAnsi="Arial" w:cs="Arial" w:eastAsia="Arial"/>
                <w:sz w:val="16"/>
                <w:szCs w:val="16"/>
              </w:rPr>
              <w:t>Management System - the integrated set of policies, standards, procedures, plans and controls used to direct and control an organisation's activities in relation to HSESC performance.</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quantifiable measure used to evaluate the success or progress of the HSESC management system against defined objectives and targets.</w:t>
            </w:r>
          </w:p>
        </w:tc>
      </w:tr>
      <w:tr>
        <w:tc>
          <w:tcPr>
            <w:tcW w:type="dxa" w:w="4888"/>
          </w:tcPr>
          <w:p>
            <w:pPr>
              <w:pStyle w:val="TableContents"/>
              <w:spacing w:before="0" w:after="0" w:line="240" w:lineRule="atLeast"/>
            </w:pPr>
            <w:r>
              <w:rPr>
                <w:rFonts w:ascii="Arial" w:hAnsi="Arial" w:cs="Arial" w:eastAsia="Arial"/>
                <w:sz w:val="16"/>
                <w:szCs w:val="16"/>
              </w:rPr>
              <w:t>OFI</w:t>
            </w:r>
          </w:p>
        </w:tc>
        <w:tc>
          <w:tcPr>
            <w:tcW w:type="dxa" w:w="4889"/>
          </w:tcPr>
          <w:p>
            <w:pPr>
              <w:pStyle w:val="TableContents"/>
              <w:spacing w:before="0" w:after="0" w:line="240" w:lineRule="atLeast"/>
            </w:pPr>
            <w:r>
              <w:rPr>
                <w:rFonts w:ascii="Arial" w:hAnsi="Arial" w:cs="Arial" w:eastAsia="Arial"/>
                <w:sz w:val="16"/>
                <w:szCs w:val="16"/>
              </w:rPr>
              <w:t>Opportunity for Improvement - an identified area within the HSESC management system where a change or enhancement could result in improved performance, without necessarily being a nonconformance.</w:t>
            </w:r>
          </w:p>
        </w:tc>
      </w:tr>
      <w:tr>
        <w:tc>
          <w:tcPr>
            <w:tcW w:type="dxa" w:w="4888"/>
          </w:tcPr>
          <w:p>
            <w:pPr>
              <w:pStyle w:val="TableContents"/>
              <w:spacing w:before="0" w:after="0" w:line="240" w:lineRule="atLeast"/>
            </w:pPr>
            <w:r>
              <w:rPr>
                <w:rFonts w:ascii="Arial" w:hAnsi="Arial" w:cs="Arial" w:eastAsia="Arial"/>
                <w:sz w:val="16"/>
                <w:szCs w:val="16"/>
              </w:rPr>
              <w:t>CAR</w:t>
            </w:r>
          </w:p>
        </w:tc>
        <w:tc>
          <w:tcPr>
            <w:tcW w:type="dxa" w:w="4889"/>
          </w:tcPr>
          <w:p>
            <w:pPr>
              <w:pStyle w:val="TableContents"/>
              <w:spacing w:before="0" w:after="0" w:line="240" w:lineRule="atLeast"/>
            </w:pPr>
            <w:r>
              <w:rPr>
                <w:rFonts w:ascii="Arial" w:hAnsi="Arial" w:cs="Arial" w:eastAsia="Arial"/>
                <w:sz w:val="16"/>
                <w:szCs w:val="16"/>
              </w:rPr>
              <w:t>Corrective Action Request - a formal documented requirement to address a confirmed nonconformance, audit finding or incident causal factor within the HSESC management system.</w:t>
            </w:r>
          </w:p>
        </w:tc>
      </w:tr>
      <w:tr>
        <w:tc>
          <w:tcPr>
            <w:tcW w:type="dxa" w:w="4888"/>
          </w:tcPr>
          <w:p>
            <w:pPr>
              <w:pStyle w:val="TableContents"/>
              <w:spacing w:before="0" w:after="0" w:line="240" w:lineRule="atLeast"/>
            </w:pPr>
            <w:r>
              <w:rPr>
                <w:rFonts w:ascii="Arial" w:hAnsi="Arial" w:cs="Arial" w:eastAsia="Arial"/>
                <w:sz w:val="16"/>
                <w:szCs w:val="16"/>
              </w:rPr>
              <w:t>NCR</w:t>
            </w:r>
          </w:p>
        </w:tc>
        <w:tc>
          <w:tcPr>
            <w:tcW w:type="dxa" w:w="4889"/>
          </w:tcPr>
          <w:p>
            <w:pPr>
              <w:pStyle w:val="TableContents"/>
              <w:spacing w:before="0" w:after="0" w:line="240" w:lineRule="atLeast"/>
            </w:pPr>
            <w:r>
              <w:rPr>
                <w:rFonts w:ascii="Arial" w:hAnsi="Arial" w:cs="Arial" w:eastAsia="Arial"/>
                <w:sz w:val="16"/>
                <w:szCs w:val="16"/>
              </w:rPr>
              <w:t>Nonconformance Report - a formal record documenting a failure to comply with a specified HSESC management system requirement, standard or procedure.</w:t>
            </w:r>
          </w:p>
        </w:tc>
      </w:tr>
      <w:tr>
        <w:tc>
          <w:tcPr>
            <w:tcW w:type="dxa" w:w="4888"/>
          </w:tcPr>
          <w:p>
            <w:pPr>
              <w:pStyle w:val="TableContents"/>
              <w:spacing w:before="0" w:after="0" w:line="240" w:lineRule="atLeast"/>
            </w:pPr>
            <w:r>
              <w:rPr>
                <w:rFonts w:ascii="Arial" w:hAnsi="Arial" w:cs="Arial" w:eastAsia="Arial"/>
                <w:sz w:val="16"/>
                <w:szCs w:val="16"/>
              </w:rPr>
              <w:t>PDCA</w:t>
            </w:r>
          </w:p>
        </w:tc>
        <w:tc>
          <w:tcPr>
            <w:tcW w:type="dxa" w:w="4889"/>
          </w:tcPr>
          <w:p>
            <w:pPr>
              <w:pStyle w:val="TableContents"/>
              <w:spacing w:before="0" w:after="0" w:line="240" w:lineRule="atLeast"/>
            </w:pPr>
            <w:r>
              <w:rPr>
                <w:rFonts w:ascii="Arial" w:hAnsi="Arial" w:cs="Arial" w:eastAsia="Arial"/>
                <w:sz w:val="16"/>
                <w:szCs w:val="16"/>
              </w:rPr>
              <w:t>Plan-Do-Check-Act - a cyclical continual improvement framework underpinning the structure and operation of the HSESC management system, consistent with ISO 45001 and ISO 14001 requirements.</w:t>
            </w:r>
          </w:p>
        </w:tc>
      </w:tr>
      <w:tr>
        <w:tc>
          <w:tcPr>
            <w:tcW w:type="dxa" w:w="4888"/>
          </w:tcPr>
          <w:p>
            <w:pPr>
              <w:pStyle w:val="TableContents"/>
              <w:spacing w:before="0" w:after="0" w:line="240" w:lineRule="atLeast"/>
            </w:pPr>
            <w:r>
              <w:rPr>
                <w:rFonts w:ascii="Arial" w:hAnsi="Arial" w:cs="Arial" w:eastAsia="Arial"/>
                <w:sz w:val="16"/>
                <w:szCs w:val="16"/>
              </w:rPr>
              <w:t>ISO</w:t>
            </w:r>
          </w:p>
        </w:tc>
        <w:tc>
          <w:tcPr>
            <w:tcW w:type="dxa" w:w="4889"/>
          </w:tcPr>
          <w:p>
            <w:pPr>
              <w:pStyle w:val="TableContents"/>
              <w:spacing w:before="0" w:after="0" w:line="240" w:lineRule="atLeast"/>
            </w:pPr>
            <w:r>
              <w:rPr>
                <w:rFonts w:ascii="Arial" w:hAnsi="Arial" w:cs="Arial" w:eastAsia="Arial"/>
                <w:sz w:val="16"/>
                <w:szCs w:val="16"/>
              </w:rPr>
              <w:t>International Organization for Standardization - the international body that publishes standards including ISO 45001 (Occupational Health and Safety Management Systems) and ISO 14001 (Environmental Management Systems), which inform the Rio Tinto HSESC management system framework.</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company whose standards, requirements and risk management framework govern the HSESC management system applied across all owner-led projects.</w:t>
            </w:r>
          </w:p>
        </w:tc>
      </w:tr>
      <w:tr>
        <w:tc>
          <w:tcPr>
            <w:tcW w:type="dxa" w:w="4888"/>
          </w:tcPr>
          <w:p>
            <w:pPr>
              <w:pStyle w:val="TableContents"/>
              <w:spacing w:before="0" w:after="0" w:line="240" w:lineRule="atLeast"/>
            </w:pPr>
            <w:r>
              <w:rPr>
                <w:rFonts w:ascii="Arial" w:hAnsi="Arial" w:cs="Arial" w:eastAsia="Arial"/>
                <w:sz w:val="16"/>
                <w:szCs w:val="16"/>
              </w:rPr>
              <w:t>CAPA</w:t>
            </w:r>
          </w:p>
        </w:tc>
        <w:tc>
          <w:tcPr>
            <w:tcW w:type="dxa" w:w="4889"/>
          </w:tcPr>
          <w:p>
            <w:pPr>
              <w:pStyle w:val="TableContents"/>
              <w:spacing w:before="0" w:after="0" w:line="240" w:lineRule="atLeast"/>
            </w:pPr>
            <w:r>
              <w:rPr>
                <w:rFonts w:ascii="Arial" w:hAnsi="Arial" w:cs="Arial" w:eastAsia="Arial"/>
                <w:sz w:val="16"/>
                <w:szCs w:val="16"/>
              </w:rPr>
              <w:t>Corrective and Preventive Action - a structured response to identified nonconformances, incidents or audit findings that addresses root causes and prevents recurrence within the HSESC management system.</w:t>
            </w:r>
          </w:p>
        </w:tc>
      </w:tr>
      <w:tr>
        <w:tc>
          <w:tcPr>
            <w:tcW w:type="dxa" w:w="4888"/>
          </w:tcPr>
          <w:p>
            <w:pPr>
              <w:pStyle w:val="TableContents"/>
              <w:spacing w:before="0" w:after="0" w:line="240" w:lineRule="atLeast"/>
            </w:pPr>
            <w:r>
              <w:rPr>
                <w:rFonts w:ascii="Arial" w:hAnsi="Arial" w:cs="Arial" w:eastAsia="Arial"/>
                <w:sz w:val="16"/>
                <w:szCs w:val="16"/>
              </w:rPr>
              <w:t>SLT</w:t>
            </w:r>
          </w:p>
        </w:tc>
        <w:tc>
          <w:tcPr>
            <w:tcW w:type="dxa" w:w="4889"/>
          </w:tcPr>
          <w:p>
            <w:pPr>
              <w:pStyle w:val="TableContents"/>
              <w:spacing w:before="0" w:after="0" w:line="240" w:lineRule="atLeast"/>
            </w:pPr>
            <w:r>
              <w:rPr>
                <w:rFonts w:ascii="Arial" w:hAnsi="Arial" w:cs="Arial" w:eastAsia="Arial"/>
                <w:sz w:val="16"/>
                <w:szCs w:val="16"/>
              </w:rPr>
              <w:t>Senior Leadership Team - the senior project management personnel who participate in formal management review meetings and hold accountability for HSESC system performance and resource allocation.</w:t>
            </w:r>
          </w:p>
        </w:tc>
      </w:tr>
      <w:tr>
        <w:tc>
          <w:tcPr>
            <w:tcW w:type="dxa" w:w="4888"/>
          </w:tcPr>
          <w:p>
            <w:pPr>
              <w:pStyle w:val="TableContents"/>
              <w:spacing w:before="0" w:after="0" w:line="240" w:lineRule="atLeast"/>
            </w:pPr>
            <w:r>
              <w:rPr>
                <w:rFonts w:ascii="Arial" w:hAnsi="Arial" w:cs="Arial" w:eastAsia="Arial"/>
                <w:sz w:val="16"/>
                <w:szCs w:val="16"/>
              </w:rPr>
              <w:t>MRM</w:t>
            </w:r>
          </w:p>
        </w:tc>
        <w:tc>
          <w:tcPr>
            <w:tcW w:type="dxa" w:w="4889"/>
          </w:tcPr>
          <w:p>
            <w:pPr>
              <w:pStyle w:val="TableContents"/>
              <w:spacing w:before="0" w:after="0" w:line="240" w:lineRule="atLeast"/>
            </w:pPr>
            <w:r>
              <w:rPr>
                <w:rFonts w:ascii="Arial" w:hAnsi="Arial" w:cs="Arial" w:eastAsia="Arial"/>
                <w:sz w:val="16"/>
                <w:szCs w:val="16"/>
              </w:rPr>
              <w:t>Management Review Meeting - a formal, scheduled meeting at which the HSESCLT reviews the performance, suitability, adequacy and effectiveness of the HSESC management system and approves actions for continual improvement.</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Improvement Planning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Monitoring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Auditing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Organisational Resources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Rio Tinto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ISO 45001 - Occupational Health and Safety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14001 - Environmental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9001 - Quality Management Systems - Requirements</w:t>
            </w:r>
          </w:p>
        </w:tc>
        <w:tc>
          <w:tcPr>
            <w:tcW w:type="dxa" w:w="3259"/>
          </w:tcPr>
          <w:p>
            <w:pPr>
              <w:pStyle w:val="TableContents"/>
              <w:spacing w:before="0" w:after="0" w:line="240" w:lineRule="atLeast"/>
            </w:pPr>
            <w:r>
              <w:rPr>
                <w:rFonts w:ascii="Arial" w:hAnsi="Arial" w:cs="Arial" w:eastAsia="Arial"/>
                <w:sz w:val="16"/>
                <w:szCs w:val="16"/>
              </w:rPr>
              <w:t>ISO 9001:2015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§41.2</w:t>
            </w:r>
          </w:p>
        </w:tc>
        <w:tc>
          <w:tcPr>
            <w:tcW w:type="dxa" w:w="2256"/>
          </w:tcPr>
          <w:p>
            <w:pPr>
              <w:pStyle w:val="TableContents"/>
              <w:spacing w:before="0" w:after="0" w:line="240" w:lineRule="atLeast"/>
            </w:pPr>
            <w:r>
              <w:rPr>
                <w:rFonts w:ascii="Arial" w:hAnsi="Arial" w:cs="Arial" w:eastAsia="Arial"/>
                <w:sz w:val="16"/>
                <w:szCs w:val="16"/>
              </w:rPr>
              <w:t>Requires management reviews aligned to defined project phases with specified mandatory participants and inputs including performance metrics, audit findings, incident trends, and CRM performance.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§40</w:t>
            </w:r>
          </w:p>
        </w:tc>
        <w:tc>
          <w:tcPr>
            <w:tcW w:type="dxa" w:w="2256"/>
          </w:tcPr>
          <w:p>
            <w:pPr>
              <w:pStyle w:val="TableContents"/>
              <w:spacing w:before="0" w:after="0" w:line="240" w:lineRule="atLeast"/>
            </w:pPr>
            <w:r>
              <w:rPr>
                <w:rFonts w:ascii="Arial" w:hAnsi="Arial" w:cs="Arial" w:eastAsia="Arial"/>
                <w:sz w:val="16"/>
                <w:szCs w:val="16"/>
              </w:rPr>
              <w:t>Requires mandatory inputs to management review covering audit and inspection findings, performance data, and status of previous actions.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Safe, Healthy and Respectful Workplaces Protocol, Indicator SH1</w:t>
            </w:r>
          </w:p>
        </w:tc>
        <w:tc>
          <w:tcPr>
            <w:tcW w:type="dxa" w:w="2256"/>
          </w:tcPr>
          <w:p>
            <w:pPr>
              <w:pStyle w:val="TableContents"/>
              <w:spacing w:before="0" w:after="0" w:line="240" w:lineRule="atLeast"/>
            </w:pPr>
            <w:r>
              <w:rPr>
                <w:rFonts w:ascii="Arial" w:hAnsi="Arial" w:cs="Arial" w:eastAsia="Arial"/>
                <w:sz w:val="16"/>
                <w:szCs w:val="16"/>
              </w:rPr>
              <w:t>Requires senior management to set safety and health targets through the management review process and review performance against them at each review cycle.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Principle 5, Performance Expectation 5.1</w:t>
            </w:r>
          </w:p>
        </w:tc>
        <w:tc>
          <w:tcPr>
            <w:tcW w:type="dxa" w:w="2256"/>
          </w:tcPr>
          <w:p>
            <w:pPr>
              <w:pStyle w:val="TableContents"/>
              <w:spacing w:before="0" w:after="0" w:line="240" w:lineRule="atLeast"/>
            </w:pPr>
            <w:r>
              <w:rPr>
                <w:rFonts w:ascii="Arial" w:hAnsi="Arial" w:cs="Arial" w:eastAsia="Arial"/>
                <w:sz w:val="16"/>
                <w:szCs w:val="16"/>
              </w:rPr>
              <w:t>Requires explicit review at each management review of performance against goals for elimination of fatalities, serious injuries, and psychosocial hazards.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§22</w:t>
            </w:r>
          </w:p>
        </w:tc>
        <w:tc>
          <w:tcPr>
            <w:tcW w:type="dxa" w:w="2256"/>
          </w:tcPr>
          <w:p>
            <w:pPr>
              <w:pStyle w:val="TableContents"/>
              <w:spacing w:before="0" w:after="0" w:line="240" w:lineRule="atLeast"/>
            </w:pPr>
            <w:r>
              <w:rPr>
                <w:rFonts w:ascii="Arial" w:hAnsi="Arial" w:cs="Arial" w:eastAsia="Arial"/>
                <w:sz w:val="16"/>
                <w:szCs w:val="16"/>
              </w:rPr>
              <w:t>Requires monitoring data and stakeholder feedback to be incorporated into management review inputs so the review reflects real-world project performance.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§11</w:t>
            </w:r>
          </w:p>
        </w:tc>
        <w:tc>
          <w:tcPr>
            <w:tcW w:type="dxa" w:w="2256"/>
          </w:tcPr>
          <w:p>
            <w:pPr>
              <w:pStyle w:val="TableContents"/>
              <w:spacing w:before="0" w:after="0" w:line="240" w:lineRule="atLeast"/>
            </w:pPr>
            <w:r>
              <w:rPr>
                <w:rFonts w:ascii="Arial" w:hAnsi="Arial" w:cs="Arial" w:eastAsia="Arial"/>
                <w:sz w:val="16"/>
                <w:szCs w:val="16"/>
              </w:rPr>
              <w:t>Requires management review outputs to drive systemic improvement in the management system and to update risk assessments, management plans, and monitoring programmes.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RP 2016 - Program Evaluation and Improvement</w:t>
            </w:r>
          </w:p>
        </w:tc>
        <w:tc>
          <w:tcPr>
            <w:tcW w:type="dxa" w:w="2256"/>
          </w:tcPr>
          <w:p>
            <w:pPr>
              <w:pStyle w:val="TableContents"/>
              <w:spacing w:before="0" w:after="0" w:line="240" w:lineRule="atLeast"/>
            </w:pPr>
            <w:r>
              <w:rPr>
                <w:rFonts w:ascii="Arial" w:hAnsi="Arial" w:cs="Arial" w:eastAsia="Arial"/>
                <w:sz w:val="16"/>
                <w:szCs w:val="16"/>
              </w:rPr>
              <w:t>Requires evaluation of the overall effectiveness of the safety and health programme during management review, with programme-level improvement targets set for the next review period.</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