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Vehicles and Driving</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Vehicles and Driving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applies to all light vehicles, mass transport vehicles, heavy mobile equipment (HME), special-purpose vehicles, ancillary mobile equipment, and powered mobile equipment operated on the owner-led project. All project vehicle operators — RT staff and contractors — must comply. Mass transport vehicles are those designed to transport nine or more persons including the driver.</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vehicles and driving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Vehicle Minimum Specifications</w:t>
      </w:r>
    </w:p>
    <w:p>
      <w:pPr>
        <w:pStyle w:val="NormalNumberedtext"/>
      </w:pPr>
      <w:r>
        <w:t>This section defines the minimum specification requirements that apply to all vehicles and plant operating on the project, covering occupant protection, safety systems, and pre-use verification.</w:t>
      </w:r>
    </w:p>
    <w:p>
      <w:pPr>
        <w:pStyle w:val="Heading2Numbered"/>
      </w:pPr>
      <w:r>
        <w:t>3.1  Minimum Safety Equipment and Features</w:t>
      </w:r>
    </w:p>
    <w:p>
      <w:pPr>
        <w:pStyle w:val="NormalNumberedtext"/>
      </w:pPr>
      <w:r>
        <w:t>All vehicles operating on the project must meet the following minimum specifications before first use and must maintain compliance throughout service.</w:t>
      </w:r>
    </w:p>
    <w:p>
      <w:pPr>
        <w:pStyle w:val="NormalNumberedtext"/>
      </w:pPr>
      <w:r>
        <w:t>The Project Manager ensures all vehicles and plant operating on the project are assessed against the minimum specification requirements defined in this section before being placed into service. No vehicle may commence operations until all applicable requirements are verified as met and functioning correctly.</w:t>
      </w:r>
    </w:p>
    <w:p>
      <w:pPr>
        <w:pStyle w:val="NormalNumberedtext"/>
      </w:pPr>
      <w:r>
        <w:t>All vehicles operating on this project must be equipped with the following minimum features:</w:t>
      </w:r>
    </w:p>
    <w:p>
      <w:pPr>
        <w:pStyle w:val="NumberedBulletL1"/>
      </w:pPr>
      <w:r>
        <w:t>Fixed seats and seatbelts for all occupants — three-point lap-sash seatbelts with pre-tensioner are required in all project vehicles; lap-only or sash-only seatbelts are not permitted</w:t>
      </w:r>
    </w:p>
    <w:p>
      <w:pPr>
        <w:pStyle w:val="NumberedBulletL1"/>
      </w:pPr>
      <w:r>
        <w:t>Speedometer visible to the driver</w:t>
      </w:r>
    </w:p>
    <w:p>
      <w:pPr>
        <w:pStyle w:val="NumberedBulletL1"/>
      </w:pPr>
      <w:r>
        <w:t>Vehicle markings visible from all directions</w:t>
      </w:r>
    </w:p>
    <w:p>
      <w:pPr>
        <w:pStyle w:val="NumberedBulletL1"/>
      </w:pPr>
      <w:r>
        <w:t>Pedestrian and object warning systems</w:t>
      </w:r>
    </w:p>
    <w:p>
      <w:pPr>
        <w:pStyle w:val="NumberedBulletL1"/>
      </w:pPr>
      <w:r>
        <w:t>Reverse alarm</w:t>
      </w:r>
    </w:p>
    <w:p>
      <w:pPr>
        <w:pStyle w:val="NumberedBulletL1"/>
      </w:pPr>
      <w:r>
        <w:t>Site-compatible two-way communications</w:t>
      </w:r>
    </w:p>
    <w:p>
      <w:pPr>
        <w:pStyle w:val="NumberedBulletL1"/>
      </w:pPr>
      <w:r>
        <w:t>Park brake</w:t>
      </w:r>
    </w:p>
    <w:p>
      <w:pPr>
        <w:pStyle w:val="NumberedBulletL1"/>
      </w:pPr>
      <w:r>
        <w:t>Horn</w:t>
      </w:r>
    </w:p>
    <w:p>
      <w:pPr>
        <w:pStyle w:val="NumberedBulletL1"/>
      </w:pPr>
      <w:r>
        <w:rPr>
          <w:color w:val="C55A11"/>
        </w:rPr>
        <w:t>Fire suppression system or portable fire extinguisher — the requirement for fixed suppression versus portable extinguisher is determined by the vehicle risk assessment, with fixed suppression required on enclosed-cab heavy plant</w:t>
      </w:r>
    </w:p>
    <w:p>
      <w:pPr>
        <w:pStyle w:val="NumberedBulletL1"/>
      </w:pPr>
      <w:r>
        <w:t>Identified and labelled lockable isolation point</w:t>
      </w:r>
    </w:p>
    <w:p>
      <w:pPr>
        <w:pStyle w:val="NormalNumberedtext"/>
      </w:pPr>
      <w:r>
        <w:t>Mobile phones and portable electronic devices may only be used by the driver when the vehicle is stationary and parked in a safe location. Hands-free devices are not exempt from this requirement and must not be used while the vehicle is in motion.</w:t>
      </w:r>
    </w:p>
    <w:p>
      <w:pPr>
        <w:pStyle w:val="NormalNumberedtext"/>
      </w:pPr>
      <w:r>
        <w:t>A risk assessment must be completed before loading or unloading any load from a vehicle. The risk assessment must confirm the load will not shift, roll, tip over, fall, or move once unsecured, and will not inadvertently release hazardous substances during loading, transport, or unloading. Refer RTPR-HSE-PRO-0002 for risk assessment requirements. For load securing at height, refer RTPR-HSE-PRO-0008 for applicable height controls.</w:t>
      </w:r>
    </w:p>
    <w:p>
      <w:pPr>
        <w:pStyle w:val="Heading2Numbered"/>
      </w:pPr>
      <w:r>
        <w:t>3.2  New Vehicle Purchases and Legacy Fleet</w:t>
      </w:r>
    </w:p>
    <w:p>
      <w:pPr>
        <w:pStyle w:val="NormalNumberedtext"/>
      </w:pPr>
      <w:r>
        <w:t>Minimum standards for new vehicle purchases and requirements for legacy fleet assessment are defined in this section.</w:t>
      </w:r>
    </w:p>
    <w:p>
      <w:pPr>
        <w:pStyle w:val="NormalNumberedtext"/>
      </w:pPr>
      <w:r>
        <w:t>All new light vehicle purchases for this project must hold a minimum 5-star ANCAP or equivalent NCAP rating at the time of purchase. Vehicles that do not hold a 5-star rating are not approved for purchase unless a documented exception is approved by the Project Manager and HSESC Manager.</w:t>
      </w:r>
    </w:p>
    <w:p>
      <w:pPr>
        <w:pStyle w:val="NormalNumberedtext"/>
      </w:pPr>
      <w:r>
        <w:t>Legacy light vehicles that were in service before this requirement applied must be assessed against the minimum specification requirements in Section 3.1. The Project Manager ensures the fleet inventory in Table 1 records the assessment outcome for each legacy vehicle and identifies any upgrade or replacement actions required.</w:t>
      </w:r>
    </w:p>
    <w:tbl>
      <w:tblPr>
        <w:tblStyle w:val="TableOption1"/>
        <w:tblW w:type="pct" w:w="5000"/>
      </w:tblPr>
      <w:tr>
        <w:tc>
          <w:tcPr>
            <w:shd w:val="clear" w:color="auto" w:fill="FFF2CC"/>
          </w:tcPr>
          <w:p>
            <w:pPr>
              <w:pStyle w:val="Instructions"/>
            </w:pPr>
            <w:r>
              <w:rPr>
                <w:b/>
                <w:bCs/>
                <w:color w:val="C55A11"/>
              </w:rPr>
              <w:t>PROJECT COMPLETION — FLEET INVENTORY: Complete Table 1 with all vehicle and equipment types operating on this project. For each vehicle type, confirm whether it meets minimum specifications. For legacy equipment, record any upgrade or replacement actions required and the target completion date.</w:t>
            </w:r>
          </w:p>
        </w:tc>
      </w:tr>
    </w:tbl>
    <w:p>
      <w:pPr>
        <w:pStyle w:val="Default"/>
      </w:pPr>
    </w:p>
    <w:p>
      <w:pPr>
        <w:pStyle w:val="NormalNumberedtext"/>
      </w:pPr>
      <w:r>
        <w:t>Table 1: Project Vehicle Fleet Inventory and Minimum Specification Status</w:t>
      </w:r>
    </w:p>
    <w:tbl>
      <w:tblPr>
        <w:tblStyle w:val="TableOption2"/>
        <w:tblW w:type="pct" w:w="5000"/>
      </w:tblPr>
      <w:tr>
        <w:trPr>
          <w:tblHeader/>
        </w:trPr>
        <w:tc>
          <w:tcPr>
            <w:shd w:val="clear" w:color="auto" w:fill="1F3864"/>
          </w:tcPr>
          <w:p>
            <w:pPr>
              <w:pStyle w:val="TableContents"/>
            </w:pPr>
            <w:r>
              <w:rPr>
                <w:b/>
                <w:bCs/>
                <w:color w:val="FFFFFF"/>
              </w:rPr>
              <w:t>Vehicle / Equipment Type</w:t>
            </w:r>
          </w:p>
        </w:tc>
        <w:tc>
          <w:tcPr>
            <w:shd w:val="clear" w:color="auto" w:fill="1F3864"/>
          </w:tcPr>
          <w:p>
            <w:pPr>
              <w:pStyle w:val="TableContents"/>
            </w:pPr>
            <w:r>
              <w:rPr>
                <w:b/>
                <w:bCs/>
                <w:color w:val="FFFFFF"/>
              </w:rPr>
              <w:t>Fleet Quantity</w:t>
            </w:r>
          </w:p>
        </w:tc>
        <w:tc>
          <w:tcPr>
            <w:shd w:val="clear" w:color="auto" w:fill="1F3864"/>
          </w:tcPr>
          <w:p>
            <w:pPr>
              <w:pStyle w:val="TableContents"/>
            </w:pPr>
            <w:r>
              <w:rPr>
                <w:b/>
                <w:bCs/>
                <w:color w:val="FFFFFF"/>
              </w:rPr>
              <w:t>NCAP Rating (if applicable)</w:t>
            </w:r>
          </w:p>
        </w:tc>
        <w:tc>
          <w:tcPr>
            <w:shd w:val="clear" w:color="auto" w:fill="1F3864"/>
          </w:tcPr>
          <w:p>
            <w:pPr>
              <w:pStyle w:val="TableContents"/>
            </w:pPr>
            <w:r>
              <w:rPr>
                <w:b/>
                <w:bCs/>
                <w:color w:val="FFFFFF"/>
              </w:rPr>
              <w:t>Meets Minimum Specification</w:t>
            </w:r>
          </w:p>
        </w:tc>
        <w:tc>
          <w:tcPr>
            <w:shd w:val="clear" w:color="auto" w:fill="1F3864"/>
          </w:tcPr>
          <w:p>
            <w:pPr>
              <w:pStyle w:val="TableContents"/>
            </w:pPr>
            <w:r>
              <w:rPr>
                <w:b/>
                <w:bCs/>
                <w:color w:val="FFFFFF"/>
              </w:rPr>
              <w:t>Legacy Assessment Required</w:t>
            </w:r>
          </w:p>
        </w:tc>
        <w:tc>
          <w:tcPr>
            <w:shd w:val="clear" w:color="auto" w:fill="1F3864"/>
          </w:tcPr>
          <w:p>
            <w:pPr>
              <w:pStyle w:val="TableContents"/>
            </w:pPr>
            <w:r>
              <w:rPr>
                <w:b/>
                <w:bCs/>
                <w:color w:val="FFFFFF"/>
              </w:rPr>
              <w:t>Upgrade / Action Required</w:t>
            </w:r>
          </w:p>
        </w:tc>
        <w:tc>
          <w:tcPr>
            <w:shd w:val="clear" w:color="auto" w:fill="1F3864"/>
          </w:tcPr>
          <w:p>
            <w:pPr>
              <w:pStyle w:val="TableContents"/>
            </w:pPr>
            <w:r>
              <w:rPr>
                <w:b/>
                <w:bCs/>
                <w:color w:val="FFFFFF"/>
              </w:rPr>
              <w:t>Action Due Date</w:t>
            </w:r>
          </w:p>
        </w:tc>
        <w:tc>
          <w:tcPr>
            <w:shd w:val="clear" w:color="auto" w:fill="1F3864"/>
          </w:tcPr>
          <w:p>
            <w:pPr>
              <w:pStyle w:val="TableContents"/>
            </w:pPr>
            <w:r>
              <w:rPr>
                <w:b/>
                <w:bCs/>
                <w:color w:val="FFFFFF"/>
              </w:rPr>
              <w:t>Approved for Service</w:t>
            </w:r>
          </w:p>
        </w:tc>
      </w:tr>
      <w:tr>
        <w:tc>
          <w:tcPr/>
          <w:p>
            <w:pPr>
              <w:pStyle w:val="TableContents"/>
            </w:pPr>
            <w:r>
              <w:t>Light vehicle (4WD, crew cab)</w:t>
            </w:r>
          </w:p>
        </w:tc>
        <w:tc>
          <w:tcPr/>
          <w:p>
            <w:pPr>
              <w:pStyle w:val="TableContents"/>
            </w:pPr>
            <w:r>
              <w:rPr>
                <w:b/>
                <w:bCs/>
                <w:color w:val="0059D1"/>
              </w:rPr>
              <w:t>[INSERT: quantity]</w:t>
            </w:r>
          </w:p>
        </w:tc>
        <w:tc>
          <w:tcPr/>
          <w:p>
            <w:pPr>
              <w:pStyle w:val="TableContents"/>
            </w:pPr>
            <w:r>
              <w:t>5-star</w:t>
            </w:r>
          </w:p>
        </w:tc>
        <w:tc>
          <w:tcPr/>
          <w:p>
            <w:pPr>
              <w:pStyle w:val="TableContents"/>
            </w:pPr>
            <w:r>
              <w:t>Yes</w:t>
            </w:r>
          </w:p>
        </w:tc>
        <w:tc>
          <w:tcPr/>
          <w:p>
            <w:pPr>
              <w:pStyle w:val="TableContents"/>
            </w:pPr>
            <w:r>
              <w:t>No</w:t>
            </w:r>
          </w:p>
        </w:tc>
        <w:tc>
          <w:tcPr/>
          <w:p>
            <w:pPr>
              <w:pStyle w:val="TableContents"/>
            </w:pPr>
            <w:r>
              <w:t>Nil</w:t>
            </w:r>
          </w:p>
        </w:tc>
        <w:tc>
          <w:tcPr/>
          <w:p>
            <w:pPr>
              <w:pStyle w:val="TableContents"/>
            </w:pPr>
            <w:r>
              <w:t>N/A</w:t>
            </w:r>
          </w:p>
        </w:tc>
        <w:tc>
          <w:tcPr/>
          <w:p>
            <w:pPr>
              <w:pStyle w:val="TableContents"/>
            </w:pPr>
            <w:r>
              <w:t>Yes</w:t>
            </w:r>
          </w:p>
        </w:tc>
      </w:tr>
      <w:tr>
        <w:tc>
          <w:tcPr/>
          <w:p>
            <w:pPr>
              <w:pStyle w:val="TableContents"/>
            </w:pPr>
            <w:r>
              <w:t>Mass transport vehicle (bus / personnel carrier)</w:t>
            </w:r>
          </w:p>
        </w:tc>
        <w:tc>
          <w:tcPr/>
          <w:p>
            <w:pPr>
              <w:pStyle w:val="TableContents"/>
            </w:pPr>
            <w:r>
              <w:rPr>
                <w:b/>
                <w:bCs/>
                <w:color w:val="0059D1"/>
              </w:rPr>
              <w:t>[INSERT: quantity]</w:t>
            </w:r>
          </w:p>
        </w:tc>
        <w:tc>
          <w:tcPr/>
          <w:p>
            <w:pPr>
              <w:pStyle w:val="TableContents"/>
            </w:pPr>
            <w:r>
              <w:rPr>
                <w:b/>
                <w:bCs/>
                <w:color w:val="0059D1"/>
              </w:rPr>
              <w:t>[INSERT: rating]</w:t>
            </w:r>
          </w:p>
        </w:tc>
        <w:tc>
          <w:tcPr/>
          <w:p>
            <w:pPr>
              <w:pStyle w:val="TableContents"/>
            </w:pPr>
            <w:r>
              <w:rPr>
                <w:b/>
                <w:bCs/>
                <w:color w:val="0059D1"/>
              </w:rPr>
              <w:t>[INSERT: Yes / No]</w:t>
            </w:r>
          </w:p>
        </w:tc>
        <w:tc>
          <w:tcPr/>
          <w:p>
            <w:pPr>
              <w:pStyle w:val="TableContents"/>
            </w:pPr>
            <w:r>
              <w:rPr>
                <w:b/>
                <w:bCs/>
                <w:color w:val="0059D1"/>
              </w:rPr>
              <w:t>[INSERT: Yes / No]</w:t>
            </w:r>
          </w:p>
        </w:tc>
        <w:tc>
          <w:tcPr/>
          <w:p>
            <w:pPr>
              <w:pStyle w:val="TableContents"/>
            </w:pPr>
            <w:r>
              <w:rPr>
                <w:b/>
                <w:bCs/>
                <w:color w:val="0059D1"/>
              </w:rPr>
              <w:t>[INSERT: action]</w:t>
            </w:r>
          </w:p>
        </w:tc>
        <w:tc>
          <w:tcPr/>
          <w:p>
            <w:pPr>
              <w:pStyle w:val="TableContents"/>
            </w:pPr>
            <w:r>
              <w:rPr>
                <w:b/>
                <w:bCs/>
                <w:color w:val="0059D1"/>
              </w:rPr>
              <w:t>[INSERT: date]</w:t>
            </w:r>
          </w:p>
        </w:tc>
        <w:tc>
          <w:tcPr/>
          <w:p>
            <w:pPr>
              <w:pStyle w:val="TableContents"/>
            </w:pPr>
            <w:r>
              <w:rPr>
                <w:b/>
                <w:bCs/>
                <w:color w:val="0059D1"/>
              </w:rPr>
              <w:t>[INSERT: Yes / No / Conditional]</w:t>
            </w:r>
          </w:p>
        </w:tc>
      </w:tr>
      <w:tr>
        <w:tc>
          <w:tcPr/>
          <w:p>
            <w:pPr>
              <w:pStyle w:val="TableContents"/>
            </w:pPr>
            <w:r>
              <w:t>Heavy mobile equipment — haul truck</w:t>
            </w:r>
          </w:p>
        </w:tc>
        <w:tc>
          <w:tcPr/>
          <w:p>
            <w:pPr>
              <w:pStyle w:val="TableContents"/>
            </w:pPr>
            <w:r>
              <w:rPr>
                <w:b/>
                <w:bCs/>
                <w:color w:val="0059D1"/>
              </w:rPr>
              <w:t>[INSERT: quantity]</w:t>
            </w:r>
          </w:p>
        </w:tc>
        <w:tc>
          <w:tcPr/>
          <w:p>
            <w:pPr>
              <w:pStyle w:val="TableContents"/>
            </w:pPr>
            <w:r>
              <w:t>N/A</w:t>
            </w:r>
          </w:p>
        </w:tc>
        <w:tc>
          <w:tcPr/>
          <w:p>
            <w:pPr>
              <w:pStyle w:val="TableContents"/>
            </w:pPr>
            <w:r>
              <w:rPr>
                <w:b/>
                <w:bCs/>
                <w:color w:val="0059D1"/>
              </w:rPr>
              <w:t>[INSERT: Yes / No]</w:t>
            </w:r>
          </w:p>
        </w:tc>
        <w:tc>
          <w:tcPr/>
          <w:p>
            <w:pPr>
              <w:pStyle w:val="TableContents"/>
            </w:pPr>
            <w:r>
              <w:rPr>
                <w:b/>
                <w:bCs/>
                <w:color w:val="0059D1"/>
              </w:rPr>
              <w:t>[INSERT: Yes / No]</w:t>
            </w:r>
          </w:p>
        </w:tc>
        <w:tc>
          <w:tcPr/>
          <w:p>
            <w:pPr>
              <w:pStyle w:val="TableContents"/>
            </w:pPr>
            <w:r>
              <w:rPr>
                <w:b/>
                <w:bCs/>
                <w:color w:val="0059D1"/>
              </w:rPr>
              <w:t>[INSERT: action]</w:t>
            </w:r>
          </w:p>
        </w:tc>
        <w:tc>
          <w:tcPr/>
          <w:p>
            <w:pPr>
              <w:pStyle w:val="TableContents"/>
            </w:pPr>
            <w:r>
              <w:rPr>
                <w:b/>
                <w:bCs/>
                <w:color w:val="0059D1"/>
              </w:rPr>
              <w:t>[INSERT: date]</w:t>
            </w:r>
          </w:p>
        </w:tc>
        <w:tc>
          <w:tcPr/>
          <w:p>
            <w:pPr>
              <w:pStyle w:val="TableContents"/>
            </w:pPr>
            <w:r>
              <w:rPr>
                <w:b/>
                <w:bCs/>
                <w:color w:val="0059D1"/>
              </w:rPr>
              <w:t>[INSERT: Yes / No / Conditional]</w:t>
            </w:r>
          </w:p>
        </w:tc>
      </w:tr>
      <w:tr>
        <w:tc>
          <w:tcPr/>
          <w:p>
            <w:pPr>
              <w:pStyle w:val="TableContents"/>
            </w:pPr>
            <w:r>
              <w:t>Heavy mobile equipment — excavator</w:t>
            </w:r>
          </w:p>
        </w:tc>
        <w:tc>
          <w:tcPr/>
          <w:p>
            <w:pPr>
              <w:pStyle w:val="TableContents"/>
            </w:pPr>
            <w:r>
              <w:rPr>
                <w:b/>
                <w:bCs/>
                <w:color w:val="0059D1"/>
              </w:rPr>
              <w:t>[INSERT: quantity]</w:t>
            </w:r>
          </w:p>
        </w:tc>
        <w:tc>
          <w:tcPr/>
          <w:p>
            <w:pPr>
              <w:pStyle w:val="TableContents"/>
            </w:pPr>
            <w:r>
              <w:t>N/A</w:t>
            </w:r>
          </w:p>
        </w:tc>
        <w:tc>
          <w:tcPr/>
          <w:p>
            <w:pPr>
              <w:pStyle w:val="TableContents"/>
            </w:pPr>
            <w:r>
              <w:rPr>
                <w:b/>
                <w:bCs/>
                <w:color w:val="0059D1"/>
              </w:rPr>
              <w:t>[INSERT: Yes / No]</w:t>
            </w:r>
          </w:p>
        </w:tc>
        <w:tc>
          <w:tcPr/>
          <w:p>
            <w:pPr>
              <w:pStyle w:val="TableContents"/>
            </w:pPr>
            <w:r>
              <w:rPr>
                <w:b/>
                <w:bCs/>
                <w:color w:val="0059D1"/>
              </w:rPr>
              <w:t>[INSERT: Yes / No]</w:t>
            </w:r>
          </w:p>
        </w:tc>
        <w:tc>
          <w:tcPr/>
          <w:p>
            <w:pPr>
              <w:pStyle w:val="TableContents"/>
            </w:pPr>
            <w:r>
              <w:rPr>
                <w:b/>
                <w:bCs/>
                <w:color w:val="0059D1"/>
              </w:rPr>
              <w:t>[INSERT: action]</w:t>
            </w:r>
          </w:p>
        </w:tc>
        <w:tc>
          <w:tcPr/>
          <w:p>
            <w:pPr>
              <w:pStyle w:val="TableContents"/>
            </w:pPr>
            <w:r>
              <w:rPr>
                <w:b/>
                <w:bCs/>
                <w:color w:val="0059D1"/>
              </w:rPr>
              <w:t>[INSERT: date]</w:t>
            </w:r>
          </w:p>
        </w:tc>
        <w:tc>
          <w:tcPr/>
          <w:p>
            <w:pPr>
              <w:pStyle w:val="TableContents"/>
            </w:pPr>
            <w:r>
              <w:rPr>
                <w:b/>
                <w:bCs/>
                <w:color w:val="0059D1"/>
              </w:rPr>
              <w:t>[INSERT: Yes / No / Conditional]</w:t>
            </w:r>
          </w:p>
        </w:tc>
      </w:tr>
      <w:tr>
        <w:tc>
          <w:tcPr/>
          <w:p>
            <w:pPr>
              <w:pStyle w:val="TableContents"/>
            </w:pPr>
            <w:r>
              <w:rPr>
                <w:b/>
                <w:bCs/>
                <w:color w:val="0059D1"/>
              </w:rPr>
              <w:t>[INSERT: additional vehicle or equipment type]</w:t>
            </w:r>
          </w:p>
        </w:tc>
        <w:tc>
          <w:tcPr/>
          <w:p>
            <w:pPr>
              <w:pStyle w:val="TableContents"/>
            </w:pPr>
            <w:r>
              <w:rPr>
                <w:b/>
                <w:bCs/>
                <w:color w:val="0059D1"/>
              </w:rPr>
              <w:t>[INSERT: quantity]</w:t>
            </w:r>
          </w:p>
        </w:tc>
        <w:tc>
          <w:tcPr/>
          <w:p>
            <w:pPr>
              <w:pStyle w:val="TableContents"/>
            </w:pPr>
            <w:r>
              <w:rPr>
                <w:b/>
                <w:bCs/>
                <w:color w:val="0059D1"/>
              </w:rPr>
              <w:t>[INSERT: rating or N/A]</w:t>
            </w:r>
          </w:p>
        </w:tc>
        <w:tc>
          <w:tcPr/>
          <w:p>
            <w:pPr>
              <w:pStyle w:val="TableContents"/>
            </w:pPr>
            <w:r>
              <w:rPr>
                <w:b/>
                <w:bCs/>
                <w:color w:val="0059D1"/>
              </w:rPr>
              <w:t>[INSERT: Yes / No]</w:t>
            </w:r>
          </w:p>
        </w:tc>
        <w:tc>
          <w:tcPr/>
          <w:p>
            <w:pPr>
              <w:pStyle w:val="TableContents"/>
            </w:pPr>
            <w:r>
              <w:rPr>
                <w:b/>
                <w:bCs/>
                <w:color w:val="0059D1"/>
              </w:rPr>
              <w:t>[INSERT: Yes / No]</w:t>
            </w:r>
          </w:p>
        </w:tc>
        <w:tc>
          <w:tcPr/>
          <w:p>
            <w:pPr>
              <w:pStyle w:val="TableContents"/>
            </w:pPr>
            <w:r>
              <w:rPr>
                <w:b/>
                <w:bCs/>
                <w:color w:val="0059D1"/>
              </w:rPr>
              <w:t>[INSERT: action]</w:t>
            </w:r>
          </w:p>
        </w:tc>
        <w:tc>
          <w:tcPr/>
          <w:p>
            <w:pPr>
              <w:pStyle w:val="TableContents"/>
            </w:pPr>
            <w:r>
              <w:rPr>
                <w:b/>
                <w:bCs/>
                <w:color w:val="0059D1"/>
              </w:rPr>
              <w:t>[INSERT: date]</w:t>
            </w:r>
          </w:p>
        </w:tc>
        <w:tc>
          <w:tcPr/>
          <w:p>
            <w:pPr>
              <w:pStyle w:val="TableContents"/>
            </w:pPr>
            <w:r>
              <w:rPr>
                <w:b/>
                <w:bCs/>
                <w:color w:val="0059D1"/>
              </w:rPr>
              <w:t>[INSERT: Yes / No / Conditional]</w:t>
            </w:r>
          </w:p>
        </w:tc>
      </w:tr>
    </w:tbl>
    <w:p>
      <w:pPr>
        <w:pStyle w:val="Default"/>
      </w:pPr>
    </w:p>
    <w:p>
      <w:pPr>
        <w:pStyle w:val="Heading2Numbered"/>
      </w:pPr>
      <w:r>
        <w:t>3.3  Mass Transport Vehicle Technology Requirements</w:t>
      </w:r>
    </w:p>
    <w:p>
      <w:pPr>
        <w:pStyle w:val="NormalNumberedtext"/>
      </w:pPr>
      <w:r>
        <w:t>Additional technology requirements apply to all mass transport vehicles operating on the project, above the general minimum specification requirements.</w:t>
      </w:r>
    </w:p>
    <w:p>
      <w:pPr>
        <w:pStyle w:val="NormalNumberedtext"/>
      </w:pPr>
      <w:r>
        <w:t>Mass transport vehicles operating on this project must be equipped with the following technology systems as a minimum. The Project Manager verifies compliance for each mass transport vehicle before it is placed into service and records the outcome in Table 1.</w:t>
      </w:r>
    </w:p>
    <w:p>
      <w:pPr>
        <w:pStyle w:val="NormalNumberedtext"/>
      </w:pPr>
      <w:r>
        <w:t>Mass transport vehicles must be equipped with:</w:t>
      </w:r>
    </w:p>
    <w:p>
      <w:pPr>
        <w:pStyle w:val="NumberedBulletL1"/>
      </w:pPr>
      <w:r>
        <w:t>In-vehicle monitoring system (IVMS) with integrated in-vehicle camera — camera coverage must include the front windscreen view and the driver position</w:t>
      </w:r>
    </w:p>
    <w:p>
      <w:pPr>
        <w:pStyle w:val="NumberedBulletL1"/>
      </w:pPr>
      <w:r>
        <w:t>Fatigue detection technology that provides an immediate alert to the driver upon detection of a fatigue indicator</w:t>
      </w:r>
    </w:p>
    <w:p>
      <w:pPr>
        <w:pStyle w:val="NumberedBulletL1"/>
      </w:pPr>
      <w:r>
        <w:t>Blind spot monitoring system</w:t>
      </w:r>
    </w:p>
    <w:p>
      <w:pPr>
        <w:pStyle w:val="NumberedBulletL1"/>
      </w:pPr>
      <w:r>
        <w:t>Three-point lap-sash seatbelts with warning system at all seating positions</w:t>
      </w:r>
    </w:p>
    <w:p>
      <w:pPr>
        <w:pStyle w:val="NumberedBulletL1"/>
      </w:pPr>
      <w:r>
        <w:t>Electronic Stability Control (ESC) or Anti-lock Braking System (ABS)</w:t>
      </w:r>
    </w:p>
    <w:p>
      <w:pPr>
        <w:pStyle w:val="NumberedBulletL1"/>
      </w:pPr>
      <w:r>
        <w:t>Lane departure warning system</w:t>
      </w:r>
    </w:p>
    <w:p>
      <w:pPr>
        <w:pStyle w:val="NumberedBulletL1"/>
      </w:pPr>
      <w:r>
        <w:t>Engine bay fire detection and suppression system</w:t>
      </w:r>
    </w:p>
    <w:p>
      <w:pPr>
        <w:pStyle w:val="NumberedBulletL1"/>
      </w:pPr>
      <w:r>
        <w:t>Pedestrian alert system</w:t>
      </w:r>
    </w:p>
    <w:p>
      <w:pPr>
        <w:pStyle w:val="NumberedBulletL1"/>
      </w:pPr>
      <w:r>
        <w:t>Adequate and clearly marked emergency exits</w:t>
      </w:r>
    </w:p>
    <w:p>
      <w:pPr>
        <w:pStyle w:val="NormalNumberedtext"/>
      </w:pPr>
      <w:r>
        <w:t>Vehicles purchased after January 2022 for mass transport use must meet all of the above minimum technology standards as a condition of procurement. Vehicles purchased before this date must be assessed against the requirements and upgraded where practicable, with residual gaps documented and risk-managed.</w:t>
      </w:r>
    </w:p>
    <w:p>
      <w:pPr>
        <w:pStyle w:val="Heading2Numbered"/>
      </w:pPr>
      <w:r>
        <w:t>3.4  Pre-First-Use Inspection</w:t>
      </w:r>
    </w:p>
    <w:p>
      <w:pPr>
        <w:pStyle w:val="NormalNumberedtext"/>
      </w:pPr>
      <w:r>
        <w:t>All vehicles and plant must pass a pre-first-use inspection before being placed into service on the project.</w:t>
      </w:r>
    </w:p>
    <w:p>
      <w:pPr>
        <w:pStyle w:val="NormalNumberedtext"/>
      </w:pPr>
      <w:r>
        <w:t>The Project Manager ensures a pre-first-use inspection is completed for every vehicle and item of plant before it commences operations on the project. The inspection verifies that all minimum specification requirements in Section 3.1 through 3.3 are present, functioning correctly, and meet the applicable standard.</w:t>
      </w:r>
    </w:p>
    <w:p>
      <w:pPr>
        <w:pStyle w:val="NormalNumberedtext"/>
      </w:pPr>
      <w:r>
        <w:t>The pre-first-use inspection is completed by a competent person using an equipment-specific checklist. The inspection record is retained in the project document management system and referenced in Table 1. No vehicle may enter service until the inspection has been completed and all items are verified as satisfactory.</w:t>
      </w:r>
    </w:p>
    <w:p>
      <w:pPr>
        <w:pStyle w:val="NormalNumberedtext"/>
      </w:pPr>
      <w:r>
        <w:t>Any defect identified during the pre-first-use inspection that renders the vehicle non-compliant with minimum specifications must be rectified before the vehicle is approved for service. The vehicle must not be placed into service until the defect is closed out and re-inspected.</w:t>
      </w:r>
    </w:p>
    <w:p>
      <w:pPr>
        <w:pStyle w:val="Heading1Numbered"/>
      </w:pPr>
      <w:r>
        <w:t>4  Driver and Operator Authorisation</w:t>
      </w:r>
    </w:p>
    <w:p>
      <w:pPr>
        <w:pStyle w:val="NormalNumberedtext"/>
      </w:pPr>
      <w:r>
        <w:t>This section defines the authorisation requirements for all drivers and plant operators on the project, covering licensing, training, competency assessment, and HME-specific requirements.</w:t>
      </w:r>
    </w:p>
    <w:p>
      <w:pPr>
        <w:pStyle w:val="Heading2Numbered"/>
      </w:pPr>
      <w:r>
        <w:t>4.1  Licensing and Regulatory Compliance</w:t>
      </w:r>
    </w:p>
    <w:p>
      <w:pPr>
        <w:pStyle w:val="NormalNumberedtext"/>
      </w:pPr>
      <w:r>
        <w:t>All drivers and operators must hold current regulatory licences appropriate to the vehicle or equipment they operate before commencing any driving activity.</w:t>
      </w:r>
    </w:p>
    <w:p>
      <w:pPr>
        <w:pStyle w:val="NormalNumberedtext"/>
      </w:pPr>
      <w:r>
        <w:t>The Project Manager ensures all drivers and plant operators hold current regulatory licences, certificates, and permits required by applicable legislation before they operate any vehicle or equipment on the project. Compliance with all regulatory licensing requirements is the minimum baseline; project authorisation requirements apply in addition to and do not replace regulatory requirements.</w:t>
      </w:r>
    </w:p>
    <w:p>
      <w:pPr>
        <w:pStyle w:val="NormalNumberedtext"/>
      </w:pPr>
      <w:r>
        <w:t>Driver and operator competency records are maintained in the project training register. Refer RTPR-HSE-PRO-0004 for the training framework and RTPR-HSE-REG-0003 for the documented competency register.</w:t>
      </w:r>
    </w:p>
    <w:p>
      <w:pPr>
        <w:pStyle w:val="Heading2Numbered"/>
      </w:pPr>
      <w:r>
        <w:t>4.2  Training and Competency Assessment</w:t>
      </w:r>
    </w:p>
    <w:p>
      <w:pPr>
        <w:pStyle w:val="NormalNumberedtext"/>
      </w:pPr>
      <w:r>
        <w:t>All drivers and operators must complete vehicle-specific training and assessment before being authorised to operate independently on the project.</w:t>
      </w:r>
    </w:p>
    <w:p>
      <w:pPr>
        <w:pStyle w:val="NormalNumberedtext"/>
      </w:pPr>
      <w:r>
        <w:t>Training must be delivered by a qualified trainer and must cover vehicle-specific theory and practical components before the driver or operator is assessed. Competency assessment must include both a theoretical component and a supervised practical assessment conducted in conditions representative of the operating environment on this project.</w:t>
      </w:r>
    </w:p>
    <w:p>
      <w:pPr>
        <w:pStyle w:val="NormalNumberedtext"/>
      </w:pPr>
      <w:r>
        <w:t>The driver and operator authorisation process for this project requires:</w:t>
      </w:r>
    </w:p>
    <w:p>
      <w:pPr>
        <w:pStyle w:val="NumberedBulletL1"/>
      </w:pPr>
      <w:r>
        <w:t>Verification of current regulatory licence for the relevant vehicle or equipment class</w:t>
      </w:r>
    </w:p>
    <w:p>
      <w:pPr>
        <w:pStyle w:val="NumberedBulletL1"/>
      </w:pPr>
      <w:r>
        <w:t>Completion of vehicle-specific theory training delivered by a qualified trainer</w:t>
      </w:r>
    </w:p>
    <w:p>
      <w:pPr>
        <w:pStyle w:val="NumberedBulletL1"/>
      </w:pPr>
      <w:r>
        <w:t>Completion of a supervised practical assessment in the relevant vehicle or equipment</w:t>
      </w:r>
    </w:p>
    <w:p>
      <w:pPr>
        <w:pStyle w:val="NumberedBulletL1"/>
      </w:pPr>
      <w:r>
        <w:rPr>
          <w:color w:val="C55A11"/>
        </w:rPr>
        <w:t>Competency reassessment at a frequency determined by vehicle risk level — light vehicle drivers reassessed every two years; HME operators reassessed annually; mass transport drivers reassessed every 12 months</w:t>
      </w:r>
    </w:p>
    <w:p>
      <w:pPr>
        <w:pStyle w:val="NumberedBulletL1"/>
      </w:pPr>
      <w:r>
        <w:t>Entry of authorisation status and reassessment due date in RTPR-HSE-REG-0003</w:t>
      </w:r>
    </w:p>
    <w:p>
      <w:pPr>
        <w:pStyle w:val="NormalNumberedtext"/>
      </w:pPr>
      <w:r>
        <w:t>Mass transport vehicle drivers must complete defensive driver training as a condition of authorisation. The defensive driver training program must be delivered by a qualified provider and must be completed before the driver operates a mass transport vehicle on the project. The risk-based requirement for defensive driver training for other vehicle types is defined in Table 2.</w:t>
      </w:r>
    </w:p>
    <w:p>
      <w:pPr>
        <w:pStyle w:val="NormalNumberedtext"/>
      </w:pPr>
      <w:r>
        <w:t>Table 2: Defensive Driver Training Requirements by Vehicle Type</w:t>
      </w:r>
    </w:p>
    <w:tbl>
      <w:tblPr>
        <w:tblStyle w:val="TableOption2"/>
        <w:tblW w:type="pct" w:w="5000"/>
      </w:tblPr>
      <w:tr>
        <w:trPr>
          <w:tblHeader/>
        </w:trPr>
        <w:tc>
          <w:tcPr>
            <w:shd w:val="clear" w:color="auto" w:fill="1F3864"/>
          </w:tcPr>
          <w:p>
            <w:pPr>
              <w:pStyle w:val="TableContents"/>
            </w:pPr>
            <w:r>
              <w:rPr>
                <w:b/>
                <w:bCs/>
                <w:color w:val="FFFFFF"/>
              </w:rPr>
              <w:t>Vehicle Type</w:t>
            </w:r>
          </w:p>
        </w:tc>
        <w:tc>
          <w:tcPr>
            <w:shd w:val="clear" w:color="auto" w:fill="1F3864"/>
          </w:tcPr>
          <w:p>
            <w:pPr>
              <w:pStyle w:val="TableContents"/>
            </w:pPr>
            <w:r>
              <w:rPr>
                <w:b/>
                <w:bCs/>
                <w:color w:val="FFFFFF"/>
              </w:rPr>
              <w:t>Defensive Driver Training Required</w:t>
            </w:r>
          </w:p>
        </w:tc>
        <w:tc>
          <w:tcPr>
            <w:shd w:val="clear" w:color="auto" w:fill="1F3864"/>
          </w:tcPr>
          <w:p>
            <w:pPr>
              <w:pStyle w:val="TableContents"/>
            </w:pPr>
            <w:r>
              <w:rPr>
                <w:b/>
                <w:bCs/>
                <w:color w:val="FFFFFF"/>
              </w:rPr>
              <w:t>Basis for Requirement</w:t>
            </w:r>
          </w:p>
        </w:tc>
        <w:tc>
          <w:tcPr>
            <w:shd w:val="clear" w:color="auto" w:fill="1F3864"/>
          </w:tcPr>
          <w:p>
            <w:pPr>
              <w:pStyle w:val="TableContents"/>
            </w:pPr>
            <w:r>
              <w:rPr>
                <w:b/>
                <w:bCs/>
                <w:color w:val="FFFFFF"/>
              </w:rPr>
              <w:t>Training Provider</w:t>
            </w:r>
          </w:p>
        </w:tc>
      </w:tr>
      <w:tr>
        <w:tc>
          <w:tcPr/>
          <w:p>
            <w:pPr>
              <w:pStyle w:val="TableContents"/>
            </w:pPr>
            <w:r>
              <w:t>Mass transport vehicle</w:t>
            </w:r>
          </w:p>
        </w:tc>
        <w:tc>
          <w:tcPr/>
          <w:p>
            <w:pPr>
              <w:pStyle w:val="TableContents"/>
            </w:pPr>
            <w:r>
              <w:t>Yes — mandatory before authorisation</w:t>
            </w:r>
          </w:p>
        </w:tc>
        <w:tc>
          <w:tcPr/>
          <w:p>
            <w:pPr>
              <w:pStyle w:val="TableContents"/>
            </w:pPr>
            <w:r>
              <w:t>RT C3 Standard requirement</w:t>
            </w:r>
          </w:p>
        </w:tc>
        <w:tc>
          <w:tcPr/>
          <w:p>
            <w:pPr>
              <w:pStyle w:val="TableContents"/>
            </w:pPr>
            <w:r>
              <w:rPr>
                <w:b/>
                <w:bCs/>
                <w:color w:val="0059D1"/>
              </w:rPr>
              <w:t>[INSERT: approved provider]</w:t>
            </w:r>
          </w:p>
        </w:tc>
      </w:tr>
      <w:tr>
        <w:tc>
          <w:tcPr/>
          <w:p>
            <w:pPr>
              <w:pStyle w:val="TableContents"/>
            </w:pPr>
            <w:r>
              <w:t>Light vehicle — remote or off-road operation</w:t>
            </w:r>
          </w:p>
        </w:tc>
        <w:tc>
          <w:tcPr/>
          <w:p>
            <w:pPr>
              <w:pStyle w:val="TableContents"/>
            </w:pPr>
            <w:r>
              <w:t>Yes — risk-assessed as required</w:t>
            </w:r>
          </w:p>
        </w:tc>
        <w:tc>
          <w:tcPr/>
          <w:p>
            <w:pPr>
              <w:pStyle w:val="TableContents"/>
            </w:pPr>
            <w:r>
              <w:t>Remote area and fatigue risk</w:t>
            </w:r>
          </w:p>
        </w:tc>
        <w:tc>
          <w:tcPr/>
          <w:p>
            <w:pPr>
              <w:pStyle w:val="TableContents"/>
            </w:pPr>
            <w:r>
              <w:rPr>
                <w:b/>
                <w:bCs/>
                <w:color w:val="0059D1"/>
              </w:rPr>
              <w:t>[INSERT: approved provider]</w:t>
            </w:r>
          </w:p>
        </w:tc>
      </w:tr>
      <w:tr>
        <w:tc>
          <w:tcPr/>
          <w:p>
            <w:pPr>
              <w:pStyle w:val="TableContents"/>
            </w:pPr>
            <w:r>
              <w:t>Light vehicle — sealed road only</w:t>
            </w:r>
          </w:p>
        </w:tc>
        <w:tc>
          <w:tcPr/>
          <w:p>
            <w:pPr>
              <w:pStyle w:val="TableContents"/>
            </w:pPr>
            <w:r>
              <w:t>{'text': 'Recommended — project may mandate based on journey risk profile', 'suggested': True}</w:t>
            </w:r>
          </w:p>
        </w:tc>
        <w:tc>
          <w:tcPr/>
          <w:p>
            <w:pPr>
              <w:pStyle w:val="TableContents"/>
            </w:pPr>
            <w:r>
              <w:t>Risk assessment outcome</w:t>
            </w:r>
          </w:p>
        </w:tc>
        <w:tc>
          <w:tcPr/>
          <w:p>
            <w:pPr>
              <w:pStyle w:val="TableContents"/>
            </w:pPr>
            <w:r>
              <w:rPr>
                <w:b/>
                <w:bCs/>
                <w:color w:val="0059D1"/>
              </w:rPr>
              <w:t>[INSERT: approved provider or N/A]</w:t>
            </w:r>
          </w:p>
        </w:tc>
      </w:tr>
      <w:tr>
        <w:tc>
          <w:tcPr/>
          <w:p>
            <w:pPr>
              <w:pStyle w:val="TableContents"/>
            </w:pPr>
            <w:r>
              <w:rPr>
                <w:b/>
                <w:bCs/>
                <w:color w:val="0059D1"/>
              </w:rPr>
              <w:t>[INSERT: additional vehicle type]</w:t>
            </w:r>
          </w:p>
        </w:tc>
        <w:tc>
          <w:tcPr/>
          <w:p>
            <w:pPr>
              <w:pStyle w:val="TableContents"/>
            </w:pPr>
            <w:r>
              <w:rPr>
                <w:b/>
                <w:bCs/>
                <w:color w:val="0059D1"/>
              </w:rPr>
              <w:t>[INSERT: Yes / No / Risk-based]</w:t>
            </w:r>
          </w:p>
        </w:tc>
        <w:tc>
          <w:tcPr/>
          <w:p>
            <w:pPr>
              <w:pStyle w:val="TableContents"/>
            </w:pPr>
            <w:r>
              <w:rPr>
                <w:b/>
                <w:bCs/>
                <w:color w:val="0059D1"/>
              </w:rPr>
              <w:t>[INSERT: basis]</w:t>
            </w:r>
          </w:p>
        </w:tc>
        <w:tc>
          <w:tcPr/>
          <w:p>
            <w:pPr>
              <w:pStyle w:val="TableContents"/>
            </w:pPr>
            <w:r>
              <w:rPr>
                <w:b/>
                <w:bCs/>
                <w:color w:val="0059D1"/>
              </w:rPr>
              <w:t>[INSERT: approved provider or N/A]</w:t>
            </w:r>
          </w:p>
        </w:tc>
      </w:tr>
    </w:tbl>
    <w:p>
      <w:pPr>
        <w:pStyle w:val="Default"/>
      </w:pPr>
    </w:p>
    <w:p>
      <w:pPr>
        <w:pStyle w:val="Heading2Numbered"/>
      </w:pPr>
      <w:r>
        <w:t>4.3  HME-Specific Competency Requirements</w:t>
      </w:r>
    </w:p>
    <w:p>
      <w:pPr>
        <w:pStyle w:val="NormalNumberedtext"/>
      </w:pPr>
      <w:r>
        <w:t>Operators of heavy mobile equipment must demonstrate competency in HME-specific risk topics before being authorised to operate independently.</w:t>
      </w:r>
    </w:p>
    <w:p>
      <w:pPr>
        <w:pStyle w:val="NormalNumberedtext"/>
      </w:pPr>
      <w:r>
        <w:t>In addition to the general authorisation requirements in Section 4.2, HME operators must demonstrate competency in the following topics before operating heavy mobile equipment on this project. The HSESC Manager verifies that these competency elements are included in the vehicle-specific training program for each HME type.</w:t>
      </w:r>
    </w:p>
    <w:p>
      <w:pPr>
        <w:pStyle w:val="NormalNumberedtext"/>
      </w:pPr>
      <w:r>
        <w:t>HME operator authorisation must include demonstrated competency in:</w:t>
      </w:r>
    </w:p>
    <w:p>
      <w:pPr>
        <w:pStyle w:val="NumberedBulletL1"/>
      </w:pPr>
      <w:r>
        <w:t>Downhill haulage risks and controls, including recognition of ramp gradient limits and brake loading conditions</w:t>
      </w:r>
    </w:p>
    <w:p>
      <w:pPr>
        <w:pStyle w:val="NumberedBulletL1"/>
      </w:pPr>
      <w:r>
        <w:t>Use of Retard Speed Control (RSC) — correct application, limitations, and operating parameters for the specific equipment type</w:t>
      </w:r>
    </w:p>
    <w:p>
      <w:pPr>
        <w:pStyle w:val="NumberedBulletL1"/>
      </w:pPr>
      <w:r>
        <w:t>Use of independent braking systems in emergency situations — including brake application sequence, stopping distances, and equipment-specific emergency procedures</w:t>
      </w:r>
    </w:p>
    <w:p>
      <w:pPr>
        <w:pStyle w:val="NormalNumberedtext"/>
      </w:pPr>
      <w:r>
        <w:t>Operators who cannot demonstrate competency in all three HME-specific topics must not be authorised to operate haul trucks or other HME on haul roads or ramp systems. Any driver operating without valid authorisation is removed from the task immediately. Incidents involving unauthorised vehicle operation are reported per project requirements, refer RTPR-HSE-PRO-0009.</w:t>
      </w:r>
    </w:p>
    <w:p>
      <w:pPr>
        <w:pStyle w:val="Heading1Numbered"/>
      </w:pPr>
      <w:r>
        <w:t>5  Positive Communications</w:t>
      </w:r>
    </w:p>
    <w:p>
      <w:pPr>
        <w:pStyle w:val="NormalNumberedtext"/>
      </w:pPr>
      <w:r>
        <w:t>This section defines the positive communication process required for all vehicle and plant interactions on the project, including the confirmed acknowledgement requirement and proximity limits.</w:t>
      </w:r>
    </w:p>
    <w:p>
      <w:pPr>
        <w:pStyle w:val="Heading2Numbered"/>
      </w:pPr>
      <w:r>
        <w:t>5.1  Positive Communication Process</w:t>
      </w:r>
    </w:p>
    <w:p>
      <w:pPr>
        <w:pStyle w:val="NormalNumberedtext"/>
      </w:pPr>
      <w:r>
        <w:t>Positive communication must be established and confirmed before any vehicle or person approaches heavy mobile equipment.</w:t>
      </w:r>
    </w:p>
    <w:p>
      <w:pPr>
        <w:pStyle w:val="NormalNumberedtext"/>
      </w:pPr>
      <w:r>
        <w:t>Positive communication is a critical control for vehicle-plant interaction on this project. A positive communication interaction requires a clear initiation by one party, use of the agreed communication method, and a confirmed acknowledgement by the other party using a repeat-back or equivalent method that confirms both the message and the intended action were correctly understood.</w:t>
      </w:r>
    </w:p>
    <w:p>
      <w:pPr>
        <w:pStyle w:val="NormalNumberedtext"/>
      </w:pPr>
      <w:r>
        <w:t>The positive communication process for this project operates as follows:</w:t>
      </w:r>
    </w:p>
    <w:p>
      <w:pPr>
        <w:pStyle w:val="NumberedBulletL1"/>
      </w:pPr>
      <w:r>
        <w:t>The initiating party states their identity, location, and intended action clearly</w:t>
      </w:r>
    </w:p>
    <w:p>
      <w:pPr>
        <w:pStyle w:val="NumberedBulletL1"/>
      </w:pPr>
      <w:r>
        <w:t>The receiving party acknowledges using a repeat-back that confirms the initiating party's identity, location, and intended action</w:t>
      </w:r>
    </w:p>
    <w:p>
      <w:pPr>
        <w:pStyle w:val="NumberedBulletL1"/>
      </w:pPr>
      <w:r>
        <w:t>Neither party proceeds until the acknowledgement is confirmed as correct</w:t>
      </w:r>
    </w:p>
    <w:p>
      <w:pPr>
        <w:pStyle w:val="NumberedBulletL1"/>
      </w:pPr>
      <w:r>
        <w:t>Any failed or unclear communication attempt must be treated as no communication established — the approaching vehicle or person must stop and hold position until communication is re-established</w:t>
      </w:r>
    </w:p>
    <w:tbl>
      <w:tblPr>
        <w:tblStyle w:val="TableOption1"/>
        <w:tblW w:type="pct" w:w="5000"/>
      </w:tblPr>
      <w:tr>
        <w:tc>
          <w:tcPr>
            <w:shd w:val="clear" w:color="auto" w:fill="FFF2CC"/>
          </w:tcPr>
          <w:p>
            <w:pPr>
              <w:pStyle w:val="Instructions"/>
            </w:pPr>
            <w:r>
              <w:rPr>
                <w:b/>
                <w:bCs/>
                <w:color w:val="C55A11"/>
              </w:rPr>
              <w:t>PROJECT COMPLETION — COMMUNICATION SYSTEM: Define the positive communication system for this project. Specify the communication technology used (UHF radio, Bluetooth proximity detection, or site communications system), the channel or frequency allocations for each site area, and who is responsible for maintaining channel assignments. The 50-metre requirement is fixed — the project specifies the system used to meet it.</w:t>
            </w:r>
          </w:p>
        </w:tc>
      </w:tr>
    </w:tbl>
    <w:p>
      <w:pPr>
        <w:pStyle w:val="Default"/>
      </w:pPr>
    </w:p>
    <w:p>
      <w:pPr>
        <w:pStyle w:val="NormalNumberedtext"/>
      </w:pPr>
      <w:r>
        <w:t xml:space="preserve">The communication system used for positive communication on this project is </w:t>
      </w:r>
    </w:p>
    <w:p>
      <w:pPr>
        <w:pStyle w:val="NormalNumberedtext"/>
      </w:pPr>
      <w:r>
        <w:rPr>
          <w:b/>
          <w:bCs/>
          <w:color w:val="0059D1"/>
        </w:rPr>
        <w:t>[INSERT: communication_system_type] — e.g. UHF radio, proximity detection system, or site-wide communications platform</w:t>
      </w:r>
    </w:p>
    <w:p>
      <w:pPr>
        <w:pStyle w:val="NormalNumberedtext"/>
      </w:pPr>
      <w:r>
        <w:t>Table 3: Site Communication Channel and Frequency Allocations</w:t>
      </w:r>
    </w:p>
    <w:tbl>
      <w:tblPr>
        <w:tblStyle w:val="TableOption2"/>
        <w:tblW w:type="pct" w:w="5000"/>
      </w:tblPr>
      <w:tr>
        <w:trPr>
          <w:tblHeader/>
        </w:trPr>
        <w:tc>
          <w:tcPr>
            <w:shd w:val="clear" w:color="auto" w:fill="1F3864"/>
          </w:tcPr>
          <w:p>
            <w:pPr>
              <w:pStyle w:val="TableContents"/>
            </w:pPr>
            <w:r>
              <w:rPr>
                <w:b/>
                <w:bCs/>
                <w:color w:val="FFFFFF"/>
              </w:rPr>
              <w:t>Site Area</w:t>
            </w:r>
          </w:p>
        </w:tc>
        <w:tc>
          <w:tcPr>
            <w:shd w:val="clear" w:color="auto" w:fill="1F3864"/>
          </w:tcPr>
          <w:p>
            <w:pPr>
              <w:pStyle w:val="TableContents"/>
            </w:pPr>
            <w:r>
              <w:rPr>
                <w:b/>
                <w:bCs/>
                <w:color w:val="FFFFFF"/>
              </w:rPr>
              <w:t>Communication Channel / Frequency</w:t>
            </w:r>
          </w:p>
        </w:tc>
        <w:tc>
          <w:tcPr>
            <w:shd w:val="clear" w:color="auto" w:fill="1F3864"/>
          </w:tcPr>
          <w:p>
            <w:pPr>
              <w:pStyle w:val="TableContents"/>
            </w:pPr>
            <w:r>
              <w:rPr>
                <w:b/>
                <w:bCs/>
                <w:color w:val="FFFFFF"/>
              </w:rPr>
              <w:t>Applies To</w:t>
            </w:r>
          </w:p>
        </w:tc>
        <w:tc>
          <w:tcPr>
            <w:shd w:val="clear" w:color="auto" w:fill="1F3864"/>
          </w:tcPr>
          <w:p>
            <w:pPr>
              <w:pStyle w:val="TableContents"/>
            </w:pPr>
            <w:r>
              <w:rPr>
                <w:b/>
                <w:bCs/>
                <w:color w:val="FFFFFF"/>
              </w:rPr>
              <w:t>Backup Channel</w:t>
            </w:r>
          </w:p>
        </w:tc>
      </w:tr>
      <w:tr>
        <w:tc>
          <w:tcPr/>
          <w:p>
            <w:pPr>
              <w:pStyle w:val="TableContents"/>
            </w:pPr>
            <w:r>
              <w:t>Haul road and ramp system</w:t>
            </w:r>
          </w:p>
        </w:tc>
        <w:tc>
          <w:tcPr/>
          <w:p>
            <w:pPr>
              <w:pStyle w:val="TableContents"/>
            </w:pPr>
            <w:r>
              <w:rPr>
                <w:b/>
                <w:bCs/>
                <w:color w:val="0059D1"/>
              </w:rPr>
              <w:t>[INSERT: channel / frequency]</w:t>
            </w:r>
          </w:p>
        </w:tc>
        <w:tc>
          <w:tcPr/>
          <w:p>
            <w:pPr>
              <w:pStyle w:val="TableContents"/>
            </w:pPr>
            <w:r>
              <w:t>All HME and light vehicles</w:t>
            </w:r>
          </w:p>
        </w:tc>
        <w:tc>
          <w:tcPr/>
          <w:p>
            <w:pPr>
              <w:pStyle w:val="TableContents"/>
            </w:pPr>
            <w:r>
              <w:rPr>
                <w:b/>
                <w:bCs/>
                <w:color w:val="0059D1"/>
              </w:rPr>
              <w:t>[INSERT: backup channel]</w:t>
            </w:r>
          </w:p>
        </w:tc>
      </w:tr>
      <w:tr>
        <w:tc>
          <w:tcPr/>
          <w:p>
            <w:pPr>
              <w:pStyle w:val="TableContents"/>
            </w:pPr>
            <w:r>
              <w:t>Active pit / excavation area</w:t>
            </w:r>
          </w:p>
        </w:tc>
        <w:tc>
          <w:tcPr/>
          <w:p>
            <w:pPr>
              <w:pStyle w:val="TableContents"/>
            </w:pPr>
            <w:r>
              <w:rPr>
                <w:b/>
                <w:bCs/>
                <w:color w:val="0059D1"/>
              </w:rPr>
              <w:t>[INSERT: channel / frequency]</w:t>
            </w:r>
          </w:p>
        </w:tc>
        <w:tc>
          <w:tcPr/>
          <w:p>
            <w:pPr>
              <w:pStyle w:val="TableContents"/>
            </w:pPr>
            <w:r>
              <w:t>All HME, light vehicles, and pedestrians</w:t>
            </w:r>
          </w:p>
        </w:tc>
        <w:tc>
          <w:tcPr/>
          <w:p>
            <w:pPr>
              <w:pStyle w:val="TableContents"/>
            </w:pPr>
            <w:r>
              <w:rPr>
                <w:b/>
                <w:bCs/>
                <w:color w:val="0059D1"/>
              </w:rPr>
              <w:t>[INSERT: backup channel]</w:t>
            </w:r>
          </w:p>
        </w:tc>
      </w:tr>
      <w:tr>
        <w:tc>
          <w:tcPr/>
          <w:p>
            <w:pPr>
              <w:pStyle w:val="TableContents"/>
            </w:pPr>
            <w:r>
              <w:t>Workshop and laydown area</w:t>
            </w:r>
          </w:p>
        </w:tc>
        <w:tc>
          <w:tcPr/>
          <w:p>
            <w:pPr>
              <w:pStyle w:val="TableContents"/>
            </w:pPr>
            <w:r>
              <w:rPr>
                <w:b/>
                <w:bCs/>
                <w:color w:val="0059D1"/>
              </w:rPr>
              <w:t>[INSERT: channel / frequency]</w:t>
            </w:r>
          </w:p>
        </w:tc>
        <w:tc>
          <w:tcPr/>
          <w:p>
            <w:pPr>
              <w:pStyle w:val="TableContents"/>
            </w:pPr>
            <w:r>
              <w:t>Light vehicles and plant</w:t>
            </w:r>
          </w:p>
        </w:tc>
        <w:tc>
          <w:tcPr/>
          <w:p>
            <w:pPr>
              <w:pStyle w:val="TableContents"/>
            </w:pPr>
            <w:r>
              <w:rPr>
                <w:b/>
                <w:bCs/>
                <w:color w:val="0059D1"/>
              </w:rPr>
              <w:t>[INSERT: backup channel]</w:t>
            </w:r>
          </w:p>
        </w:tc>
      </w:tr>
      <w:tr>
        <w:tc>
          <w:tcPr/>
          <w:p>
            <w:pPr>
              <w:pStyle w:val="TableContents"/>
            </w:pPr>
            <w:r>
              <w:t>Site access roads</w:t>
            </w:r>
          </w:p>
        </w:tc>
        <w:tc>
          <w:tcPr/>
          <w:p>
            <w:pPr>
              <w:pStyle w:val="TableContents"/>
            </w:pPr>
            <w:r>
              <w:rPr>
                <w:b/>
                <w:bCs/>
                <w:color w:val="0059D1"/>
              </w:rPr>
              <w:t>[INSERT: channel / frequency]</w:t>
            </w:r>
          </w:p>
        </w:tc>
        <w:tc>
          <w:tcPr/>
          <w:p>
            <w:pPr>
              <w:pStyle w:val="TableContents"/>
            </w:pPr>
            <w:r>
              <w:t>All vehicles</w:t>
            </w:r>
          </w:p>
        </w:tc>
        <w:tc>
          <w:tcPr/>
          <w:p>
            <w:pPr>
              <w:pStyle w:val="TableContents"/>
            </w:pPr>
            <w:r>
              <w:rPr>
                <w:b/>
                <w:bCs/>
                <w:color w:val="0059D1"/>
              </w:rPr>
              <w:t>[INSERT: backup channel]</w:t>
            </w:r>
          </w:p>
        </w:tc>
      </w:tr>
      <w:tr>
        <w:tc>
          <w:tcPr/>
          <w:p>
            <w:pPr>
              <w:pStyle w:val="TableContents"/>
            </w:pPr>
            <w:r>
              <w:rPr>
                <w:b/>
                <w:bCs/>
                <w:color w:val="0059D1"/>
              </w:rPr>
              <w:t>[INSERT: additional area]</w:t>
            </w:r>
          </w:p>
        </w:tc>
        <w:tc>
          <w:tcPr/>
          <w:p>
            <w:pPr>
              <w:pStyle w:val="TableContents"/>
            </w:pPr>
            <w:r>
              <w:rPr>
                <w:b/>
                <w:bCs/>
                <w:color w:val="0059D1"/>
              </w:rPr>
              <w:t>[INSERT: channel / frequency]</w:t>
            </w:r>
          </w:p>
        </w:tc>
        <w:tc>
          <w:tcPr/>
          <w:p>
            <w:pPr>
              <w:pStyle w:val="TableContents"/>
            </w:pPr>
            <w:r>
              <w:rPr>
                <w:b/>
                <w:bCs/>
                <w:color w:val="0059D1"/>
              </w:rPr>
              <w:t>[INSERT: applies to]</w:t>
            </w:r>
          </w:p>
        </w:tc>
        <w:tc>
          <w:tcPr/>
          <w:p>
            <w:pPr>
              <w:pStyle w:val="TableContents"/>
            </w:pPr>
            <w:r>
              <w:rPr>
                <w:b/>
                <w:bCs/>
                <w:color w:val="0059D1"/>
              </w:rPr>
              <w:t>[INSERT: backup channel]</w:t>
            </w:r>
          </w:p>
        </w:tc>
      </w:tr>
    </w:tbl>
    <w:p>
      <w:pPr>
        <w:pStyle w:val="Default"/>
      </w:pPr>
    </w:p>
    <w:p>
      <w:pPr>
        <w:pStyle w:val="Heading2Numbered"/>
      </w:pPr>
      <w:r>
        <w:t>5.2  Proximity Limits and Overtaking Protocol</w:t>
      </w:r>
    </w:p>
    <w:p>
      <w:pPr>
        <w:pStyle w:val="NormalNumberedtext"/>
      </w:pPr>
      <w:r>
        <w:t>Distance limits and overtaking protocols for HME interactions are defined in this section and are not subject to site-level variation.</w:t>
      </w:r>
    </w:p>
    <w:p>
      <w:pPr>
        <w:pStyle w:val="NormalNumberedtext"/>
      </w:pPr>
      <w:r>
        <w:t>On surface mining areas of this project, no vehicle or person may approach within 50 metres of operating heavy mobile equipment without first establishing positive communication with the HME operator and receiving confirmed acknowledgement. The 50-metre exclusion zone is measured from the nearest point of the HME, including its swept path.</w:t>
      </w:r>
    </w:p>
    <w:p>
      <w:pPr>
        <w:pStyle w:val="NormalNumberedtext"/>
      </w:pPr>
      <w:r>
        <w:t>In underground mining areas, no person and no vehicle may approach any HME without first establishing positive communication with the HME operator. The underground environment removes the 50-metre fixed distance as the sole control; positive communication is required at all times regardless of observed distance.</w:t>
      </w:r>
    </w:p>
    <w:p>
      <w:pPr>
        <w:pStyle w:val="NormalNumberedtext"/>
      </w:pPr>
      <w:r>
        <w:t>No vehicle may overtake HME while HME is in motion unless the HME operator has initiated or responded to a positive communication exchange, confirmed the overtaking vehicle's intended action, and given explicit clearance to pass. The overtaking vehicle must not commence the overtake manoeuvre until clearance is received.</w:t>
      </w:r>
    </w:p>
    <w:p>
      <w:pPr>
        <w:pStyle w:val="Heading1Numbered"/>
      </w:pPr>
      <w:r>
        <w:t>6  Fatigue, Fitness for Work, and Pre-operational Checks</w:t>
      </w:r>
    </w:p>
    <w:p>
      <w:pPr>
        <w:pStyle w:val="NormalNumberedtext"/>
      </w:pPr>
      <w:r>
        <w:t>This section defines driver fitness requirements, fatigue management obligations, and pre-operational check requirements that apply before every operational shift.</w:t>
      </w:r>
    </w:p>
    <w:p>
      <w:pPr>
        <w:pStyle w:val="Heading2Numbered"/>
      </w:pPr>
      <w:r>
        <w:t>6.1  Driver Fitness and Alcohol and Drug Requirements</w:t>
      </w:r>
    </w:p>
    <w:p>
      <w:pPr>
        <w:pStyle w:val="NormalNumberedtext"/>
      </w:pPr>
      <w:r>
        <w:t>No driver or operator may commence operating a vehicle or plant while under the influence of alcohol, drugs, or impairing medications.</w:t>
      </w:r>
    </w:p>
    <w:p>
      <w:pPr>
        <w:pStyle w:val="NormalNumberedtext"/>
      </w:pPr>
      <w:r>
        <w:t>The Project Manager ensures a process is in place to verify that drivers and operators are not under the influence of alcohol, drugs, or impairing medications before commencing any driving or plant operating activity. Fitness for work requirements for drivers and operators are governed by RTPR-HSE-PRO-0006.</w:t>
      </w:r>
    </w:p>
    <w:p>
      <w:pPr>
        <w:pStyle w:val="NormalNumberedtext"/>
      </w:pPr>
      <w:r>
        <w:t>Mass transport vehicle drivers must complete an alcohol breath test at the commencement of each shift, before operating any mass transport vehicle. The test is conducted by a competent tester using an approved breathalyser device. A driver who returns a non-zero alcohol reading is removed from driving duties immediately and the incident is managed per RTPR-HSE-PRO-0006 and RTPR-HSE-PRO-0009.</w:t>
      </w:r>
    </w:p>
    <w:p>
      <w:pPr>
        <w:pStyle w:val="NormalNumberedtext"/>
      </w:pPr>
      <w:r>
        <w:t>Any driver or operator who is taking prescribed or over-the-counter medication that may impair their ability to drive or operate plant must declare this to their supervisor before commencing their shift. The supervisor assesses the fitness-for-work implication in accordance with RTPR-HSE-PRO-0006 before the driver or operator is permitted to commence operations.</w:t>
      </w:r>
    </w:p>
    <w:p>
      <w:pPr>
        <w:pStyle w:val="Heading2Numbered"/>
      </w:pPr>
      <w:r>
        <w:t>6.2  Fatigue Management</w:t>
      </w:r>
    </w:p>
    <w:p>
      <w:pPr>
        <w:pStyle w:val="NormalNumberedtext"/>
      </w:pPr>
      <w:r>
        <w:t>Fatigue management applies to all drivers and operators on the project, with specific requirements for long-distance and mass transport operations.</w:t>
      </w:r>
    </w:p>
    <w:p>
      <w:pPr>
        <w:pStyle w:val="NormalNumberedtext"/>
      </w:pPr>
      <w:r>
        <w:t>All drivers and operators on this project are subject to fatigue management requirements. Fatigue management is an element of the Fitness for Work framework; refer RTPR-HSE-PRO-0006 for the project fatigue risk controls. Where a journey triggers a Journey Management Plan under Section 7, fatigue management protocols are documented within the JMP.</w:t>
      </w:r>
    </w:p>
    <w:p>
      <w:pPr>
        <w:pStyle w:val="Heading2Numbered"/>
      </w:pPr>
      <w:r>
        <w:t>6.3  Pre-operational Checks</w:t>
      </w:r>
    </w:p>
    <w:p>
      <w:pPr>
        <w:pStyle w:val="NormalNumberedtext"/>
      </w:pPr>
      <w:r>
        <w:t>A pre-operational check must be completed by the driver or operator at the start of each shift and following any period of unattended parking.</w:t>
      </w:r>
    </w:p>
    <w:p>
      <w:pPr>
        <w:pStyle w:val="NormalNumberedtext"/>
      </w:pPr>
      <w:r>
        <w:t>The driver or operator of every vehicle and item of plant must complete a pre-operational check before commencing operations each shift. Pre-operational checks use equipment-specific checklists that define the items to be checked and the Go / No-Go threshold for each item. The Project Manager ensures approved equipment-specific checklists are available for all vehicle and plant types operating on the project.</w:t>
      </w:r>
    </w:p>
    <w:p>
      <w:pPr>
        <w:pStyle w:val="NormalNumberedtext"/>
      </w:pPr>
      <w:r>
        <w:t>The pre-operational check must include, at minimum, inspection of all safety-critical systems: brakes, steering, tyres, seatbelts, reverse alarm, communications equipment, fire suppression or extinguisher, and all lights and signals. Any item that does not meet the Go threshold is a No-Go defect.</w:t>
      </w:r>
    </w:p>
    <w:p>
      <w:pPr>
        <w:pStyle w:val="NormalNumberedtext"/>
      </w:pPr>
      <w:r>
        <w:t>Any vehicle or item of plant with a No-Go defect must be removed from service immediately. The defect is reported to the supervisor and recorded in the maintenance system before the vehicle is returned to service. The vehicle must not re-enter service until the defect has been rectified and the vehicle has passed a post-repair inspection. Defects that cannot be rectified immediately are managed as vehicle incidents; refer RTPR-HSE-PRO-0009.</w:t>
      </w:r>
    </w:p>
    <w:p>
      <w:pPr>
        <w:pStyle w:val="Heading1Numbered"/>
      </w:pPr>
      <w:r>
        <w:t>7  Journey Management</w:t>
      </w:r>
    </w:p>
    <w:p>
      <w:pPr>
        <w:pStyle w:val="NormalNumberedtext"/>
      </w:pPr>
      <w:r>
        <w:t>This section defines the risk-based journey management approach for the project, including the triggers that require a formal Journey Management Plan and the minimum content that all JMPs must address.</w:t>
      </w:r>
    </w:p>
    <w:p>
      <w:pPr>
        <w:pStyle w:val="Heading2Numbered"/>
      </w:pPr>
      <w:r>
        <w:t>7.1  Journey Management Triggers</w:t>
      </w:r>
    </w:p>
    <w:p>
      <w:pPr>
        <w:pStyle w:val="NormalNumberedtext"/>
      </w:pPr>
      <w:r>
        <w:t>A Journey Management Plan is required for all journeys that meet one or more of the trigger criteria defined in this section.</w:t>
      </w:r>
    </w:p>
    <w:p>
      <w:pPr>
        <w:pStyle w:val="NormalNumberedtext"/>
      </w:pPr>
      <w:r>
        <w:t>The Project Manager ensures a journey risk assessment is completed before any journey commences where the journey characteristics may elevate risk above routine site travel. Where the risk assessment identifies one or more trigger criteria, a formal Journey Management Plan must be prepared and approved before the journey departs.</w:t>
      </w:r>
    </w:p>
    <w:tbl>
      <w:tblPr>
        <w:tblStyle w:val="TableOption1"/>
        <w:tblW w:type="pct" w:w="5000"/>
      </w:tblPr>
      <w:tr>
        <w:tc>
          <w:tcPr>
            <w:shd w:val="clear" w:color="auto" w:fill="FFF2CC"/>
          </w:tcPr>
          <w:p>
            <w:pPr>
              <w:pStyle w:val="Instructions"/>
            </w:pPr>
            <w:r>
              <w:rPr>
                <w:b/>
                <w:bCs/>
                <w:color w:val="C55A11"/>
              </w:rPr>
              <w:t>PROJECT COMPLETION — JMP TRIGGERS: Complete Table 4 with the project-specific JMP trigger list. Identify which journeys are automatically classified as high-risk and require a JMP without further assessment, and which journeys require a risk assessment to determine whether a JMP is needed. The trigger criteria in the fixed rows below are mandatory — the project adds project-specific triggers in the INSERT rows.</w:t>
            </w:r>
          </w:p>
        </w:tc>
      </w:tr>
    </w:tbl>
    <w:p>
      <w:pPr>
        <w:pStyle w:val="Default"/>
      </w:pPr>
    </w:p>
    <w:p>
      <w:pPr>
        <w:pStyle w:val="NormalNumberedtext"/>
      </w:pPr>
      <w:r>
        <w:t>Table 4: Journey Management Plan Trigger Criteria</w:t>
      </w:r>
    </w:p>
    <w:tbl>
      <w:tblPr>
        <w:tblStyle w:val="TableOption2"/>
        <w:tblW w:type="pct" w:w="5000"/>
      </w:tblPr>
      <w:tr>
        <w:trPr>
          <w:tblHeader/>
        </w:trPr>
        <w:tc>
          <w:tcPr>
            <w:shd w:val="clear" w:color="auto" w:fill="1F3864"/>
          </w:tcPr>
          <w:p>
            <w:pPr>
              <w:pStyle w:val="TableContents"/>
            </w:pPr>
            <w:r>
              <w:rPr>
                <w:b/>
                <w:bCs/>
                <w:color w:val="FFFFFF"/>
              </w:rPr>
              <w:t>Trigger Criteria</w:t>
            </w:r>
          </w:p>
        </w:tc>
        <w:tc>
          <w:tcPr>
            <w:shd w:val="clear" w:color="auto" w:fill="1F3864"/>
          </w:tcPr>
          <w:p>
            <w:pPr>
              <w:pStyle w:val="TableContents"/>
            </w:pPr>
            <w:r>
              <w:rPr>
                <w:b/>
                <w:bCs/>
                <w:color w:val="FFFFFF"/>
              </w:rPr>
              <w:t>JMP Requirement</w:t>
            </w:r>
          </w:p>
        </w:tc>
        <w:tc>
          <w:tcPr>
            <w:shd w:val="clear" w:color="auto" w:fill="1F3864"/>
          </w:tcPr>
          <w:p>
            <w:pPr>
              <w:pStyle w:val="TableContents"/>
            </w:pPr>
            <w:r>
              <w:rPr>
                <w:b/>
                <w:bCs/>
                <w:color w:val="FFFFFF"/>
              </w:rPr>
              <w:t>Risk Assessment Required First</w:t>
            </w:r>
          </w:p>
        </w:tc>
      </w:tr>
      <w:tr>
        <w:tc>
          <w:tcPr/>
          <w:p>
            <w:pPr>
              <w:pStyle w:val="TableContents"/>
            </w:pPr>
            <w:r>
              <w:t>Travel outside daylight hours (departure or arrival in darkness)</w:t>
            </w:r>
          </w:p>
        </w:tc>
        <w:tc>
          <w:tcPr/>
          <w:p>
            <w:pPr>
              <w:pStyle w:val="TableContents"/>
            </w:pPr>
            <w:r>
              <w:t>JMP mandatory</w:t>
            </w:r>
          </w:p>
        </w:tc>
        <w:tc>
          <w:tcPr/>
          <w:p>
            <w:pPr>
              <w:pStyle w:val="TableContents"/>
            </w:pPr>
            <w:r>
              <w:t>No — automatic trigger</w:t>
            </w:r>
          </w:p>
        </w:tc>
      </w:tr>
      <w:tr>
        <w:tc>
          <w:tcPr/>
          <w:p>
            <w:pPr>
              <w:pStyle w:val="TableContents"/>
            </w:pPr>
            <w:r>
              <w:t>Unfamiliar route — driver has not travelled the route within the past 90 days</w:t>
            </w:r>
          </w:p>
        </w:tc>
        <w:tc>
          <w:tcPr/>
          <w:p>
            <w:pPr>
              <w:pStyle w:val="TableContents"/>
            </w:pPr>
            <w:r>
              <w:t>JMP mandatory</w:t>
            </w:r>
          </w:p>
        </w:tc>
        <w:tc>
          <w:tcPr/>
          <w:p>
            <w:pPr>
              <w:pStyle w:val="TableContents"/>
            </w:pPr>
            <w:r>
              <w:t>No — automatic trigger</w:t>
            </w:r>
          </w:p>
        </w:tc>
      </w:tr>
      <w:tr>
        <w:tc>
          <w:tcPr/>
          <w:p>
            <w:pPr>
              <w:pStyle w:val="TableContents"/>
            </w:pPr>
            <w:r>
              <w:t>Areas with limited or no communications coverage along the route</w:t>
            </w:r>
          </w:p>
        </w:tc>
        <w:tc>
          <w:tcPr/>
          <w:p>
            <w:pPr>
              <w:pStyle w:val="TableContents"/>
            </w:pPr>
            <w:r>
              <w:t>JMP mandatory</w:t>
            </w:r>
          </w:p>
        </w:tc>
        <w:tc>
          <w:tcPr/>
          <w:p>
            <w:pPr>
              <w:pStyle w:val="TableContents"/>
            </w:pPr>
            <w:r>
              <w:t>No — automatic trigger</w:t>
            </w:r>
          </w:p>
        </w:tc>
      </w:tr>
      <w:tr>
        <w:tc>
          <w:tcPr/>
          <w:p>
            <w:pPr>
              <w:pStyle w:val="TableContents"/>
            </w:pPr>
            <w:r>
              <w:t>Travel to a remote location — more than 50 km from the nearest medical facility</w:t>
            </w:r>
          </w:p>
        </w:tc>
        <w:tc>
          <w:tcPr/>
          <w:p>
            <w:pPr>
              <w:pStyle w:val="TableContents"/>
            </w:pPr>
            <w:r>
              <w:t>JMP mandatory</w:t>
            </w:r>
          </w:p>
        </w:tc>
        <w:tc>
          <w:tcPr/>
          <w:p>
            <w:pPr>
              <w:pStyle w:val="TableContents"/>
            </w:pPr>
            <w:r>
              <w:t>No — automatic trigger</w:t>
            </w:r>
          </w:p>
        </w:tc>
      </w:tr>
      <w:tr>
        <w:tc>
          <w:tcPr/>
          <w:p>
            <w:pPr>
              <w:pStyle w:val="TableContents"/>
            </w:pPr>
            <w:r>
              <w:t>Single-vehicle journey to a remote or isolated location</w:t>
            </w:r>
          </w:p>
        </w:tc>
        <w:tc>
          <w:tcPr/>
          <w:p>
            <w:pPr>
              <w:pStyle w:val="TableContents"/>
            </w:pPr>
            <w:r>
              <w:t>JMP mandatory</w:t>
            </w:r>
          </w:p>
        </w:tc>
        <w:tc>
          <w:tcPr/>
          <w:p>
            <w:pPr>
              <w:pStyle w:val="TableContents"/>
            </w:pPr>
            <w:r>
              <w:t>No — automatic trigger</w:t>
            </w:r>
          </w:p>
        </w:tc>
      </w:tr>
      <w:tr>
        <w:tc>
          <w:tcPr/>
          <w:p>
            <w:pPr>
              <w:pStyle w:val="TableContents"/>
            </w:pPr>
            <w:r>
              <w:t>Mass transport vehicle journey carrying project personnel off-site</w:t>
            </w:r>
          </w:p>
        </w:tc>
        <w:tc>
          <w:tcPr/>
          <w:p>
            <w:pPr>
              <w:pStyle w:val="TableContents"/>
            </w:pPr>
            <w:r>
              <w:t>JMP mandatory</w:t>
            </w:r>
          </w:p>
        </w:tc>
        <w:tc>
          <w:tcPr/>
          <w:p>
            <w:pPr>
              <w:pStyle w:val="TableContents"/>
            </w:pPr>
            <w:r>
              <w:t>No — automatic trigger</w:t>
            </w:r>
          </w:p>
        </w:tc>
      </w:tr>
      <w:tr>
        <w:tc>
          <w:tcPr/>
          <w:p>
            <w:pPr>
              <w:pStyle w:val="TableContents"/>
            </w:pPr>
            <w:r>
              <w:t>Adverse weather conditions forecast or present along the route</w:t>
            </w:r>
          </w:p>
        </w:tc>
        <w:tc>
          <w:tcPr/>
          <w:p>
            <w:pPr>
              <w:pStyle w:val="TableContents"/>
            </w:pPr>
            <w:r>
              <w:t>JMP required if risk assessment confirms elevated risk</w:t>
            </w:r>
          </w:p>
        </w:tc>
        <w:tc>
          <w:tcPr/>
          <w:p>
            <w:pPr>
              <w:pStyle w:val="TableContents"/>
            </w:pPr>
            <w:r>
              <w:t>Yes</w:t>
            </w:r>
          </w:p>
        </w:tc>
      </w:tr>
      <w:tr>
        <w:tc>
          <w:tcPr/>
          <w:p>
            <w:pPr>
              <w:pStyle w:val="TableContents"/>
            </w:pPr>
            <w:r>
              <w:t>Driver has accumulated shift hours exceeding fatigue management thresholds</w:t>
            </w:r>
          </w:p>
        </w:tc>
        <w:tc>
          <w:tcPr/>
          <w:p>
            <w:pPr>
              <w:pStyle w:val="TableContents"/>
            </w:pPr>
            <w:r>
              <w:t>JMP mandatory</w:t>
            </w:r>
          </w:p>
        </w:tc>
        <w:tc>
          <w:tcPr/>
          <w:p>
            <w:pPr>
              <w:pStyle w:val="TableContents"/>
            </w:pPr>
            <w:r>
              <w:t>No — automatic trigger</w:t>
            </w:r>
          </w:p>
        </w:tc>
      </w:tr>
      <w:tr>
        <w:tc>
          <w:tcPr/>
          <w:p>
            <w:pPr>
              <w:pStyle w:val="TableContents"/>
            </w:pPr>
            <w:r>
              <w:rPr>
                <w:b/>
                <w:bCs/>
                <w:color w:val="0059D1"/>
              </w:rPr>
              <w:t>[INSERT: project-specific trigger]</w:t>
            </w:r>
          </w:p>
        </w:tc>
        <w:tc>
          <w:tcPr/>
          <w:p>
            <w:pPr>
              <w:pStyle w:val="TableContents"/>
            </w:pPr>
            <w:r>
              <w:rPr>
                <w:b/>
                <w:bCs/>
                <w:color w:val="0059D1"/>
              </w:rPr>
              <w:t>[INSERT: JMP mandatory / Risk assessment required]</w:t>
            </w:r>
          </w:p>
        </w:tc>
        <w:tc>
          <w:tcPr/>
          <w:p>
            <w:pPr>
              <w:pStyle w:val="TableContents"/>
            </w:pPr>
            <w:r>
              <w:rPr>
                <w:b/>
                <w:bCs/>
                <w:color w:val="0059D1"/>
              </w:rPr>
              <w:t>[INSERT: Yes / No]</w:t>
            </w:r>
          </w:p>
        </w:tc>
      </w:tr>
      <w:tr>
        <w:tc>
          <w:tcPr/>
          <w:p>
            <w:pPr>
              <w:pStyle w:val="TableContents"/>
            </w:pPr>
            <w:r>
              <w:rPr>
                <w:b/>
                <w:bCs/>
                <w:color w:val="0059D1"/>
              </w:rPr>
              <w:t>[INSERT: project-specific trigger]</w:t>
            </w:r>
          </w:p>
        </w:tc>
        <w:tc>
          <w:tcPr/>
          <w:p>
            <w:pPr>
              <w:pStyle w:val="TableContents"/>
            </w:pPr>
            <w:r>
              <w:rPr>
                <w:b/>
                <w:bCs/>
                <w:color w:val="0059D1"/>
              </w:rPr>
              <w:t>[INSERT: JMP mandatory / Risk assessment required]</w:t>
            </w:r>
          </w:p>
        </w:tc>
        <w:tc>
          <w:tcPr/>
          <w:p>
            <w:pPr>
              <w:pStyle w:val="TableContents"/>
            </w:pPr>
            <w:r>
              <w:rPr>
                <w:b/>
                <w:bCs/>
                <w:color w:val="0059D1"/>
              </w:rPr>
              <w:t>[INSERT: Yes / No]</w:t>
            </w:r>
          </w:p>
        </w:tc>
      </w:tr>
    </w:tbl>
    <w:p>
      <w:pPr>
        <w:pStyle w:val="Default"/>
      </w:pPr>
    </w:p>
    <w:p>
      <w:pPr>
        <w:pStyle w:val="Heading2Numbered"/>
      </w:pPr>
      <w:r>
        <w:t>7.2  Journey Management Plan — Minimum Content</w:t>
      </w:r>
    </w:p>
    <w:p>
      <w:pPr>
        <w:pStyle w:val="NormalNumberedtext"/>
      </w:pPr>
      <w:r>
        <w:t>All Journey Management Plans must address the minimum content requirements defined in this section before departure is authorised.</w:t>
      </w:r>
    </w:p>
    <w:p>
      <w:pPr>
        <w:pStyle w:val="NormalNumberedtext"/>
      </w:pPr>
      <w:r>
        <w:t>The person responsible for the journey prepares the JMP and submits it to their supervisor for approval before the journey departs. No high-risk journey may commence without an approved JMP. The JMP is retained in the project document management system for the duration of the journey and for a minimum of 12 months after journey completion.</w:t>
      </w:r>
    </w:p>
    <w:p>
      <w:pPr>
        <w:pStyle w:val="NormalNumberedtext"/>
      </w:pPr>
      <w:r>
        <w:t>Every Journey Management Plan must address the following minimum content requirements:</w:t>
      </w:r>
    </w:p>
    <w:p>
      <w:pPr>
        <w:pStyle w:val="NumberedBulletL1"/>
      </w:pPr>
      <w:r>
        <w:t>Route selection — nominated route, known hazards along the route, and any alternative route if the primary route becomes impassable</w:t>
      </w:r>
    </w:p>
    <w:p>
      <w:pPr>
        <w:pStyle w:val="NumberedBulletL1"/>
      </w:pPr>
      <w:r>
        <w:t>Fatigue risk assessment — departure time, estimated duration, driver hours accumulated, rest stop locations and intervals, and maximum driving hours before a mandatory rest</w:t>
      </w:r>
    </w:p>
    <w:p>
      <w:pPr>
        <w:pStyle w:val="NumberedBulletL1"/>
      </w:pPr>
      <w:r>
        <w:t>Live vehicle tracking — confirmation that the vehicle is equipped with an active IVMS tracking device and that the monitoring contact can see the vehicle position in real time</w:t>
      </w:r>
    </w:p>
    <w:p>
      <w:pPr>
        <w:pStyle w:val="NumberedBulletL1"/>
      </w:pPr>
      <w:r>
        <w:t>Communication protocols — check-in schedule, check-in method, nominated contact person, and the action the contact takes if a check-in is missed</w:t>
      </w:r>
    </w:p>
    <w:p>
      <w:pPr>
        <w:pStyle w:val="NumberedBulletL1"/>
      </w:pPr>
      <w:r>
        <w:t>Weather conditions — current and forecast weather along the route, and the threshold conditions at which the journey is suspended or the route is changed</w:t>
      </w:r>
    </w:p>
    <w:p>
      <w:pPr>
        <w:pStyle w:val="NumberedBulletL1"/>
      </w:pPr>
      <w:r>
        <w:t>Emergency response protocols — location of the nearest medical facility, emergency contact numbers, vehicle emergency equipment list, and the action taken if the vehicle is disabled or communication is lost</w:t>
      </w:r>
    </w:p>
    <w:p>
      <w:pPr>
        <w:pStyle w:val="NumberedBulletL1"/>
      </w:pPr>
      <w:r>
        <w:rPr>
          <w:color w:val="C55A11"/>
        </w:rPr>
        <w:t>Emergency supply provisions for remote journeys — minimum water, food, first aid kit, and signalling equipment carried in the vehicle based on the duration and remoteness of the journey</w:t>
      </w:r>
    </w:p>
    <w:p>
      <w:pPr>
        <w:pStyle w:val="NormalNumberedtext"/>
      </w:pPr>
      <w:r>
        <w:t>The monitoring contact must take immediate action if a scheduled check-in is missed. The response escalation sequence starts with an attempt to contact the driver by radio, then by mobile phone, then activation of the emergency response protocol for the journey if contact cannot be established within</w:t>
      </w:r>
    </w:p>
    <w:p>
      <w:pPr>
        <w:pStyle w:val="NormalNumberedtext"/>
      </w:pPr>
      <w:r>
        <w:rPr>
          <w:b/>
          <w:bCs/>
          <w:color w:val="0059D1"/>
        </w:rPr>
        <w:t>[INSERT: missed_checkin_response_time] — e.g. 30 minutes of the scheduled check-in time</w:t>
      </w:r>
    </w:p>
    <w:p>
      <w:pPr>
        <w:pStyle w:val="NormalNumberedtext"/>
      </w:pPr>
      <w:r>
        <w:t>Refer RTPR-HSE-PRO-0031 for the traffic management planning framework that governs on-site journey routes. Refer RTPR-HSE-PRO-0006 for the fatigue management requirements that inform JMP fatigue risk content.</w:t>
      </w:r>
    </w:p>
    <w:p>
      <w:pPr>
        <w:pStyle w:val="Heading1Numbered"/>
      </w:pPr>
      <w:r>
        <w:t>8  Traffic Management, Segregation, and Parking</w:t>
      </w:r>
    </w:p>
    <w:p>
      <w:pPr>
        <w:pStyle w:val="NormalNumberedtext"/>
      </w:pPr>
      <w:r>
        <w:t>This section defines the segregation hierarchy for vehicles, plant, and pedestrians, the requirements for road design and maintenance, and the parking standards that apply across the project.</w:t>
      </w:r>
    </w:p>
    <w:p>
      <w:pPr>
        <w:pStyle w:val="Heading2Numbered"/>
      </w:pPr>
      <w:r>
        <w:t>8.1  Segregation of Vehicles, Plant, and Pedestrians</w:t>
      </w:r>
    </w:p>
    <w:p>
      <w:pPr>
        <w:pStyle w:val="NormalNumberedtext"/>
      </w:pPr>
      <w:r>
        <w:t>Physical segregation between PME, light vehicles, and pedestrians is the preferred control and must be applied wherever practicable.</w:t>
      </w:r>
    </w:p>
    <w:p>
      <w:pPr>
        <w:pStyle w:val="NormalNumberedtext"/>
      </w:pPr>
      <w:r>
        <w:t>The Project Manager ensures the traffic management planning for this project applies physical segregation as the preferred control for separating PME, light vehicles, and pedestrians. Physical segregation includes dedicated haul roads for PME, separate light vehicle access roads, and fenced or barriered pedestrian paths. Refer RTPR-HSE-PRO-0031 for the full traffic management planning requirements.</w:t>
      </w:r>
    </w:p>
    <w:p>
      <w:pPr>
        <w:pStyle w:val="NormalNumberedtext"/>
      </w:pPr>
      <w:r>
        <w:t>Where physical segregation cannot be achieved, the following alternative separation methods apply, in order of preference. No alternative to physical segregation is implemented without a documented risk assessment under RTPR-HSE-PRO-0002.</w:t>
      </w:r>
    </w:p>
    <w:p>
      <w:pPr>
        <w:pStyle w:val="NormalNumberedtext"/>
      </w:pPr>
      <w:r>
        <w:t>Where physical segregation is not practicable, the following separation controls are applied:</w:t>
      </w:r>
    </w:p>
    <w:p>
      <w:pPr>
        <w:pStyle w:val="NumberedBulletL1"/>
      </w:pPr>
      <w:r>
        <w:t>50-metre exclusion zones around operating PME, controlled by positive communication as defined in Section 5</w:t>
      </w:r>
    </w:p>
    <w:p>
      <w:pPr>
        <w:pStyle w:val="NumberedBulletL1"/>
      </w:pPr>
      <w:r>
        <w:t>Dedicated pedestrian crossings with controlled access points and clear sightlines in both directions</w:t>
      </w:r>
    </w:p>
    <w:p>
      <w:pPr>
        <w:pStyle w:val="NumberedBulletL1"/>
      </w:pPr>
      <w:r>
        <w:rPr>
          <w:color w:val="C55A11"/>
        </w:rPr>
        <w:t>Spotter or banksman control at intersection points where sightlines are restricted — the spotter holds a documented authorisation and operates under a defined communications protocol</w:t>
      </w:r>
    </w:p>
    <w:p>
      <w:pPr>
        <w:pStyle w:val="NumberedBulletL1"/>
      </w:pPr>
      <w:r>
        <w:t>Permit to Work for pedestrian access to restricted vehicle areas — raise a permit via the site PTW system before commencing work, refer RTPR-HSE-PRO-0021</w:t>
      </w:r>
    </w:p>
    <w:p>
      <w:pPr>
        <w:pStyle w:val="Heading2Numbered"/>
      </w:pPr>
      <w:r>
        <w:t>8.2  Road Design and Maintenance</w:t>
      </w:r>
    </w:p>
    <w:p>
      <w:pPr>
        <w:pStyle w:val="NormalNumberedtext"/>
      </w:pPr>
      <w:r>
        <w:t>All roads used by project vehicles must be designed and maintained to a standard appropriate to the traffic they carry.</w:t>
      </w:r>
    </w:p>
    <w:p>
      <w:pPr>
        <w:pStyle w:val="NormalNumberedtext"/>
      </w:pPr>
      <w:r>
        <w:t>All haul roads, access roads, and ramps used by project vehicles must be designed and maintained by a competent person. The Project Manager ensures a documented road inspection and maintenance schedule is in place before vehicle operations commence and that inspections are completed at the scheduled frequency.</w:t>
      </w:r>
    </w:p>
    <w:p>
      <w:pPr>
        <w:pStyle w:val="NormalNumberedtext"/>
      </w:pPr>
      <w:r>
        <w:t>Road defects identified during inspection that affect vehicle stability or safety must be repaired before traffic resumes on the affected section, or that section must be closed and physically barricaded until repairs are complete.</w:t>
      </w:r>
    </w:p>
    <w:p>
      <w:pPr>
        <w:pStyle w:val="Heading2Numbered"/>
      </w:pPr>
      <w:r>
        <w:t>8.3  Downhill Haulage Ramp Register</w:t>
      </w:r>
    </w:p>
    <w:p>
      <w:pPr>
        <w:pStyle w:val="NormalNumberedtext"/>
      </w:pPr>
      <w:r>
        <w:t>A Ramp Register must be established and maintained for all downhill haulage ramps before HME operations commence.</w:t>
      </w:r>
    </w:p>
    <w:p>
      <w:pPr>
        <w:pStyle w:val="NormalNumberedtext"/>
      </w:pPr>
      <w:r>
        <w:t>Where this project involves downhill haul roads, the Project Manager ensures the Ramp Register is populated before any HME operates on those ramps. The Ramp Register documents each ramp on the project, including the gradient verified by a competent person, the maximum permitted vehicle speed, the RSC setting applicable to each HME type, and the emergency runoff provisions.</w:t>
      </w:r>
    </w:p>
    <w:tbl>
      <w:tblPr>
        <w:tblStyle w:val="TableOption1"/>
        <w:tblW w:type="pct" w:w="5000"/>
      </w:tblPr>
      <w:tr>
        <w:tc>
          <w:tcPr>
            <w:shd w:val="clear" w:color="auto" w:fill="FFF2CC"/>
          </w:tcPr>
          <w:p>
            <w:pPr>
              <w:pStyle w:val="Instructions"/>
            </w:pPr>
            <w:r>
              <w:rPr>
                <w:b/>
                <w:bCs/>
                <w:color w:val="C55A11"/>
              </w:rPr>
              <w:t>PROJECT COMPLETION — RAMP REGISTER: If this project involves downhill haul roads, populate Table 5 before HME operations commence. Gradient verification must be completed by a competent person (surveyor or geotechnical engineer). If this project does not involve downhill haul roads, retain the table with a notation that no downhill haul ramps exist on the project.</w:t>
            </w:r>
          </w:p>
        </w:tc>
      </w:tr>
    </w:tbl>
    <w:p>
      <w:pPr>
        <w:pStyle w:val="Default"/>
      </w:pPr>
    </w:p>
    <w:p>
      <w:pPr>
        <w:pStyle w:val="NormalNumberedtext"/>
      </w:pPr>
      <w:r>
        <w:t>Table 5: Downhill Haulage Ramp Register</w:t>
      </w:r>
    </w:p>
    <w:tbl>
      <w:tblPr>
        <w:tblStyle w:val="TableOption2"/>
        <w:tblW w:type="pct" w:w="5000"/>
      </w:tblPr>
      <w:tr>
        <w:trPr>
          <w:tblHeader/>
        </w:trPr>
        <w:tc>
          <w:tcPr>
            <w:shd w:val="clear" w:color="auto" w:fill="1F3864"/>
          </w:tcPr>
          <w:p>
            <w:pPr>
              <w:pStyle w:val="TableContents"/>
            </w:pPr>
            <w:r>
              <w:rPr>
                <w:b/>
                <w:bCs/>
                <w:color w:val="FFFFFF"/>
              </w:rPr>
              <w:t>Ramp Identifier</w:t>
            </w:r>
          </w:p>
        </w:tc>
        <w:tc>
          <w:tcPr>
            <w:shd w:val="clear" w:color="auto" w:fill="1F3864"/>
          </w:tcPr>
          <w:p>
            <w:pPr>
              <w:pStyle w:val="TableContents"/>
            </w:pPr>
            <w:r>
              <w:rPr>
                <w:b/>
                <w:bCs/>
                <w:color w:val="FFFFFF"/>
              </w:rPr>
              <w:t>Location Description</w:t>
            </w:r>
          </w:p>
        </w:tc>
        <w:tc>
          <w:tcPr>
            <w:shd w:val="clear" w:color="auto" w:fill="1F3864"/>
          </w:tcPr>
          <w:p>
            <w:pPr>
              <w:pStyle w:val="TableContents"/>
            </w:pPr>
            <w:r>
              <w:rPr>
                <w:b/>
                <w:bCs/>
                <w:color w:val="FFFFFF"/>
              </w:rPr>
              <w:t>Design Gradient (%)</w:t>
            </w:r>
          </w:p>
        </w:tc>
        <w:tc>
          <w:tcPr>
            <w:shd w:val="clear" w:color="auto" w:fill="1F3864"/>
          </w:tcPr>
          <w:p>
            <w:pPr>
              <w:pStyle w:val="TableContents"/>
            </w:pPr>
            <w:r>
              <w:rPr>
                <w:b/>
                <w:bCs/>
                <w:color w:val="FFFFFF"/>
              </w:rPr>
              <w:t>Verified Gradient (%) — Competent Person</w:t>
            </w:r>
          </w:p>
        </w:tc>
        <w:tc>
          <w:tcPr>
            <w:shd w:val="clear" w:color="auto" w:fill="1F3864"/>
          </w:tcPr>
          <w:p>
            <w:pPr>
              <w:pStyle w:val="TableContents"/>
            </w:pPr>
            <w:r>
              <w:rPr>
                <w:b/>
                <w:bCs/>
                <w:color w:val="FFFFFF"/>
              </w:rPr>
              <w:t>Verification Date</w:t>
            </w:r>
          </w:p>
        </w:tc>
        <w:tc>
          <w:tcPr>
            <w:shd w:val="clear" w:color="auto" w:fill="1F3864"/>
          </w:tcPr>
          <w:p>
            <w:pPr>
              <w:pStyle w:val="TableContents"/>
            </w:pPr>
            <w:r>
              <w:rPr>
                <w:b/>
                <w:bCs/>
                <w:color w:val="FFFFFF"/>
              </w:rPr>
              <w:t>Max Permitted Speed (km/h)</w:t>
            </w:r>
          </w:p>
        </w:tc>
        <w:tc>
          <w:tcPr>
            <w:shd w:val="clear" w:color="auto" w:fill="1F3864"/>
          </w:tcPr>
          <w:p>
            <w:pPr>
              <w:pStyle w:val="TableContents"/>
            </w:pPr>
            <w:r>
              <w:rPr>
                <w:b/>
                <w:bCs/>
                <w:color w:val="FFFFFF"/>
              </w:rPr>
              <w:t>Applicable HME Types</w:t>
            </w:r>
          </w:p>
        </w:tc>
        <w:tc>
          <w:tcPr>
            <w:shd w:val="clear" w:color="auto" w:fill="1F3864"/>
          </w:tcPr>
          <w:p>
            <w:pPr>
              <w:pStyle w:val="TableContents"/>
            </w:pPr>
            <w:r>
              <w:rPr>
                <w:b/>
                <w:bCs/>
                <w:color w:val="FFFFFF"/>
              </w:rPr>
              <w:t>RSC Setting</w:t>
            </w:r>
          </w:p>
        </w:tc>
        <w:tc>
          <w:tcPr>
            <w:shd w:val="clear" w:color="auto" w:fill="1F3864"/>
          </w:tcPr>
          <w:p>
            <w:pPr>
              <w:pStyle w:val="TableContents"/>
            </w:pPr>
            <w:r>
              <w:rPr>
                <w:b/>
                <w:bCs/>
                <w:color w:val="FFFFFF"/>
              </w:rPr>
              <w:t>Emergency Runoff Provision</w:t>
            </w:r>
          </w:p>
        </w:tc>
        <w:tc>
          <w:tcPr>
            <w:shd w:val="clear" w:color="auto" w:fill="1F3864"/>
          </w:tcPr>
          <w:p>
            <w:pPr>
              <w:pStyle w:val="TableContents"/>
            </w:pPr>
            <w:r>
              <w:rPr>
                <w:b/>
                <w:bCs/>
                <w:color w:val="FFFFFF"/>
              </w:rPr>
              <w:t>Last Inspection Date</w:t>
            </w:r>
          </w:p>
        </w:tc>
      </w:tr>
      <w:tr>
        <w:tc>
          <w:tcPr/>
          <w:p>
            <w:pPr>
              <w:pStyle w:val="TableContents"/>
            </w:pPr>
            <w:r>
              <w:rPr>
                <w:b/>
                <w:bCs/>
                <w:color w:val="0059D1"/>
              </w:rPr>
              <w:t>[INSERT: ramp ID]</w:t>
            </w:r>
          </w:p>
        </w:tc>
        <w:tc>
          <w:tcPr/>
          <w:p>
            <w:pPr>
              <w:pStyle w:val="TableContents"/>
            </w:pPr>
            <w:r>
              <w:rPr>
                <w:b/>
                <w:bCs/>
                <w:color w:val="0059D1"/>
              </w:rPr>
              <w:t>[INSERT: location]</w:t>
            </w:r>
          </w:p>
        </w:tc>
        <w:tc>
          <w:tcPr/>
          <w:p>
            <w:pPr>
              <w:pStyle w:val="TableContents"/>
            </w:pPr>
            <w:r>
              <w:rPr>
                <w:b/>
                <w:bCs/>
                <w:color w:val="0059D1"/>
              </w:rPr>
              <w:t>[INSERT: design %]</w:t>
            </w:r>
          </w:p>
        </w:tc>
        <w:tc>
          <w:tcPr/>
          <w:p>
            <w:pPr>
              <w:pStyle w:val="TableContents"/>
            </w:pPr>
            <w:r>
              <w:rPr>
                <w:b/>
                <w:bCs/>
                <w:color w:val="0059D1"/>
              </w:rPr>
              <w:t>[INSERT: verified %]</w:t>
            </w:r>
          </w:p>
        </w:tc>
        <w:tc>
          <w:tcPr/>
          <w:p>
            <w:pPr>
              <w:pStyle w:val="TableContents"/>
            </w:pPr>
            <w:r>
              <w:rPr>
                <w:b/>
                <w:bCs/>
                <w:color w:val="0059D1"/>
              </w:rPr>
              <w:t>[INSERT: date]</w:t>
            </w:r>
          </w:p>
        </w:tc>
        <w:tc>
          <w:tcPr/>
          <w:p>
            <w:pPr>
              <w:pStyle w:val="TableContents"/>
            </w:pPr>
            <w:r>
              <w:rPr>
                <w:b/>
                <w:bCs/>
                <w:color w:val="0059D1"/>
              </w:rPr>
              <w:t>[INSERT: km/h]</w:t>
            </w:r>
          </w:p>
        </w:tc>
        <w:tc>
          <w:tcPr/>
          <w:p>
            <w:pPr>
              <w:pStyle w:val="TableContents"/>
            </w:pPr>
            <w:r>
              <w:rPr>
                <w:b/>
                <w:bCs/>
                <w:color w:val="0059D1"/>
              </w:rPr>
              <w:t>[INSERT: HME types]</w:t>
            </w:r>
          </w:p>
        </w:tc>
        <w:tc>
          <w:tcPr/>
          <w:p>
            <w:pPr>
              <w:pStyle w:val="TableContents"/>
            </w:pPr>
            <w:r>
              <w:rPr>
                <w:b/>
                <w:bCs/>
                <w:color w:val="0059D1"/>
              </w:rPr>
              <w:t>[INSERT: RSC setting]</w:t>
            </w:r>
          </w:p>
        </w:tc>
        <w:tc>
          <w:tcPr/>
          <w:p>
            <w:pPr>
              <w:pStyle w:val="TableContents"/>
            </w:pPr>
            <w:r>
              <w:rPr>
                <w:b/>
                <w:bCs/>
                <w:color w:val="0059D1"/>
              </w:rPr>
              <w:t>[INSERT: Yes / No / Description]</w:t>
            </w:r>
          </w:p>
        </w:tc>
        <w:tc>
          <w:tcPr/>
          <w:p>
            <w:pPr>
              <w:pStyle w:val="TableContents"/>
            </w:pPr>
            <w:r>
              <w:rPr>
                <w:b/>
                <w:bCs/>
                <w:color w:val="0059D1"/>
              </w:rPr>
              <w:t>[INSERT: date]</w:t>
            </w:r>
          </w:p>
        </w:tc>
      </w:tr>
      <w:tr>
        <w:tc>
          <w:tcPr/>
          <w:p>
            <w:pPr>
              <w:pStyle w:val="TableContents"/>
            </w:pPr>
            <w:r>
              <w:rPr>
                <w:b/>
                <w:bCs/>
                <w:color w:val="0059D1"/>
              </w:rPr>
              <w:t>[INSERT: ramp ID]</w:t>
            </w:r>
          </w:p>
        </w:tc>
        <w:tc>
          <w:tcPr/>
          <w:p>
            <w:pPr>
              <w:pStyle w:val="TableContents"/>
            </w:pPr>
            <w:r>
              <w:rPr>
                <w:b/>
                <w:bCs/>
                <w:color w:val="0059D1"/>
              </w:rPr>
              <w:t>[INSERT: location]</w:t>
            </w:r>
          </w:p>
        </w:tc>
        <w:tc>
          <w:tcPr/>
          <w:p>
            <w:pPr>
              <w:pStyle w:val="TableContents"/>
            </w:pPr>
            <w:r>
              <w:rPr>
                <w:b/>
                <w:bCs/>
                <w:color w:val="0059D1"/>
              </w:rPr>
              <w:t>[INSERT: design %]</w:t>
            </w:r>
          </w:p>
        </w:tc>
        <w:tc>
          <w:tcPr/>
          <w:p>
            <w:pPr>
              <w:pStyle w:val="TableContents"/>
            </w:pPr>
            <w:r>
              <w:rPr>
                <w:b/>
                <w:bCs/>
                <w:color w:val="0059D1"/>
              </w:rPr>
              <w:t>[INSERT: verified %]</w:t>
            </w:r>
          </w:p>
        </w:tc>
        <w:tc>
          <w:tcPr/>
          <w:p>
            <w:pPr>
              <w:pStyle w:val="TableContents"/>
            </w:pPr>
            <w:r>
              <w:rPr>
                <w:b/>
                <w:bCs/>
                <w:color w:val="0059D1"/>
              </w:rPr>
              <w:t>[INSERT: date]</w:t>
            </w:r>
          </w:p>
        </w:tc>
        <w:tc>
          <w:tcPr/>
          <w:p>
            <w:pPr>
              <w:pStyle w:val="TableContents"/>
            </w:pPr>
            <w:r>
              <w:rPr>
                <w:b/>
                <w:bCs/>
                <w:color w:val="0059D1"/>
              </w:rPr>
              <w:t>[INSERT: km/h]</w:t>
            </w:r>
          </w:p>
        </w:tc>
        <w:tc>
          <w:tcPr/>
          <w:p>
            <w:pPr>
              <w:pStyle w:val="TableContents"/>
            </w:pPr>
            <w:r>
              <w:rPr>
                <w:b/>
                <w:bCs/>
                <w:color w:val="0059D1"/>
              </w:rPr>
              <w:t>[INSERT: HME types]</w:t>
            </w:r>
          </w:p>
        </w:tc>
        <w:tc>
          <w:tcPr/>
          <w:p>
            <w:pPr>
              <w:pStyle w:val="TableContents"/>
            </w:pPr>
            <w:r>
              <w:rPr>
                <w:b/>
                <w:bCs/>
                <w:color w:val="0059D1"/>
              </w:rPr>
              <w:t>[INSERT: RSC setting]</w:t>
            </w:r>
          </w:p>
        </w:tc>
        <w:tc>
          <w:tcPr/>
          <w:p>
            <w:pPr>
              <w:pStyle w:val="TableContents"/>
            </w:pPr>
            <w:r>
              <w:rPr>
                <w:b/>
                <w:bCs/>
                <w:color w:val="0059D1"/>
              </w:rPr>
              <w:t>[INSERT: Yes / No / Description]</w:t>
            </w:r>
          </w:p>
        </w:tc>
        <w:tc>
          <w:tcPr/>
          <w:p>
            <w:pPr>
              <w:pStyle w:val="TableContents"/>
            </w:pPr>
            <w:r>
              <w:rPr>
                <w:b/>
                <w:bCs/>
                <w:color w:val="0059D1"/>
              </w:rPr>
              <w:t>[INSERT: date]</w:t>
            </w:r>
          </w:p>
        </w:tc>
      </w:tr>
    </w:tbl>
    <w:p>
      <w:pPr>
        <w:pStyle w:val="Default"/>
      </w:pPr>
    </w:p>
    <w:p>
      <w:pPr>
        <w:pStyle w:val="Heading2Numbered"/>
      </w:pPr>
      <w:r>
        <w:t>8.4  Fundamentally Stable Parking Requirements</w:t>
      </w:r>
    </w:p>
    <w:p>
      <w:pPr>
        <w:pStyle w:val="NormalNumberedtext"/>
      </w:pPr>
      <w:r>
        <w:t>All vehicles and plant must be parked in a fundamentally stable state whenever they are unattended or the operator is absent from the controls.</w:t>
      </w:r>
    </w:p>
    <w:p>
      <w:pPr>
        <w:pStyle w:val="NormalNumberedtext"/>
      </w:pPr>
      <w:r>
        <w:t>The operator of every vehicle or item of plant must ensure the equipment is in a fundamentally stable state before leaving the cab or the operating position. A fundamentally stable parked state means the vehicle or equipment will remain stationary under all foreseeable site conditions without operator intervention.</w:t>
      </w:r>
    </w:p>
    <w:p>
      <w:pPr>
        <w:pStyle w:val="NormalNumberedtext"/>
      </w:pPr>
      <w:r>
        <w:t>A fundamentally stable parked state requires all of the following:</w:t>
      </w:r>
    </w:p>
    <w:p>
      <w:pPr>
        <w:pStyle w:val="NumberedBulletL1"/>
      </w:pPr>
      <w:r>
        <w:t>Park brake fully engaged</w:t>
      </w:r>
    </w:p>
    <w:p>
      <w:pPr>
        <w:pStyle w:val="NumberedBulletL1"/>
      </w:pPr>
      <w:r>
        <w:t>Wheel chocks applied where required by the equipment type, the site gradient, or the equipment risk assessment</w:t>
      </w:r>
    </w:p>
    <w:p>
      <w:pPr>
        <w:pStyle w:val="NumberedBulletL1"/>
      </w:pPr>
      <w:r>
        <w:t>Ignition off and key removed when the operator is absent — unless a specific operational requirement for engine-running parking has been risk-assessed and documented</w:t>
      </w:r>
    </w:p>
    <w:p>
      <w:pPr>
        <w:pStyle w:val="NumberedBulletL1"/>
      </w:pPr>
      <w:r>
        <w:t>Equipment parked in a designated area that is appropriate for the vehicle type and size</w:t>
      </w:r>
    </w:p>
    <w:p>
      <w:pPr>
        <w:pStyle w:val="NumberedBulletL1"/>
      </w:pPr>
      <w:r>
        <w:t>No part of the vehicle or its load overhanging a berm edge, drainage channel, or area accessible to other vehicles or pedestrians</w:t>
      </w:r>
    </w:p>
    <w:p>
      <w:pPr>
        <w:pStyle w:val="NormalNumberedtext"/>
      </w:pPr>
      <w:r>
        <w:t>The requirement to leave the ignition running while the operator is absent must be supported by a documented risk assessment. The risk assessment must confirm the residual risk of running parking is lower than the risk of a cold-start or restart failure in the operational context, and must define the specific controls that prevent unintended movement.</w:t>
      </w:r>
    </w:p>
    <w:p>
      <w:pPr>
        <w:pStyle w:val="Heading1Numbered"/>
      </w:pPr>
      <w:r>
        <w:t>9  In-Vehicle Monitoring System Requirements</w:t>
      </w:r>
    </w:p>
    <w:p>
      <w:pPr>
        <w:pStyle w:val="NormalNumberedtext"/>
      </w:pPr>
      <w:r>
        <w:t>This section defines the IVMS requirements for project vehicles, the minimum monitoring parameters, and the project-level monitoring governance that applies to IVMS data.</w:t>
      </w:r>
    </w:p>
    <w:p>
      <w:pPr>
        <w:pStyle w:val="Heading2Numbered"/>
      </w:pPr>
      <w:r>
        <w:t>9.1  IVMS Installation and Minimum Monitoring Parameters</w:t>
      </w:r>
    </w:p>
    <w:p>
      <w:pPr>
        <w:pStyle w:val="NormalNumberedtext"/>
      </w:pPr>
      <w:r>
        <w:t>All mass transport vehicles must be fitted with an active IVMS before commencing operations. Other vehicle types are subject to the risk-based requirements defined in this section.</w:t>
      </w:r>
    </w:p>
    <w:p>
      <w:pPr>
        <w:pStyle w:val="NormalNumberedtext"/>
      </w:pPr>
      <w:r>
        <w:t>All mass transport vehicles operating on this project must be equipped with an IVMS that is active and transmitting data before the vehicle commences any journey. IVMS must be integrated with an in-vehicle camera covering the front windscreen view and the driver position. The Project Manager verifies IVMS installation and activation for all mass transport vehicles in Table 1 before those vehicles enter service.</w:t>
      </w:r>
    </w:p>
    <w:p>
      <w:pPr>
        <w:pStyle w:val="NormalNumberedtext"/>
      </w:pPr>
      <w:r>
        <w:t>The IVMS installed in mass transport vehicles must, at a minimum, monitor and alert for:</w:t>
      </w:r>
    </w:p>
    <w:p>
      <w:pPr>
        <w:pStyle w:val="NumberedBulletL1"/>
      </w:pPr>
      <w:r>
        <w:t>Speed limit breaches — the system alerts the driver and records the breach event with timestamp, location, and vehicle identity</w:t>
      </w:r>
    </w:p>
    <w:p>
      <w:pPr>
        <w:pStyle w:val="NumberedBulletL1"/>
      </w:pPr>
      <w:r>
        <w:t>Seatbelt non-compliance — the system alerts the driver and records a non-compliance event when any seatbelt in the vehicle is unlatched while the vehicle is in motion</w:t>
      </w:r>
    </w:p>
    <w:p>
      <w:pPr>
        <w:pStyle w:val="NumberedBulletL1"/>
      </w:pPr>
      <w:r>
        <w:t>Harsh acceleration or braking events — the system records the event with the applicable g-force threshold, timestamp, and location</w:t>
      </w:r>
    </w:p>
    <w:p>
      <w:pPr>
        <w:pStyle w:val="NormalNumberedtext"/>
      </w:pPr>
      <w:r>
        <w:t>The IVMS provider must supply documented evidence that the system meets the above monitoring parameters before the system is approved for use on the project. The IVMS specification and approval record is retained in the project document management system.</w:t>
      </w:r>
    </w:p>
    <w:p>
      <w:pPr>
        <w:pStyle w:val="Heading2Numbered"/>
      </w:pPr>
      <w:r>
        <w:t>9.2  IVMS Monitoring Governance</w:t>
      </w:r>
    </w:p>
    <w:p>
      <w:pPr>
        <w:pStyle w:val="NormalNumberedtext"/>
      </w:pPr>
      <w:r>
        <w:t>The project defines the roles, frequency, and escalation process for monitoring and acting on IVMS data.</w:t>
      </w:r>
    </w:p>
    <w:tbl>
      <w:tblPr>
        <w:tblStyle w:val="TableOption1"/>
        <w:tblW w:type="pct" w:w="5000"/>
      </w:tblPr>
      <w:tr>
        <w:tc>
          <w:tcPr>
            <w:shd w:val="clear" w:color="auto" w:fill="FFF2CC"/>
          </w:tcPr>
          <w:p>
            <w:pPr>
              <w:pStyle w:val="Instructions"/>
            </w:pPr>
            <w:r>
              <w:rPr>
                <w:b/>
                <w:bCs/>
                <w:color w:val="C55A11"/>
              </w:rPr>
              <w:t>PROJECT COMPLETION — IVMS MONITORING GOVERNANCE: Complete the fields below to define who monitors IVMS data on this project, at what frequency they review the data, and what threshold events trigger investigation or disciplinary action. The requirement for IVMS is fixed — the project specifies the monitoring governance.</w:t>
            </w:r>
          </w:p>
        </w:tc>
      </w:tr>
    </w:tbl>
    <w:p>
      <w:pPr>
        <w:pStyle w:val="Default"/>
      </w:pPr>
    </w:p>
    <w:p>
      <w:pPr>
        <w:pStyle w:val="NormalNumberedtext"/>
      </w:pPr>
      <w:r>
        <w:t xml:space="preserve">IVMS data for all project mass transport vehicles is monitored by </w:t>
      </w:r>
    </w:p>
    <w:p>
      <w:pPr>
        <w:pStyle w:val="NormalNumberedtext"/>
      </w:pPr>
      <w:r>
        <w:rPr>
          <w:b/>
          <w:bCs/>
          <w:color w:val="0059D1"/>
        </w:rPr>
        <w:t>[INSERT: ivms_monitoring_role] — e.g. the Fleet Supervisor or HSESC Coordinator</w:t>
      </w:r>
    </w:p>
    <w:p>
      <w:pPr>
        <w:pStyle w:val="NormalNumberedtext"/>
      </w:pPr>
      <w:r>
        <w:t xml:space="preserve">. Data reviews are conducted at a minimum frequency of </w:t>
      </w:r>
    </w:p>
    <w:p>
      <w:pPr>
        <w:pStyle w:val="NormalNumberedtext"/>
      </w:pPr>
      <w:r>
        <w:rPr>
          <w:b/>
          <w:bCs/>
          <w:color w:val="0059D1"/>
        </w:rPr>
        <w:t>[INSERT: ivms_review_frequency] — e.g. daily for threshold events, weekly for trend analysis</w:t>
      </w:r>
    </w:p>
    <w:p>
      <w:pPr>
        <w:pStyle w:val="NormalNumberedtext"/>
      </w:pPr>
      <w:r>
        <w:t>Table 6: IVMS Threshold Events and Response Requirements</w:t>
      </w:r>
    </w:p>
    <w:tbl>
      <w:tblPr>
        <w:tblStyle w:val="TableOption2"/>
        <w:tblW w:type="pct" w:w="5000"/>
      </w:tblPr>
      <w:tr>
        <w:trPr>
          <w:tblHeader/>
        </w:trPr>
        <w:tc>
          <w:tcPr>
            <w:shd w:val="clear" w:color="auto" w:fill="1F3864"/>
          </w:tcPr>
          <w:p>
            <w:pPr>
              <w:pStyle w:val="TableContents"/>
            </w:pPr>
            <w:r>
              <w:rPr>
                <w:b/>
                <w:bCs/>
                <w:color w:val="FFFFFF"/>
              </w:rPr>
              <w:t>Event Type</w:t>
            </w:r>
          </w:p>
        </w:tc>
        <w:tc>
          <w:tcPr>
            <w:shd w:val="clear" w:color="auto" w:fill="1F3864"/>
          </w:tcPr>
          <w:p>
            <w:pPr>
              <w:pStyle w:val="TableContents"/>
            </w:pPr>
            <w:r>
              <w:rPr>
                <w:b/>
                <w:bCs/>
                <w:color w:val="FFFFFF"/>
              </w:rPr>
              <w:t>Threshold</w:t>
            </w:r>
          </w:p>
        </w:tc>
        <w:tc>
          <w:tcPr>
            <w:shd w:val="clear" w:color="auto" w:fill="1F3864"/>
          </w:tcPr>
          <w:p>
            <w:pPr>
              <w:pStyle w:val="TableContents"/>
            </w:pPr>
            <w:r>
              <w:rPr>
                <w:b/>
                <w:bCs/>
                <w:color w:val="FFFFFF"/>
              </w:rPr>
              <w:t>Immediate Action</w:t>
            </w:r>
          </w:p>
        </w:tc>
        <w:tc>
          <w:tcPr>
            <w:shd w:val="clear" w:color="auto" w:fill="1F3864"/>
          </w:tcPr>
          <w:p>
            <w:pPr>
              <w:pStyle w:val="TableContents"/>
            </w:pPr>
            <w:r>
              <w:rPr>
                <w:b/>
                <w:bCs/>
                <w:color w:val="FFFFFF"/>
              </w:rPr>
              <w:t>Investigation Required</w:t>
            </w:r>
          </w:p>
        </w:tc>
        <w:tc>
          <w:tcPr>
            <w:shd w:val="clear" w:color="auto" w:fill="1F3864"/>
          </w:tcPr>
          <w:p>
            <w:pPr>
              <w:pStyle w:val="TableContents"/>
            </w:pPr>
            <w:r>
              <w:rPr>
                <w:b/>
                <w:bCs/>
                <w:color w:val="FFFFFF"/>
              </w:rPr>
              <w:t>Escalation To</w:t>
            </w:r>
          </w:p>
        </w:tc>
      </w:tr>
      <w:tr>
        <w:tc>
          <w:tcPr/>
          <w:p>
            <w:pPr>
              <w:pStyle w:val="TableContents"/>
            </w:pPr>
            <w:r>
              <w:t>Speed limit breach</w:t>
            </w:r>
          </w:p>
        </w:tc>
        <w:tc>
          <w:tcPr/>
          <w:p>
            <w:pPr>
              <w:pStyle w:val="TableContents"/>
            </w:pPr>
            <w:r>
              <w:t>{'text': 'Any exceedance of the posted site speed limit', 'suggested': True}</w:t>
            </w:r>
          </w:p>
        </w:tc>
        <w:tc>
          <w:tcPr/>
          <w:p>
            <w:pPr>
              <w:pStyle w:val="TableContents"/>
            </w:pPr>
            <w:r>
              <w:t>Driver notified by monitoring role at next available opportunity; repeated breach addressed at shift end</w:t>
            </w:r>
          </w:p>
        </w:tc>
        <w:tc>
          <w:tcPr/>
          <w:p>
            <w:pPr>
              <w:pStyle w:val="TableContents"/>
            </w:pPr>
            <w:r>
              <w:t>Yes — if three or more events in one shift</w:t>
            </w:r>
          </w:p>
        </w:tc>
        <w:tc>
          <w:tcPr/>
          <w:p>
            <w:pPr>
              <w:pStyle w:val="TableContents"/>
            </w:pPr>
            <w:r>
              <w:rPr>
                <w:b/>
                <w:bCs/>
                <w:color w:val="0059D1"/>
              </w:rPr>
              <w:t>[INSERT: role — e.g. Fleet Supervisor]</w:t>
            </w:r>
          </w:p>
        </w:tc>
      </w:tr>
      <w:tr>
        <w:tc>
          <w:tcPr/>
          <w:p>
            <w:pPr>
              <w:pStyle w:val="TableContents"/>
            </w:pPr>
            <w:r>
              <w:t>Seatbelt non-compliance</w:t>
            </w:r>
          </w:p>
        </w:tc>
        <w:tc>
          <w:tcPr/>
          <w:p>
            <w:pPr>
              <w:pStyle w:val="TableContents"/>
            </w:pPr>
            <w:r>
              <w:t>Any unlatched seatbelt while vehicle in motion</w:t>
            </w:r>
          </w:p>
        </w:tc>
        <w:tc>
          <w:tcPr/>
          <w:p>
            <w:pPr>
              <w:pStyle w:val="TableContents"/>
            </w:pPr>
            <w:r>
              <w:t>Driver removed from mass transport duties pending investigation</w:t>
            </w:r>
          </w:p>
        </w:tc>
        <w:tc>
          <w:tcPr/>
          <w:p>
            <w:pPr>
              <w:pStyle w:val="TableContents"/>
            </w:pPr>
            <w:r>
              <w:t>Yes — every event</w:t>
            </w:r>
          </w:p>
        </w:tc>
        <w:tc>
          <w:tcPr/>
          <w:p>
            <w:pPr>
              <w:pStyle w:val="TableContents"/>
            </w:pPr>
            <w:r>
              <w:rPr>
                <w:b/>
                <w:bCs/>
                <w:color w:val="0059D1"/>
              </w:rPr>
              <w:t>[INSERT: role]</w:t>
            </w:r>
          </w:p>
        </w:tc>
      </w:tr>
      <w:tr>
        <w:tc>
          <w:tcPr/>
          <w:p>
            <w:pPr>
              <w:pStyle w:val="TableContents"/>
            </w:pPr>
            <w:r>
              <w:t>Harsh braking or acceleration</w:t>
            </w:r>
          </w:p>
        </w:tc>
        <w:tc>
          <w:tcPr/>
          <w:p>
            <w:pPr>
              <w:pStyle w:val="TableContents"/>
            </w:pPr>
            <w:r>
              <w:t>{'text': 'Event exceeding 0.4g longitudinal or lateral force', 'suggested': True}</w:t>
            </w:r>
          </w:p>
        </w:tc>
        <w:tc>
          <w:tcPr/>
          <w:p>
            <w:pPr>
              <w:pStyle w:val="TableContents"/>
            </w:pPr>
            <w:r>
              <w:t>Supervisor notified; vehicle and route inspected</w:t>
            </w:r>
          </w:p>
        </w:tc>
        <w:tc>
          <w:tcPr/>
          <w:p>
            <w:pPr>
              <w:pStyle w:val="TableContents"/>
            </w:pPr>
            <w:r>
              <w:t>Yes — if road condition or fatigue indicator</w:t>
            </w:r>
          </w:p>
        </w:tc>
        <w:tc>
          <w:tcPr/>
          <w:p>
            <w:pPr>
              <w:pStyle w:val="TableContents"/>
            </w:pPr>
            <w:r>
              <w:rPr>
                <w:b/>
                <w:bCs/>
                <w:color w:val="0059D1"/>
              </w:rPr>
              <w:t>[INSERT: role]</w:t>
            </w:r>
          </w:p>
        </w:tc>
      </w:tr>
      <w:tr>
        <w:tc>
          <w:tcPr/>
          <w:p>
            <w:pPr>
              <w:pStyle w:val="TableContents"/>
            </w:pPr>
            <w:r>
              <w:t>Loss of IVMS signal — vehicle on a live journey</w:t>
            </w:r>
          </w:p>
        </w:tc>
        <w:tc>
          <w:tcPr/>
          <w:p>
            <w:pPr>
              <w:pStyle w:val="TableContents"/>
            </w:pPr>
            <w:r>
              <w:t>Signal loss exceeding 15 minutes while vehicle in motion</w:t>
            </w:r>
          </w:p>
        </w:tc>
        <w:tc>
          <w:tcPr/>
          <w:p>
            <w:pPr>
              <w:pStyle w:val="TableContents"/>
            </w:pPr>
            <w:r>
              <w:t>Monitoring contact attempts to reach driver; JMP escalation procedure activated if contact fails</w:t>
            </w:r>
          </w:p>
        </w:tc>
        <w:tc>
          <w:tcPr/>
          <w:p>
            <w:pPr>
              <w:pStyle w:val="TableContents"/>
            </w:pPr>
            <w:r>
              <w:t>Yes — every event</w:t>
            </w:r>
          </w:p>
        </w:tc>
        <w:tc>
          <w:tcPr/>
          <w:p>
            <w:pPr>
              <w:pStyle w:val="TableContents"/>
            </w:pPr>
            <w:r>
              <w:rPr>
                <w:b/>
                <w:bCs/>
                <w:color w:val="0059D1"/>
              </w:rPr>
              <w:t>[INSERT: role]</w:t>
            </w:r>
          </w:p>
        </w:tc>
      </w:tr>
      <w:tr>
        <w:tc>
          <w:tcPr/>
          <w:p>
            <w:pPr>
              <w:pStyle w:val="TableContents"/>
            </w:pPr>
            <w:r>
              <w:rPr>
                <w:b/>
                <w:bCs/>
                <w:color w:val="0059D1"/>
              </w:rPr>
              <w:t>[INSERT: additional event type]</w:t>
            </w:r>
          </w:p>
        </w:tc>
        <w:tc>
          <w:tcPr/>
          <w:p>
            <w:pPr>
              <w:pStyle w:val="TableContents"/>
            </w:pPr>
            <w:r>
              <w:rPr>
                <w:b/>
                <w:bCs/>
                <w:color w:val="0059D1"/>
              </w:rPr>
              <w:t>[INSERT: threshold]</w:t>
            </w:r>
          </w:p>
        </w:tc>
        <w:tc>
          <w:tcPr/>
          <w:p>
            <w:pPr>
              <w:pStyle w:val="TableContents"/>
            </w:pPr>
            <w:r>
              <w:rPr>
                <w:b/>
                <w:bCs/>
                <w:color w:val="0059D1"/>
              </w:rPr>
              <w:t>[INSERT: immediate action]</w:t>
            </w:r>
          </w:p>
        </w:tc>
        <w:tc>
          <w:tcPr/>
          <w:p>
            <w:pPr>
              <w:pStyle w:val="TableContents"/>
            </w:pPr>
            <w:r>
              <w:rPr>
                <w:b/>
                <w:bCs/>
                <w:color w:val="0059D1"/>
              </w:rPr>
              <w:t>[INSERT: Yes / No]</w:t>
            </w:r>
          </w:p>
        </w:tc>
        <w:tc>
          <w:tcPr/>
          <w:p>
            <w:pPr>
              <w:pStyle w:val="TableContents"/>
            </w:pPr>
            <w:r>
              <w:rPr>
                <w:b/>
                <w:bCs/>
                <w:color w:val="0059D1"/>
              </w:rPr>
              <w:t>[INSERT: role]</w:t>
            </w:r>
          </w:p>
        </w:tc>
      </w:tr>
    </w:tbl>
    <w:p>
      <w:pPr>
        <w:pStyle w:val="Default"/>
      </w:pPr>
    </w:p>
    <w:p>
      <w:pPr>
        <w:pStyle w:val="NormalNumberedtext"/>
      </w:pPr>
      <w:r>
        <w:t>All IVMS-triggered investigations are recorded in the project incident management system. Patterns of repeated threshold events are escalated to the HSESC Manager for review of the driver authorisation status and the adequacy of current controls. Refer RTPR-HSE-PRO-0009 for incident recording and investigation requirements.</w:t>
      </w:r>
    </w:p>
    <w:p>
      <w:pPr>
        <w:pStyle w:val="Heading1Numbered"/>
      </w:pPr>
      <w:r>
        <w:t>10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IVMS</w:t>
            </w:r>
          </w:p>
        </w:tc>
        <w:tc>
          <w:tcPr/>
          <w:p>
            <w:pPr>
              <w:pStyle w:val="TableContents"/>
            </w:pPr>
            <w:r>
              <w:t>In-Vehicle Monitoring System — an electronic device installed in a vehicle that records and transmits data including speed, location, harsh braking, acceleration, and driver behaviour events in real time or near real time.</w:t>
            </w:r>
          </w:p>
        </w:tc>
      </w:tr>
      <w:tr>
        <w:tc>
          <w:tcPr/>
          <w:p>
            <w:pPr>
              <w:pStyle w:val="TableContents"/>
            </w:pPr>
            <w:r>
              <w:t>LV</w:t>
            </w:r>
          </w:p>
        </w:tc>
        <w:tc>
          <w:tcPr/>
          <w:p>
            <w:pPr>
              <w:pStyle w:val="TableContents"/>
            </w:pPr>
            <w:r>
              <w:t>Light Vehicle — any motor vehicle with a gross vehicle mass (GVM) of 4.5 tonnes or less, typically used for personnel transport on site.</w:t>
            </w:r>
          </w:p>
        </w:tc>
      </w:tr>
      <w:tr>
        <w:tc>
          <w:tcPr/>
          <w:p>
            <w:pPr>
              <w:pStyle w:val="TableContents"/>
            </w:pPr>
            <w:r>
              <w:t>HV</w:t>
            </w:r>
          </w:p>
        </w:tc>
        <w:tc>
          <w:tcPr/>
          <w:p>
            <w:pPr>
              <w:pStyle w:val="TableContents"/>
            </w:pPr>
            <w:r>
              <w:t>Heavy Vehicle — any motor vehicle with a gross vehicle mass (GVM) exceeding 4.5 tonnes, including trucks, articulated vehicles, and mobile plant used on site.</w:t>
            </w:r>
          </w:p>
        </w:tc>
      </w:tr>
      <w:tr>
        <w:tc>
          <w:tcPr/>
          <w:p>
            <w:pPr>
              <w:pStyle w:val="TableContents"/>
            </w:pPr>
            <w:r>
              <w:t>GVM</w:t>
            </w:r>
          </w:p>
        </w:tc>
        <w:tc>
          <w:tcPr/>
          <w:p>
            <w:pPr>
              <w:pStyle w:val="TableContents"/>
            </w:pPr>
            <w:r>
              <w:t>Gross Vehicle Mass — the maximum allowable total mass of a vehicle as specified by the manufacturer, including the vehicle, fuel, passengers, and payload.</w:t>
            </w:r>
          </w:p>
        </w:tc>
      </w:tr>
      <w:tr>
        <w:tc>
          <w:tcPr/>
          <w:p>
            <w:pPr>
              <w:pStyle w:val="TableContents"/>
            </w:pPr>
            <w:r>
              <w:t>OEM</w:t>
            </w:r>
          </w:p>
        </w:tc>
        <w:tc>
          <w:tcPr/>
          <w:p>
            <w:pPr>
              <w:pStyle w:val="TableContents"/>
            </w:pPr>
            <w:r>
              <w:t>Original Equipment Manufacturer — the company that originally designed and produced a vehicle or piece of equipment and whose specifications govern safe use, maintenance, and modification.</w:t>
            </w:r>
          </w:p>
        </w:tc>
      </w:tr>
      <w:tr>
        <w:tc>
          <w:tcPr/>
          <w:p>
            <w:pPr>
              <w:pStyle w:val="TableContents"/>
            </w:pPr>
            <w:r>
              <w:t>ROPS</w:t>
            </w:r>
          </w:p>
        </w:tc>
        <w:tc>
          <w:tcPr/>
          <w:p>
            <w:pPr>
              <w:pStyle w:val="TableContents"/>
            </w:pPr>
            <w:r>
              <w:t>Roll-Over Protection Structure — a certified structural system (cab, frame, or bar) fitted to a vehicle or mobile plant to protect the occupants in the event of a rollover.</w:t>
            </w:r>
          </w:p>
        </w:tc>
      </w:tr>
      <w:tr>
        <w:tc>
          <w:tcPr/>
          <w:p>
            <w:pPr>
              <w:pStyle w:val="TableContents"/>
            </w:pPr>
            <w:r>
              <w:t>FOPS</w:t>
            </w:r>
          </w:p>
        </w:tc>
        <w:tc>
          <w:tcPr/>
          <w:p>
            <w:pPr>
              <w:pStyle w:val="TableContents"/>
            </w:pPr>
            <w:r>
              <w:t>Falling Object Protection Structure — a certified structural system fitted to a vehicle or mobile plant to protect occupants from falling or penetrating objects.</w:t>
            </w:r>
          </w:p>
        </w:tc>
      </w:tr>
      <w:tr>
        <w:tc>
          <w:tcPr/>
          <w:p>
            <w:pPr>
              <w:pStyle w:val="TableContents"/>
            </w:pPr>
            <w:r>
              <w:t>FSD</w:t>
            </w:r>
          </w:p>
        </w:tc>
        <w:tc>
          <w:tcPr/>
          <w:p>
            <w:pPr>
              <w:pStyle w:val="TableContents"/>
            </w:pPr>
            <w:r>
              <w:t>Fatigue Scoring Diary — a structured self-assessment tool used by workers to record fatigue indicators, sleep hours, and wellness status before commencing work or driving duties.</w:t>
            </w:r>
          </w:p>
        </w:tc>
      </w:tr>
      <w:tr>
        <w:tc>
          <w:tcPr/>
          <w:p>
            <w:pPr>
              <w:pStyle w:val="TableContents"/>
            </w:pPr>
            <w:r>
              <w:t>FFW</w:t>
            </w:r>
          </w:p>
        </w:tc>
        <w:tc>
          <w:tcPr/>
          <w:p>
            <w:pPr>
              <w:pStyle w:val="TableContents"/>
            </w:pPr>
            <w:r>
              <w:t>Fitness for Work — the state in which a worker is physically, physiologically, and psychologically capable of performing assigned tasks without undue risk to themselves or others.</w:t>
            </w:r>
          </w:p>
        </w:tc>
      </w:tr>
      <w:tr>
        <w:tc>
          <w:tcPr/>
          <w:p>
            <w:pPr>
              <w:pStyle w:val="TableContents"/>
            </w:pPr>
            <w:r>
              <w:t>D&amp;A</w:t>
            </w:r>
          </w:p>
        </w:tc>
        <w:tc>
          <w:tcPr/>
          <w:p>
            <w:pPr>
              <w:pStyle w:val="TableContents"/>
            </w:pPr>
            <w:r>
              <w:t>Drugs and Alcohol — refers to the testing, policy controls, and management processes applied to detect and manage impairment caused by illicit substances or alcohol in the workplace.</w:t>
            </w:r>
          </w:p>
        </w:tc>
      </w:tr>
      <w:tr>
        <w:tc>
          <w:tcPr/>
          <w:p>
            <w:pPr>
              <w:pStyle w:val="TableContents"/>
            </w:pPr>
            <w:r>
              <w:t>JMP</w:t>
            </w:r>
          </w:p>
        </w:tc>
        <w:tc>
          <w:tcPr/>
          <w:p>
            <w:pPr>
              <w:pStyle w:val="TableContents"/>
            </w:pPr>
            <w:r>
              <w:t>Journey Management Plan — a documented plan prepared prior to a journey that identifies the route, risks, communication requirements, check-in intervals, contingency arrangements, and driver fitness.</w:t>
            </w:r>
          </w:p>
        </w:tc>
      </w:tr>
      <w:tr>
        <w:tc>
          <w:tcPr/>
          <w:p>
            <w:pPr>
              <w:pStyle w:val="TableContents"/>
            </w:pPr>
            <w:r>
              <w:t>TMP</w:t>
            </w:r>
          </w:p>
        </w:tc>
        <w:tc>
          <w:tcPr/>
          <w:p>
            <w:pPr>
              <w:pStyle w:val="TableContents"/>
            </w:pPr>
            <w:r>
              <w:t>Traffic Management Plan — a site-level document that defines traffic rules, speed limits, designated routes, segregation controls, signage requirements, and intersection management for a project site.</w:t>
            </w:r>
          </w:p>
        </w:tc>
      </w:tr>
      <w:tr>
        <w:tc>
          <w:tcPr/>
          <w:p>
            <w:pPr>
              <w:pStyle w:val="TableContents"/>
            </w:pPr>
            <w:r>
              <w:t>PTW</w:t>
            </w:r>
          </w:p>
        </w:tc>
        <w:tc>
          <w:tcPr/>
          <w:p>
            <w:pPr>
              <w:pStyle w:val="TableContents"/>
            </w:pPr>
            <w:r>
              <w:t>Permit to Work — a formal documented authorisation system that controls access to hazardous areas or activities, including restricted pit areas, ensuring controls are in place before work or vehicle movement commences.</w:t>
            </w:r>
          </w:p>
        </w:tc>
      </w:tr>
      <w:tr>
        <w:tc>
          <w:tcPr/>
          <w:p>
            <w:pPr>
              <w:pStyle w:val="TableContents"/>
            </w:pPr>
            <w:r>
              <w:t>HSEC</w:t>
            </w:r>
          </w:p>
        </w:tc>
        <w:tc>
          <w:tcPr/>
          <w:p>
            <w:pPr>
              <w:pStyle w:val="TableContents"/>
            </w:pPr>
            <w:r>
              <w:t>Health, Safety, Environment, and Community — the integrated management framework used by Rio Tinto to govern and assure performance across health, safety, environmental, and community dimensions of project delivery.</w:t>
            </w:r>
          </w:p>
        </w:tc>
      </w:tr>
      <w:tr>
        <w:tc>
          <w:tcPr/>
          <w:p>
            <w:pPr>
              <w:pStyle w:val="TableContents"/>
            </w:pPr>
            <w:r>
              <w:t>HSESC</w:t>
            </w:r>
          </w:p>
        </w:tc>
        <w:tc>
          <w:tcPr/>
          <w:p>
            <w:pPr>
              <w:pStyle w:val="TableContents"/>
            </w:pPr>
            <w:r>
              <w:t>Health, Safety, Environment, Social, and Community — the expanded integrated management framework applied on Rio Tinto owner-led projects that encompasses health, safety, environment, social performance, and community engagement requirements.</w:t>
            </w:r>
          </w:p>
        </w:tc>
      </w:tr>
      <w:tr>
        <w:tc>
          <w:tcPr/>
          <w:p>
            <w:pPr>
              <w:pStyle w:val="TableContents"/>
            </w:pPr>
            <w:r>
              <w:t>RT</w:t>
            </w:r>
          </w:p>
        </w:tc>
        <w:tc>
          <w:tcPr/>
          <w:p>
            <w:pPr>
              <w:pStyle w:val="TableContents"/>
            </w:pPr>
            <w:r>
              <w:t>Rio Tinto — the parent organisation whose standards, procedures, and management frameworks govern all owner-led project activities and set minimum mandatory requirements.</w:t>
            </w:r>
          </w:p>
        </w:tc>
      </w:tr>
      <w:tr>
        <w:tc>
          <w:tcPr/>
          <w:p>
            <w:pPr>
              <w:pStyle w:val="TableContents"/>
            </w:pPr>
            <w:r>
              <w:t>PRO</w:t>
            </w:r>
          </w:p>
        </w:tc>
        <w:tc>
          <w:tcPr/>
          <w:p>
            <w:pPr>
              <w:pStyle w:val="TableContents"/>
            </w:pPr>
            <w:r>
              <w:t>Procedure — a documented management system instruction that defines the mandatory steps, responsibilities, and controls required to manage a specific activity or risk on a Rio Tinto project.</w:t>
            </w:r>
          </w:p>
        </w:tc>
      </w:tr>
      <w:tr>
        <w:tc>
          <w:tcPr/>
          <w:p>
            <w:pPr>
              <w:pStyle w:val="TableContents"/>
            </w:pPr>
            <w:r>
              <w:t>REG</w:t>
            </w:r>
          </w:p>
        </w:tc>
        <w:tc>
          <w:tcPr/>
          <w:p>
            <w:pPr>
              <w:pStyle w:val="TableContents"/>
            </w:pPr>
            <w:r>
              <w:t>Register — a controlled document used to record, track, and maintain evidence of compliance activities such as training records, competency assessments, or inspection outcomes.</w:t>
            </w:r>
          </w:p>
        </w:tc>
      </w:tr>
      <w:tr>
        <w:tc>
          <w:tcPr/>
          <w:p>
            <w:pPr>
              <w:pStyle w:val="TableContents"/>
            </w:pPr>
            <w:r>
              <w:t>PPE</w:t>
            </w:r>
          </w:p>
        </w:tc>
        <w:tc>
          <w:tcPr/>
          <w:p>
            <w:pPr>
              <w:pStyle w:val="TableContents"/>
            </w:pPr>
            <w:r>
              <w:t>Personal Protective Equipment — equipment worn or used by a worker to minimise exposure to hazards that could cause injury or illness, including high-visibility garments, safety footwear, and seatbelts when driving.</w:t>
            </w:r>
          </w:p>
        </w:tc>
      </w:tr>
      <w:tr>
        <w:tc>
          <w:tcPr/>
          <w:p>
            <w:pPr>
              <w:pStyle w:val="TableContents"/>
            </w:pPr>
            <w:r>
              <w:t>GPS</w:t>
            </w:r>
          </w:p>
        </w:tc>
        <w:tc>
          <w:tcPr/>
          <w:p>
            <w:pPr>
              <w:pStyle w:val="TableContents"/>
            </w:pPr>
            <w:r>
              <w:t>Global Positioning System — a satellite-based navigation technology used within IVMS and journey management systems to track the real-time location and movement of vehicles on and off site.</w:t>
            </w:r>
          </w:p>
        </w:tc>
      </w:tr>
      <w:tr>
        <w:tc>
          <w:tcPr/>
          <w:p>
            <w:pPr>
              <w:pStyle w:val="TableContents"/>
            </w:pPr>
            <w:r>
              <w:t>KPI</w:t>
            </w:r>
          </w:p>
        </w:tc>
        <w:tc>
          <w:tcPr/>
          <w:p>
            <w:pPr>
              <w:pStyle w:val="TableContents"/>
            </w:pPr>
            <w:r>
              <w:t>Key Performance Indicator — a measurable value used to evaluate the effectiveness of controls, processes, or behaviours, including vehicle safety compliance metrics derived from IVMS data.</w:t>
            </w:r>
          </w:p>
        </w:tc>
      </w:tr>
      <w:tr>
        <w:tc>
          <w:tcPr/>
          <w:p>
            <w:pPr>
              <w:pStyle w:val="TableContents"/>
            </w:pPr>
            <w:r>
              <w:t>SWL</w:t>
            </w:r>
          </w:p>
        </w:tc>
        <w:tc>
          <w:tcPr/>
          <w:p>
            <w:pPr>
              <w:pStyle w:val="TableContents"/>
            </w:pPr>
            <w:r>
              <w:t>Safe Working Load — the maximum load that a vehicle, tie-down device, or lifting point is rated to carry or restrain under normal operating conditions as specified by the OEM or certifying authority.</w:t>
            </w:r>
          </w:p>
        </w:tc>
      </w:tr>
      <w:tr>
        <w:tc>
          <w:tcPr/>
          <w:p>
            <w:pPr>
              <w:pStyle w:val="TableContents"/>
            </w:pPr>
            <w:r>
              <w:t>ERP</w:t>
            </w:r>
          </w:p>
        </w:tc>
        <w:tc>
          <w:tcPr/>
          <w:p>
            <w:pPr>
              <w:pStyle w:val="TableContents"/>
            </w:pPr>
            <w:r>
              <w:t>Emergency Response Plan — a documented plan that defines the procedures, responsibilities, and resources required to respond effectively to an emergency, including vehicle incidents, on a project site.</w:t>
            </w:r>
          </w:p>
        </w:tc>
      </w:tr>
      <w:tr>
        <w:tc>
          <w:tcPr/>
          <w:p>
            <w:pPr>
              <w:pStyle w:val="TableContents"/>
            </w:pPr>
            <w:r>
              <w:t>AOD</w:t>
            </w:r>
          </w:p>
        </w:tc>
        <w:tc>
          <w:tcPr/>
          <w:p>
            <w:pPr>
              <w:pStyle w:val="TableContents"/>
            </w:pPr>
            <w:r>
              <w:t>Alcohol and Other Drugs — the broader term encompassing both alcohol and illicit or prescribed substances that may impair a worker's fitness for work and driving capability.</w:t>
            </w:r>
          </w:p>
        </w:tc>
      </w:tr>
      <w:tr>
        <w:tc>
          <w:tcPr/>
          <w:p>
            <w:pPr>
              <w:pStyle w:val="TableContents"/>
            </w:pPr>
            <w:r>
              <w:t>BAC</w:t>
            </w:r>
          </w:p>
        </w:tc>
        <w:tc>
          <w:tcPr/>
          <w:p>
            <w:pPr>
              <w:pStyle w:val="TableContents"/>
            </w:pPr>
            <w:r>
              <w:t>Blood Alcohol Concentration — the measure of alcohol present in a person's bloodstream, expressed as a percentage, used as the reference standard for alcohol testing under the site Fitness for Work procedure.</w:t>
            </w:r>
          </w:p>
        </w:tc>
      </w:tr>
      <w:tr>
        <w:tc>
          <w:tcPr/>
          <w:p>
            <w:pPr>
              <w:pStyle w:val="TableContents"/>
            </w:pPr>
            <w:r>
              <w:t>VSR</w:t>
            </w:r>
          </w:p>
        </w:tc>
        <w:tc>
          <w:tcPr/>
          <w:p>
            <w:pPr>
              <w:pStyle w:val="TableContents"/>
            </w:pPr>
            <w:r>
              <w:t>Vehicle Safety Requirement — the minimum mandatory technical and equipment standard that a vehicle must meet before being approved for use on a Rio Tinto project site.</w:t>
            </w:r>
          </w:p>
        </w:tc>
      </w:tr>
      <w:tr>
        <w:tc>
          <w:tcPr/>
          <w:p>
            <w:pPr>
              <w:pStyle w:val="TableContents"/>
            </w:pPr>
            <w:r>
              <w:t>RTPR</w:t>
            </w:r>
          </w:p>
        </w:tc>
        <w:tc>
          <w:tcPr/>
          <w:p>
            <w:pPr>
              <w:pStyle w:val="TableContents"/>
            </w:pPr>
            <w:r>
              <w:t>Rio Tinto Project — the project-level identifier prefix used in the document numbering system for management system documents developed and applied on Rio Tinto owner-led project sites.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11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Critical Risk Management Requirements (C-1 Vehicle and Mobile Equipment)</w:t>
            </w:r>
          </w:p>
        </w:tc>
        <w:tc>
          <w:tcPr/>
          <w:p>
            <w:pPr>
              <w:pStyle w:val="TableContents"/>
            </w:pPr>
            <w:r>
              <w:t>RT Risk Management Standard Appendix C — C-1</w:t>
            </w:r>
          </w:p>
        </w:tc>
        <w:tc>
          <w:tcPr/>
          <w:p>
            <w:pPr>
              <w:pStyle w:val="TableContents"/>
            </w:pPr>
            <w:r>
              <w:t>External RT</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Driver Competency Register</w:t>
            </w:r>
          </w:p>
        </w:tc>
        <w:tc>
          <w:tcPr/>
          <w:p>
            <w:pPr>
              <w:pStyle w:val="TableContents"/>
            </w:pPr>
            <w:r>
              <w:t>RTPR-HSE-REG-0003</w:t>
            </w:r>
          </w:p>
        </w:tc>
        <w:tc>
          <w:tcPr/>
          <w:p>
            <w:pPr>
              <w:pStyle w:val="TableContents"/>
            </w:pPr>
            <w:r>
              <w:t>Internal procedure</w:t>
            </w:r>
          </w:p>
        </w:tc>
      </w:tr>
      <w:tr>
        <w:tc>
          <w:tcPr/>
          <w:p>
            <w:pPr>
              <w:pStyle w:val="TableContents"/>
            </w:pPr>
            <w:r>
              <w:t>Fitness for Work Procedure</w:t>
            </w:r>
          </w:p>
        </w:tc>
        <w:tc>
          <w:tcPr/>
          <w:p>
            <w:pPr>
              <w:pStyle w:val="TableContents"/>
            </w:pPr>
            <w:r>
              <w:t>RTPR-HSE-PRO-0006</w:t>
            </w:r>
          </w:p>
        </w:tc>
        <w:tc>
          <w:tcPr/>
          <w:p>
            <w:pPr>
              <w:pStyle w:val="TableContents"/>
            </w:pPr>
            <w:r>
              <w:t>Internal procedure</w:t>
            </w:r>
          </w:p>
        </w:tc>
      </w:tr>
      <w:tr>
        <w:tc>
          <w:tcPr/>
          <w:p>
            <w:pPr>
              <w:pStyle w:val="TableContents"/>
            </w:pPr>
            <w:r>
              <w:t>Permit to Work Procedure</w:t>
            </w:r>
          </w:p>
        </w:tc>
        <w:tc>
          <w:tcPr/>
          <w:p>
            <w:pPr>
              <w:pStyle w:val="TableContents"/>
            </w:pPr>
            <w:r>
              <w:t>RTPR-HSE-PRO-0021</w:t>
            </w:r>
          </w:p>
        </w:tc>
        <w:tc>
          <w:tcPr/>
          <w:p>
            <w:pPr>
              <w:pStyle w:val="TableContents"/>
            </w:pPr>
            <w:r>
              <w:t>Internal procedure</w:t>
            </w:r>
          </w:p>
        </w:tc>
      </w:tr>
      <w:tr>
        <w:tc>
          <w:tcPr/>
          <w:p>
            <w:pPr>
              <w:pStyle w:val="TableContents"/>
            </w:pPr>
            <w:r>
              <w:t>Traffic Management Procedure</w:t>
            </w:r>
          </w:p>
        </w:tc>
        <w:tc>
          <w:tcPr/>
          <w:p>
            <w:pPr>
              <w:pStyle w:val="TableContents"/>
            </w:pPr>
            <w:r>
              <w:t>RTPR-HSE-PRO-0031</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Working at Height Procedure</w:t>
            </w:r>
          </w:p>
        </w:tc>
        <w:tc>
          <w:tcPr/>
          <w:p>
            <w:pPr>
              <w:pStyle w:val="TableContents"/>
            </w:pPr>
            <w:r>
              <w:t>RTPR-HSE-PRO-0008</w:t>
            </w:r>
          </w:p>
        </w:tc>
        <w:tc>
          <w:tcPr/>
          <w:p>
            <w:pPr>
              <w:pStyle w:val="TableContents"/>
            </w:pPr>
            <w:r>
              <w:t>Internal procedure</w:t>
            </w:r>
          </w:p>
        </w:tc>
      </w:tr>
      <w:tr>
        <w:tc>
          <w:tcPr/>
          <w:p>
            <w:pPr>
              <w:pStyle w:val="TableContents"/>
            </w:pPr>
            <w:r>
              <w:t>Rio Tinto Health, Safety, Environment and Community (HSEC) Management System Standard</w:t>
            </w:r>
          </w:p>
        </w:tc>
        <w:tc>
          <w:tcPr/>
          <w:p>
            <w:pPr>
              <w:pStyle w:val="TableContents"/>
            </w:pPr>
            <w:r>
              <w:t>RT HSEC Management System Standard</w:t>
            </w:r>
          </w:p>
        </w:tc>
        <w:tc>
          <w:tcPr/>
          <w:p>
            <w:pPr>
              <w:pStyle w:val="TableContents"/>
            </w:pPr>
            <w:r>
              <w:t>External RT</w:t>
            </w:r>
          </w:p>
        </w:tc>
      </w:tr>
      <w:tr>
        <w:tc>
          <w:tcPr/>
          <w:p>
            <w:pPr>
              <w:pStyle w:val="TableContents"/>
            </w:pPr>
            <w:r>
              <w:t>Rio Tinto Vehicle and Mobile Equipment Safety Standard</w:t>
            </w:r>
          </w:p>
        </w:tc>
        <w:tc>
          <w:tcPr/>
          <w:p>
            <w:pPr>
              <w:pStyle w:val="TableContents"/>
            </w:pPr>
            <w:r>
              <w:t>RT Vehicle and Mobile Equipment Safety Standard</w:t>
            </w:r>
          </w:p>
        </w:tc>
        <w:tc>
          <w:tcPr/>
          <w:p>
            <w:pPr>
              <w:pStyle w:val="TableContents"/>
            </w:pPr>
            <w:r>
              <w:t>External RT</w:t>
            </w:r>
          </w:p>
        </w:tc>
      </w:tr>
      <w:tr>
        <w:tc>
          <w:tcPr/>
          <w:p>
            <w:pPr>
              <w:pStyle w:val="TableContents"/>
            </w:pPr>
            <w:r>
              <w:t>Rio Tinto Fatigue Management Standard</w:t>
            </w:r>
          </w:p>
        </w:tc>
        <w:tc>
          <w:tcPr/>
          <w:p>
            <w:pPr>
              <w:pStyle w:val="TableContents"/>
            </w:pPr>
            <w:r>
              <w:t>RT Fatigue Management Standard</w:t>
            </w:r>
          </w:p>
        </w:tc>
        <w:tc>
          <w:tcPr/>
          <w:p>
            <w:pPr>
              <w:pStyle w:val="TableContents"/>
            </w:pPr>
            <w:r>
              <w:t>External RT</w:t>
            </w:r>
          </w:p>
        </w:tc>
      </w:tr>
      <w:tr>
        <w:tc>
          <w:tcPr/>
          <w:p>
            <w:pPr>
              <w:pStyle w:val="TableContents"/>
            </w:pPr>
            <w:r>
              <w:t>Rio Tinto Alcohol and Other Drugs Standard</w:t>
            </w:r>
          </w:p>
        </w:tc>
        <w:tc>
          <w:tcPr/>
          <w:p>
            <w:pPr>
              <w:pStyle w:val="TableContents"/>
            </w:pPr>
            <w:r>
              <w:t>RT Alcohol and Other Drugs Standard</w:t>
            </w:r>
          </w:p>
        </w:tc>
        <w:tc>
          <w:tcPr/>
          <w:p>
            <w:pPr>
              <w:pStyle w:val="TableContents"/>
            </w:pPr>
            <w:r>
              <w:t>External RT</w:t>
            </w:r>
          </w:p>
        </w:tc>
      </w:tr>
      <w:tr>
        <w:tc>
          <w:tcPr/>
          <w:p>
            <w:pPr>
              <w:pStyle w:val="TableContents"/>
            </w:pPr>
            <w:r>
              <w:t>National Fatigue Management Framework for Heavy Vehicle Drivers (NHVR)</w:t>
            </w:r>
          </w:p>
        </w:tc>
        <w:tc>
          <w:tcPr/>
          <w:p>
            <w:pPr>
              <w:pStyle w:val="TableContents"/>
            </w:pPr>
            <w:r>
              <w:t>NHVR National Fatigue Management Framework</w:t>
            </w:r>
          </w:p>
        </w:tc>
        <w:tc>
          <w:tcPr/>
          <w:p>
            <w:pPr>
              <w:pStyle w:val="TableContents"/>
            </w:pPr>
            <w:r>
              <w:t>External framework</w:t>
            </w:r>
          </w:p>
        </w:tc>
      </w:tr>
      <w:tr>
        <w:tc>
          <w:tcPr/>
          <w:p>
            <w:pPr>
              <w:pStyle w:val="TableContents"/>
            </w:pPr>
            <w:r>
              <w:t>Heavy Vehicle National Law (HVNL)</w:t>
            </w:r>
          </w:p>
        </w:tc>
        <w:tc>
          <w:tcPr/>
          <w:p>
            <w:pPr>
              <w:pStyle w:val="TableContents"/>
            </w:pPr>
            <w:r>
              <w:t>Heavy Vehicle National Law 2012 (Cth)</w:t>
            </w:r>
          </w:p>
        </w:tc>
        <w:tc>
          <w:tcPr/>
          <w:p>
            <w:pPr>
              <w:pStyle w:val="TableContents"/>
            </w:pPr>
            <w:r>
              <w:t>External framework</w:t>
            </w:r>
          </w:p>
        </w:tc>
      </w:tr>
      <w:tr>
        <w:tc>
          <w:tcPr/>
          <w:p>
            <w:pPr>
              <w:pStyle w:val="TableContents"/>
            </w:pPr>
            <w:r>
              <w:t>Australian Standard AS 2080 — Safety of Motor Vehicles</w:t>
            </w:r>
          </w:p>
        </w:tc>
        <w:tc>
          <w:tcPr/>
          <w:p>
            <w:pPr>
              <w:pStyle w:val="TableContents"/>
            </w:pPr>
            <w:r>
              <w:t>AS 2080</w:t>
            </w:r>
          </w:p>
        </w:tc>
        <w:tc>
          <w:tcPr/>
          <w:p>
            <w:pPr>
              <w:pStyle w:val="TableContents"/>
            </w:pPr>
            <w:r>
              <w:t>External framework</w:t>
            </w:r>
          </w:p>
        </w:tc>
      </w:tr>
      <w:tr>
        <w:tc>
          <w:tcPr/>
          <w:p>
            <w:pPr>
              <w:pStyle w:val="TableContents"/>
            </w:pPr>
            <w:r>
              <w:t>Australian Standard AS 61000 — Electromagnetic Compatibility (relevant to IVMS installation and interference controls)</w:t>
            </w:r>
          </w:p>
        </w:tc>
        <w:tc>
          <w:tcPr/>
          <w:p>
            <w:pPr>
              <w:pStyle w:val="TableContents"/>
            </w:pPr>
            <w:r>
              <w:t>AS 61000</w:t>
            </w:r>
          </w:p>
        </w:tc>
        <w:tc>
          <w:tcPr/>
          <w:p>
            <w:pPr>
              <w:pStyle w:val="TableContents"/>
            </w:pPr>
            <w:r>
              <w:t>External framework</w:t>
            </w:r>
          </w:p>
        </w:tc>
      </w:tr>
      <w:tr>
        <w:tc>
          <w:tcPr/>
          <w:p>
            <w:pPr>
              <w:pStyle w:val="TableContents"/>
            </w:pPr>
            <w:r>
              <w:t>Safe Work Australia — Managing the Work Environment and Facilities Code of Practice</w:t>
            </w:r>
          </w:p>
        </w:tc>
        <w:tc>
          <w:tcPr/>
          <w:p>
            <w:pPr>
              <w:pStyle w:val="TableContents"/>
            </w:pPr>
            <w:r>
              <w:t>Safe Work Australia Code of Practice — Work Environment and Facilities</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12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13  Source Requirements Traceability (DELETE BEFORE ISSUE)</w:t>
      </w:r>
    </w:p>
    <w:p>
      <w:pPr>
        <w:pStyle w:val="Heading2Numbered"/>
      </w:pPr>
      <w:r>
        <w:t>13.1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C3 – Vehicles and Driving Standard</w:t>
            </w:r>
          </w:p>
        </w:tc>
        <w:tc>
          <w:tcPr/>
          <w:p>
            <w:pPr>
              <w:pStyle w:val="TableContents"/>
            </w:pPr>
            <w:r>
              <w:t>Defines mandatory minimum vehicle specifications, driver authorisation, positive communications, fatigue and fitness for work controls, journey management, traffic segregation, and parking requirements for all vehicle and PME operations.</w:t>
            </w:r>
          </w:p>
        </w:tc>
        <w:tc>
          <w:tcPr/>
          <w:p>
            <w:pPr>
              <w:pStyle w:val="TableContents"/>
            </w:pPr>
            <w:r>
              <w:t>Full</w:t>
            </w:r>
          </w:p>
        </w:tc>
      </w:tr>
      <w:tr>
        <w:tc>
          <w:tcPr/>
          <w:p>
            <w:pPr>
              <w:pStyle w:val="TableContents"/>
            </w:pPr>
            <w:r>
              <w:rPr>
                <w:b/>
                <w:bCs/>
                <w:color w:val="0059D1"/>
              </w:rPr>
              <w:t>[INSERT: section]</w:t>
            </w:r>
          </w:p>
        </w:tc>
        <w:tc>
          <w:tcPr/>
          <w:p>
            <w:pPr>
              <w:pStyle w:val="TableContents"/>
            </w:pPr>
            <w:r>
              <w:t>Appendix C C-2 §52.1.3</w:t>
            </w:r>
          </w:p>
        </w:tc>
        <w:tc>
          <w:tcPr/>
          <w:p>
            <w:pPr>
              <w:pStyle w:val="TableContents"/>
            </w:pPr>
            <w:r>
              <w:t>Requires three-point lap-sash seat belts with pre-tensioner in all project vehicles.</w:t>
            </w:r>
          </w:p>
        </w:tc>
        <w:tc>
          <w:tcPr/>
          <w:p>
            <w:pPr>
              <w:pStyle w:val="TableContents"/>
            </w:pPr>
            <w:r>
              <w:t>Full</w:t>
            </w:r>
          </w:p>
        </w:tc>
      </w:tr>
      <w:tr>
        <w:tc>
          <w:tcPr/>
          <w:p>
            <w:pPr>
              <w:pStyle w:val="TableContents"/>
            </w:pPr>
            <w:r>
              <w:rPr>
                <w:b/>
                <w:bCs/>
                <w:color w:val="0059D1"/>
              </w:rPr>
              <w:t>[INSERT: section]</w:t>
            </w:r>
          </w:p>
        </w:tc>
        <w:tc>
          <w:tcPr/>
          <w:p>
            <w:pPr>
              <w:pStyle w:val="TableContents"/>
            </w:pPr>
            <w:r>
              <w:t>Appendix C C-2 §52.1.4</w:t>
            </w:r>
          </w:p>
        </w:tc>
        <w:tc>
          <w:tcPr/>
          <w:p>
            <w:pPr>
              <w:pStyle w:val="TableContents"/>
            </w:pPr>
            <w:r>
              <w:t>Prohibits use of mobile phones and portable electronic devices by drivers unless the vehicle is stationary and in a safe location, including hands-free devices.</w:t>
            </w:r>
          </w:p>
        </w:tc>
        <w:tc>
          <w:tcPr/>
          <w:p>
            <w:pPr>
              <w:pStyle w:val="TableContents"/>
            </w:pPr>
            <w:r>
              <w:t>Full</w:t>
            </w:r>
          </w:p>
        </w:tc>
      </w:tr>
      <w:tr>
        <w:tc>
          <w:tcPr/>
          <w:p>
            <w:pPr>
              <w:pStyle w:val="TableContents"/>
            </w:pPr>
            <w:r>
              <w:rPr>
                <w:b/>
                <w:bCs/>
                <w:color w:val="0059D1"/>
              </w:rPr>
              <w:t>[INSERT: section]</w:t>
            </w:r>
          </w:p>
        </w:tc>
        <w:tc>
          <w:tcPr/>
          <w:p>
            <w:pPr>
              <w:pStyle w:val="TableContents"/>
            </w:pPr>
            <w:r>
              <w:t>Appendix C C-2 §52.5.1</w:t>
            </w:r>
          </w:p>
        </w:tc>
        <w:tc>
          <w:tcPr/>
          <w:p>
            <w:pPr>
              <w:pStyle w:val="TableContents"/>
            </w:pPr>
            <w:r>
              <w:t>Requires a risk assessment before loading or unloading any load to confirm the load will not shift, tip, fall, or inadvertently release hazardous substances.</w:t>
            </w:r>
          </w:p>
        </w:tc>
        <w:tc>
          <w:tcPr/>
          <w:p>
            <w:pPr>
              <w:pStyle w:val="TableContents"/>
            </w:pPr>
            <w:r>
              <w:t>Full</w:t>
            </w:r>
          </w:p>
        </w:tc>
      </w:tr>
      <w:tr>
        <w:tc>
          <w:tcPr/>
          <w:p>
            <w:pPr>
              <w:pStyle w:val="TableContents"/>
            </w:pPr>
            <w:r>
              <w:rPr>
                <w:b/>
                <w:bCs/>
                <w:color w:val="0059D1"/>
              </w:rPr>
              <w:t>[INSERT: section]</w:t>
            </w:r>
          </w:p>
        </w:tc>
        <w:tc>
          <w:tcPr/>
          <w:p>
            <w:pPr>
              <w:pStyle w:val="TableContents"/>
            </w:pPr>
            <w:r>
              <w:t>Appendix C C-2 §53.1.2.8</w:t>
            </w:r>
          </w:p>
        </w:tc>
        <w:tc>
          <w:tcPr/>
          <w:p>
            <w:pPr>
              <w:pStyle w:val="TableContents"/>
            </w:pPr>
            <w:r>
              <w:t>Requires a formal Journey Management Plan for high-risk journeys including those outside daylight hours, on unfamiliar routes, or to remote locations with limited communications.</w:t>
            </w:r>
          </w:p>
        </w:tc>
        <w:tc>
          <w:tcPr/>
          <w:p>
            <w:pPr>
              <w:pStyle w:val="TableContents"/>
            </w:pPr>
            <w:r>
              <w:t>Full</w:t>
            </w:r>
          </w:p>
        </w:tc>
      </w:tr>
      <w:tr>
        <w:tc>
          <w:tcPr/>
          <w:p>
            <w:pPr>
              <w:pStyle w:val="TableContents"/>
            </w:pPr>
            <w:r>
              <w:rPr>
                <w:b/>
                <w:bCs/>
                <w:color w:val="0059D1"/>
              </w:rPr>
              <w:t>[INSERT: section]</w:t>
            </w:r>
          </w:p>
        </w:tc>
        <w:tc>
          <w:tcPr/>
          <w:p>
            <w:pPr>
              <w:pStyle w:val="TableContents"/>
            </w:pPr>
            <w:r>
              <w:t>Appendix C C-2 §53.1.3.1</w:t>
            </w:r>
          </w:p>
        </w:tc>
        <w:tc>
          <w:tcPr/>
          <w:p>
            <w:pPr>
              <w:pStyle w:val="TableContents"/>
            </w:pPr>
            <w:r>
              <w:t>Requires all mass transport vehicles to be equipped with IVMS and cameras monitoring speed, seat belt compliance, and harsh driving events.</w:t>
            </w:r>
          </w:p>
        </w:tc>
        <w:tc>
          <w:tcPr/>
          <w:p>
            <w:pPr>
              <w:pStyle w:val="TableContents"/>
            </w:pPr>
            <w:r>
              <w:t>Full</w:t>
            </w:r>
          </w:p>
        </w:tc>
      </w:tr>
      <w:tr>
        <w:tc>
          <w:tcPr/>
          <w:p>
            <w:pPr>
              <w:pStyle w:val="TableContents"/>
            </w:pPr>
            <w:r>
              <w:rPr>
                <w:b/>
                <w:bCs/>
                <w:color w:val="0059D1"/>
              </w:rPr>
              <w:t>[INSERT: section]</w:t>
            </w:r>
          </w:p>
        </w:tc>
        <w:tc>
          <w:tcPr/>
          <w:p>
            <w:pPr>
              <w:pStyle w:val="TableContents"/>
            </w:pPr>
            <w:r>
              <w:t>Appendix C C-2 §53.1.5.1</w:t>
            </w:r>
          </w:p>
        </w:tc>
        <w:tc>
          <w:tcPr/>
          <w:p>
            <w:pPr>
              <w:pStyle w:val="TableContents"/>
            </w:pPr>
            <w:r>
              <w:t>Requires mass transport vehicles purchased after January 2022 to meet minimum safety technology standards including ESC or ABS, lane departure warning, fire detection and suppression, and blind spot monitoring.</w:t>
            </w:r>
          </w:p>
        </w:tc>
        <w:tc>
          <w:tcPr/>
          <w:p>
            <w:pPr>
              <w:pStyle w:val="TableContents"/>
            </w:pPr>
            <w:r>
              <w:t>Full</w:t>
            </w:r>
          </w:p>
        </w:tc>
      </w:tr>
    </w:tbl>
    <w:p>
      <w:pPr>
        <w:pStyle w:val="Default"/>
      </w:pPr>
    </w:p>
    <w:p>
      <w:pPr>
        <w:pStyle w:val="Heading2Numbered"/>
      </w:pPr>
      <w:r>
        <w:t>13.2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