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Performance Assessment and Auditing</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Performance Assessment and Auditing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planning, conducting, reporting, and tracking HSESC audits and inspections across the owner-led project. As project owner, RT has the right and responsibility to audit all contractor organisations operating under the project management system without restriction.</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performance assessment and auditing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HSESC domains within scope, and the audit and performance assessment framework that applies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the framework it operationalises, and the requirements it establishes for the project.</w:t>
      </w:r>
    </w:p>
    <w:p>
      <w:pPr>
        <w:pStyle w:val="NormalNumberedtext"/>
      </w:pPr>
      <w:r>
        <w:t>This procedure meets the following purpose requirements:</w:t>
      </w:r>
    </w:p>
    <w:p>
      <w:pPr>
        <w:pStyle w:val="NormalNumberedtext"/>
      </w:pPr>
      <w:r>
        <w:t>This procedure applies to the following:</w:t>
      </w:r>
    </w:p>
    <w:p>
      <w:pPr>
        <w:pStyle w:val="NumberedBulletL1"/>
      </w:pPr>
      <w:r>
        <w:t>This procedure operationalises Rio Tinto Group performance assessment and auditing requirements into a documented, project-specific process for planning, conducting, reporting, and closing out HSESC audits.</w:t>
      </w:r>
    </w:p>
    <w:p>
      <w:pPr>
        <w:pStyle w:val="NumberedBulletL1"/>
      </w:pPr>
      <w:r>
        <w:t>This procedure defines the audit programme, audit conduct and reporting process, finding severity classification, CRM verification reporting requirements, and action tracking and closeout verification requirements for the project.</w:t>
      </w:r>
    </w:p>
    <w:p>
      <w:pPr>
        <w:pStyle w:val="NumberedBulletL1"/>
      </w:pPr>
      <w:r>
        <w:t>This procedure applies to all project personnel, including Rio Tinto staff and all contractor organisations and their subcontractors, across all project execution, commissioning, and handover phases.</w:t>
      </w:r>
    </w:p>
    <w:p>
      <w:pPr>
        <w:pStyle w:val="NumberedBulletL1"/>
      </w:pPr>
      <w:r>
        <w:t>This procedure supports [INSERT: Project Document Number] (Monitoring and Measurement) as the formal audit component of the project performance assessment framework, and provides findings as inputs to [INSERT: Project Document Number] (Management Review) and [INSERT: Project Document Number] (Improvement Planning).</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audit and performance assessment activities are governed by this document and how it connects to other project management system procedures.</w:t>
      </w:r>
    </w:p>
    <w:p>
      <w:pPr>
        <w:pStyle w:val="NormalNumberedtext"/>
      </w:pPr>
      <w:r>
        <w:t>This procedure applies the following scope requirements:</w:t>
      </w:r>
    </w:p>
    <w:p>
      <w:pPr>
        <w:pStyle w:val="NormalNumberedtext"/>
      </w:pPr>
      <w:r>
        <w:t>This procedure governs the following activities:</w:t>
      </w:r>
    </w:p>
    <w:p>
      <w:pPr>
        <w:pStyle w:val="NumberedBulletL1"/>
      </w:pPr>
      <w:r>
        <w:t>Planning and scheduling the project HSESC audit programme, including system audits, compliance audits, and specialised topic audits.</w:t>
      </w:r>
    </w:p>
    <w:p>
      <w:pPr>
        <w:pStyle w:val="NumberedBulletL1"/>
      </w:pPr>
      <w:r>
        <w:t>Conducting audits, classifying findings by severity, issuing reports, and distributing findings to relevant parties.</w:t>
      </w:r>
    </w:p>
    <w:p>
      <w:pPr>
        <w:pStyle w:val="NumberedBulletL1"/>
      </w:pPr>
      <w:r>
        <w:t>Verifying Critical Risk Management controls and reporting CRM verification results to the project owner.</w:t>
      </w:r>
    </w:p>
    <w:p>
      <w:pPr>
        <w:pStyle w:val="NumberedBulletL1"/>
      </w:pPr>
      <w:r>
        <w:t>Recording, tracking, and closing out all audit actions in the project action tracking register.</w:t>
      </w:r>
    </w:p>
    <w:p>
      <w:pPr>
        <w:pStyle w:val="NumberedBulletL1"/>
      </w:pPr>
      <w:r>
        <w:t>Audit scope is informed by the project risk register maintained under [INSERT: Project Document Number]. Audit records are controlled under [INSERT: Project Document Number].</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performance assessment and auditing responsibilities for all project roles, covering the Rio Tinto project team and all contractor organisations.</w:t>
      </w:r>
    </w:p>
    <w:p>
      <w:pPr>
        <w:pStyle w:val="NormalNumberedtext"/>
      </w:pPr>
      <w:r>
        <w:t>Responsibilities for audit programme execution are assigned as follows:</w:t>
      </w:r>
    </w:p>
    <w:p>
      <w:pPr>
        <w:pStyle w:val="NormalNumberedtext"/>
      </w:pPr>
      <w:r>
        <w:t>Table 1: Audit and Performance Assessment Roles and Responsibilities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Role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Responsibility</w:t>
            </w:r>
          </w:p>
        </w:tc>
      </w:tr>
      <w:tr>
        <w:tc>
          <w:tcPr>
            <w:tcW w:type="dxa" w:w="4888"/>
          </w:tcPr>
          <w:p>
            <w:pPr>
              <w:pStyle w:val="TableContents"/>
              <w:spacing w:before="0" w:after="0" w:line="240" w:lineRule="atLeast"/>
            </w:pPr>
            <w:r>
              <w:rPr>
                <w:rFonts w:ascii="Arial" w:hAnsi="Arial" w:cs="Arial" w:eastAsia="Arial"/>
                <w:sz w:val="16"/>
                <w:szCs w:val="16"/>
              </w:rPr>
              <w:t>Project Director</w:t>
            </w:r>
          </w:p>
        </w:tc>
        <w:tc>
          <w:tcPr>
            <w:tcW w:type="dxa" w:w="4889"/>
          </w:tcPr>
          <w:p>
            <w:pPr>
              <w:pStyle w:val="TableContents"/>
              <w:spacing w:before="0" w:after="0" w:line="240" w:lineRule="atLeast"/>
            </w:pPr>
            <w:r>
              <w:rPr>
                <w:rFonts w:ascii="Arial" w:hAnsi="Arial" w:cs="Arial" w:eastAsia="Arial"/>
                <w:sz w:val="16"/>
                <w:szCs w:val="16"/>
              </w:rPr>
              <w:t>Approve the project HSESC audit programme. Receive and review monthly audit action closeout reports. Authorise work resumption following an immediate-risk stop-work finding.</w:t>
            </w:r>
          </w:p>
        </w:tc>
      </w:tr>
      <w:tr>
        <w:tc>
          <w:tcPr>
            <w:tcW w:type="dxa" w:w="4888"/>
          </w:tcPr>
          <w:p>
            <w:pPr>
              <w:pStyle w:val="TableContents"/>
              <w:spacing w:before="0" w:after="0" w:line="240" w:lineRule="atLeast"/>
            </w:pPr>
            <w:r>
              <w:rPr>
                <w:rFonts w:ascii="Arial" w:hAnsi="Arial" w:cs="Arial" w:eastAsia="Arial"/>
                <w:sz w:val="16"/>
                <w:szCs w:val="16"/>
              </w:rPr>
              <w:t>HSESC Manager</w:t>
            </w:r>
          </w:p>
        </w:tc>
        <w:tc>
          <w:tcPr>
            <w:tcW w:type="dxa" w:w="4889"/>
          </w:tcPr>
          <w:p>
            <w:pPr>
              <w:pStyle w:val="TableContents"/>
              <w:spacing w:before="0" w:after="0" w:line="240" w:lineRule="atLeast"/>
            </w:pPr>
            <w:r>
              <w:rPr>
                <w:rFonts w:ascii="Arial" w:hAnsi="Arial" w:cs="Arial" w:eastAsia="Arial"/>
                <w:sz w:val="16"/>
                <w:szCs w:val="16"/>
              </w:rPr>
              <w:t>Develop, maintain, and execute the project HSESC audit programme. Lead or assign qualified auditors for each audit. Issue audit reports within the required timeframe. Manage the project action tracking register.</w:t>
            </w:r>
          </w:p>
        </w:tc>
      </w:tr>
      <w:tr>
        <w:tc>
          <w:tcPr>
            <w:tcW w:type="dxa" w:w="4888"/>
          </w:tcPr>
          <w:p>
            <w:pPr>
              <w:pStyle w:val="TableContents"/>
              <w:spacing w:before="0" w:after="0" w:line="240" w:lineRule="atLeast"/>
            </w:pPr>
            <w:r>
              <w:rPr>
                <w:rFonts w:ascii="Arial" w:hAnsi="Arial" w:cs="Arial" w:eastAsia="Arial"/>
                <w:sz w:val="16"/>
                <w:szCs w:val="16"/>
              </w:rPr>
              <w:t>HSESC Advisors</w:t>
            </w:r>
          </w:p>
        </w:tc>
        <w:tc>
          <w:tcPr>
            <w:tcW w:type="dxa" w:w="4889"/>
          </w:tcPr>
          <w:p>
            <w:pPr>
              <w:pStyle w:val="TableContents"/>
              <w:spacing w:before="0" w:after="0" w:line="240" w:lineRule="atLeast"/>
            </w:pPr>
            <w:r>
              <w:rPr>
                <w:rFonts w:ascii="Arial" w:hAnsi="Arial" w:cs="Arial" w:eastAsia="Arial"/>
                <w:sz w:val="16"/>
                <w:szCs w:val="16"/>
              </w:rPr>
              <w:t>Conduct scheduled and unscheduled audits and inspections. Record CRM verifications in the RT CRM portal. Support contractor audit programmes and review contractor audit findings.</w:t>
            </w:r>
          </w:p>
        </w:tc>
      </w:tr>
      <w:tr>
        <w:tc>
          <w:tcPr>
            <w:tcW w:type="dxa" w:w="4888"/>
          </w:tcPr>
          <w:p>
            <w:pPr>
              <w:pStyle w:val="TableContents"/>
              <w:spacing w:before="0" w:after="0" w:line="240" w:lineRule="atLeast"/>
            </w:pPr>
            <w:r>
              <w:rPr>
                <w:rFonts w:ascii="Arial" w:hAnsi="Arial" w:cs="Arial" w:eastAsia="Arial"/>
                <w:sz w:val="16"/>
                <w:szCs w:val="16"/>
              </w:rPr>
              <w:t>{'insert': True, 'field': 'ProjectRole_CRMVerificationLead'}</w:t>
            </w:r>
          </w:p>
        </w:tc>
        <w:tc>
          <w:tcPr>
            <w:tcW w:type="dxa" w:w="4889"/>
          </w:tcPr>
          <w:p>
            <w:pPr>
              <w:pStyle w:val="TableContents"/>
              <w:spacing w:before="0" w:after="0" w:line="240" w:lineRule="atLeast"/>
            </w:pPr>
            <w:r>
              <w:rPr>
                <w:rFonts w:ascii="Arial" w:hAnsi="Arial" w:cs="Arial" w:eastAsia="Arial"/>
                <w:sz w:val="16"/>
                <w:szCs w:val="16"/>
              </w:rPr>
              <w:t>Coordinate weekly and monthly CRM verification reporting to the project owner. Maintain the CRM verifications schedule.</w:t>
            </w:r>
          </w:p>
        </w:tc>
      </w:tr>
      <w:tr>
        <w:tc>
          <w:tcPr>
            <w:tcW w:type="dxa" w:w="4888"/>
          </w:tcPr>
          <w:p>
            <w:pPr>
              <w:pStyle w:val="TableContents"/>
              <w:spacing w:before="0" w:after="0" w:line="240" w:lineRule="atLeast"/>
            </w:pPr>
            <w:r>
              <w:rPr>
                <w:rFonts w:ascii="Arial" w:hAnsi="Arial" w:cs="Arial" w:eastAsia="Arial"/>
                <w:sz w:val="16"/>
                <w:szCs w:val="16"/>
              </w:rPr>
              <w:t>Contractor HSE Manager</w:t>
            </w:r>
          </w:p>
        </w:tc>
        <w:tc>
          <w:tcPr>
            <w:tcW w:type="dxa" w:w="4889"/>
          </w:tcPr>
          <w:p>
            <w:pPr>
              <w:pStyle w:val="TableContents"/>
              <w:spacing w:before="0" w:after="0" w:line="240" w:lineRule="atLeast"/>
            </w:pPr>
            <w:r>
              <w:rPr>
                <w:rFonts w:ascii="Arial" w:hAnsi="Arial" w:cs="Arial" w:eastAsia="Arial"/>
                <w:sz w:val="16"/>
                <w:szCs w:val="16"/>
              </w:rPr>
              <w:t>Develop and implement a contractor audit and inspection programme covering all contractor personnel and subcontractors. Share all audit findings, corrective action plans, and closeout status with the Company on request.</w:t>
            </w:r>
          </w:p>
        </w:tc>
      </w:tr>
      <w:tr>
        <w:tc>
          <w:tcPr>
            <w:tcW w:type="dxa" w:w="4888"/>
          </w:tcPr>
          <w:p>
            <w:pPr>
              <w:pStyle w:val="TableContents"/>
              <w:spacing w:before="0" w:after="0" w:line="240" w:lineRule="atLeast"/>
            </w:pPr>
            <w:r>
              <w:rPr>
                <w:rFonts w:ascii="Arial" w:hAnsi="Arial" w:cs="Arial" w:eastAsia="Arial"/>
                <w:sz w:val="16"/>
                <w:szCs w:val="16"/>
              </w:rPr>
              <w:t>Contractor Site Supervisor</w:t>
            </w:r>
          </w:p>
        </w:tc>
        <w:tc>
          <w:tcPr>
            <w:tcW w:type="dxa" w:w="4889"/>
          </w:tcPr>
          <w:p>
            <w:pPr>
              <w:pStyle w:val="TableContents"/>
              <w:spacing w:before="0" w:after="0" w:line="240" w:lineRule="atLeast"/>
            </w:pPr>
            <w:r>
              <w:rPr>
                <w:rFonts w:ascii="Arial" w:hAnsi="Arial" w:cs="Arial" w:eastAsia="Arial"/>
                <w:sz w:val="16"/>
                <w:szCs w:val="16"/>
              </w:rPr>
              <w:t>Participate in audits as required. Implement and close out assigned corrective actions within defined timeframes. Escalate high-severity findings to the Contractor HSE Manager and the Company immediately.</w:t>
            </w:r>
          </w:p>
        </w:tc>
      </w:tr>
      <w:tr>
        <w:tc>
          <w:tcPr>
            <w:tcW w:type="dxa" w:w="4888"/>
          </w:tcPr>
          <w:p>
            <w:pPr>
              <w:pStyle w:val="TableContents"/>
              <w:spacing w:before="0" w:after="0" w:line="240" w:lineRule="atLeast"/>
            </w:pPr>
            <w:r>
              <w:rPr>
                <w:rFonts w:ascii="Arial" w:hAnsi="Arial" w:cs="Arial" w:eastAsia="Arial"/>
                <w:sz w:val="16"/>
                <w:szCs w:val="16"/>
              </w:rPr>
              <w:t>{'insert': True, 'field': 'ProjectRole_AdditionalRole'}</w:t>
            </w:r>
          </w:p>
        </w:tc>
        <w:tc>
          <w:tcPr>
            <w:tcW w:type="dxa" w:w="4889"/>
          </w:tcPr>
          <w:p>
            <w:pPr>
              <w:pStyle w:val="TableContents"/>
              <w:spacing w:before="0" w:after="0" w:line="240" w:lineRule="atLeast"/>
            </w:pPr>
            <w:r>
              <w:rPr>
                <w:rFonts w:ascii="Arial" w:hAnsi="Arial" w:cs="Arial" w:eastAsia="Arial"/>
                <w:sz w:val="16"/>
                <w:szCs w:val="16"/>
              </w:rPr>
              <w:t>{'insert': True, 'field': 'ProjectRole_AdditionalResponsibility'}</w:t>
            </w:r>
          </w:p>
        </w:tc>
      </w:tr>
    </w:tbl>
    <w:p>
      <w:pPr>
        <w:pStyle w:val="NormalNumberedtext"/>
      </w:pPr>
    </w:p>
    <w:p>
      <w:pPr>
        <w:pStyle w:val="Heading1Numbered"/>
        <w:numPr>
          <w:ilvl w:val="0"/>
          <w:numId w:val="1"/>
        </w:numPr>
      </w:pPr>
      <w:r>
        <w:rPr>
          <w:rFonts w:ascii="Arial" w:hAnsi="Arial" w:cs="Arial" w:eastAsia="Arial"/>
        </w:rPr>
        <w:t>Audit Programme</w:t>
      </w:r>
    </w:p>
    <w:p>
      <w:pPr>
        <w:pStyle w:val="NormalNumberedtext"/>
      </w:pPr>
      <w:r>
        <w:t>This section defines the planned project HSESC audit programme, covering audit types, frequency, scope, auditor competency, sampling methodology, and documentation requirements.</w:t>
      </w:r>
    </w:p>
    <w:p>
      <w:pPr>
        <w:pStyle w:val="NormalNumberedtext"/>
      </w:pPr>
    </w:p>
    <w:p>
      <w:pPr>
        <w:pStyle w:val="Heading2Numbered"/>
        <w:numPr>
          <w:ilvl w:val="1"/>
          <w:numId w:val="1"/>
        </w:numPr>
      </w:pPr>
      <w:r>
        <w:rPr>
          <w:rFonts w:ascii="Arial" w:hAnsi="Arial" w:cs="Arial" w:eastAsia="Arial"/>
        </w:rPr>
        <w:t>Audit Programme Structure</w:t>
      </w:r>
    </w:p>
    <w:p>
      <w:pPr>
        <w:pStyle w:val="NormalNumberedtext"/>
      </w:pPr>
      <w:r>
        <w:t>This section defines the types of audits included in the programme, their frequency, and the coverage requirements that apply to all project organisations.</w:t>
      </w:r>
    </w:p>
    <w:p>
      <w:pPr>
        <w:pStyle w:val="NormalNumberedtext"/>
      </w:pPr>
      <w:r>
        <w:t>The HSESC Manager establishes and maintains a planned HSESC audit programme for the full project duration, covering all phases from execution through to handover. The audit programme is documented as a schedule and reviewed at least every six months, or following a significant incident, a scope change, or a management of change outcome. The audit programme is informed by the project risk register maintained under [INSERT: Project Document Number], so that the scope and frequency of audits reflect the severity and likelihood of risks recorded for each work area, contractor, and activity.</w:t>
      </w:r>
    </w:p>
    <w:p>
      <w:pPr>
        <w:pStyle w:val="NormalNumberedtext"/>
      </w:pPr>
      <w:r>
        <w:t>The audit programme covers the following audit types:</w:t>
      </w:r>
    </w:p>
    <w:p>
      <w:pPr>
        <w:pStyle w:val="NormalNumberedtext"/>
      </w:pPr>
      <w:r>
        <w:t>Audit types included in the project programme are:</w:t>
      </w:r>
    </w:p>
    <w:p>
      <w:pPr>
        <w:pStyle w:val="NumberedBulletL1"/>
      </w:pPr>
      <w:r>
        <w:t>System audits - periodic audits of the HSESC management system as a whole, assessing whether all required elements are in place, implemented, and effective.</w:t>
      </w:r>
    </w:p>
    <w:p>
      <w:pPr>
        <w:pStyle w:val="NumberedBulletL1"/>
      </w:pPr>
      <w:r>
        <w:t>Compliance audits - audits against specific legal, regulatory, and contractual requirements applicable to the project, including permit conditions and licence obligations.</w:t>
      </w:r>
    </w:p>
    <w:p>
      <w:pPr>
        <w:pStyle w:val="NumberedBulletL1"/>
      </w:pPr>
      <w:r>
        <w:t>Specialised topic audits - focused audits on a single HSESC topic, such as critical risk controls, contractor management, community engagement compliance, or emergency preparedness.</w:t>
      </w:r>
    </w:p>
    <w:p>
      <w:pPr>
        <w:pStyle w:val="NumberedBulletL1"/>
      </w:pPr>
      <w:r>
        <w:rPr>
          <w:color w:val="C55A11"/>
        </w:rPr>
        <w:t>Specialised topic audits are triggered by risk register ratings, incident trends, CRM verification gaps, or management direction, and are not limited to scheduled dates.</w:t>
      </w:r>
    </w:p>
    <w:p>
      <w:pPr>
        <w:pStyle w:val="NormalNumberedtext"/>
      </w:pPr>
      <w:r>
        <w:t>The audit programme assesses the effectiveness of management controls against the objectives and targets set in the project management plans, not only checklist compliance. Auditors evaluate whether controls are preventing harm and achieving the intended risk reduction, consistent with IFC PS1 §22 requirements.</w:t>
      </w:r>
    </w:p>
    <w:p>
      <w:pPr>
        <w:pStyle w:val="NormalNumberedtext"/>
      </w:pPr>
      <w:r>
        <w:t>The audit programme confirms through regular audits that processes for preventing incidents are in place and that senior management is demonstrably accountable for safety and health outcomes, consistent with TSM Safe, Healthy and Respectful Workplaces Protocol Indicator SH3. Audit findings relating to senior management accountability are reported directly to the Project Director.</w:t>
      </w:r>
    </w:p>
    <w:p>
      <w:pPr>
        <w:pStyle w:val="NormalNumberedtext"/>
      </w:pPr>
      <w:r>
        <w:t>The audit programme applies to all contractor organisations and their subcontractors without exception. No scope of work or organisational area is exempt from the project audit and inspection programme. The HSESC Manager confirms that all contractor audit and inspection requirements extend to all contractor personnel and activities.</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0059D1"/>
                <w:sz w:val="16"/>
                <w:szCs w:val="16"/>
              </w:rPr>
              <w:t>[INSERT: Project Completion Guidance 1]</w:t>
            </w:r>
            <w:r>
              <w:rPr>
                <w:rFonts w:ascii="Arial" w:hAnsi="Arial" w:cs="Arial" w:eastAsia="Arial"/>
                <w:b/>
                <w:bCs/>
                <w:color w:val="C55A11"/>
                <w:sz w:val="16"/>
                <w:szCs w:val="16"/>
              </w:rPr>
              <w:t xml:space="preserve"> Develop the project HSESC audit schedule for the full project duration. The schedule must identify audit types, planned dates, responsible auditor or audit team lead, and the scope for each audit. Insert the completed schedule as a Gantt-style table below, or insert a reference to the approved project audit schedule document.</w:t>
            </w:r>
          </w:p>
        </w:tc>
      </w:tr>
    </w:tbl>
    <w:p>
      <w:pPr>
        <w:pStyle w:val="NormalNumberedtext"/>
      </w:pPr>
    </w:p>
    <w:p>
      <w:pPr>
        <w:pStyle w:val="NormalNumberedtext"/>
      </w:pPr>
      <w:r>
        <w:t>Table 2: Project HSESC Audit Schedule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Audit Type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Planned Date / Frequency</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Scope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Responsible Auditor</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Reference Document</w:t>
            </w:r>
          </w:p>
        </w:tc>
      </w:tr>
      <w:tr>
        <w:tc>
          <w:tcPr>
            <w:tcW w:type="dxa" w:w="1805"/>
          </w:tcPr>
          <w:p>
            <w:pPr>
              <w:pStyle w:val="TableContents"/>
              <w:spacing w:before="0" w:after="0" w:line="240" w:lineRule="atLeast"/>
            </w:pPr>
            <w:r>
              <w:rPr>
                <w:rFonts w:ascii="Arial" w:hAnsi="Arial" w:cs="Arial" w:eastAsia="Arial"/>
                <w:sz w:val="16"/>
                <w:szCs w:val="16"/>
              </w:rPr>
              <w:t>{'insert': True, 'field': 'AuditSchedule_AuditType_1'}</w:t>
            </w:r>
          </w:p>
        </w:tc>
        <w:tc>
          <w:tcPr>
            <w:tcW w:type="dxa" w:w="1805"/>
          </w:tcPr>
          <w:p>
            <w:pPr>
              <w:pStyle w:val="TableContents"/>
              <w:spacing w:before="0" w:after="0" w:line="240" w:lineRule="atLeast"/>
            </w:pPr>
            <w:r>
              <w:rPr>
                <w:rFonts w:ascii="Arial" w:hAnsi="Arial" w:cs="Arial" w:eastAsia="Arial"/>
                <w:sz w:val="16"/>
                <w:szCs w:val="16"/>
              </w:rPr>
              <w:t>{'insert': True, 'field': 'AuditSchedule_Date_1'}</w:t>
            </w:r>
          </w:p>
        </w:tc>
        <w:tc>
          <w:tcPr>
            <w:tcW w:type="dxa" w:w="1805"/>
          </w:tcPr>
          <w:p>
            <w:pPr>
              <w:pStyle w:val="TableContents"/>
              <w:spacing w:before="0" w:after="0" w:line="240" w:lineRule="atLeast"/>
            </w:pPr>
            <w:r>
              <w:rPr>
                <w:rFonts w:ascii="Arial" w:hAnsi="Arial" w:cs="Arial" w:eastAsia="Arial"/>
                <w:sz w:val="16"/>
                <w:szCs w:val="16"/>
              </w:rPr>
              <w:t>{'insert': True, 'field': 'AuditSchedule_Scope_1'}</w:t>
            </w:r>
          </w:p>
        </w:tc>
        <w:tc>
          <w:tcPr>
            <w:tcW w:type="dxa" w:w="1805"/>
          </w:tcPr>
          <w:p>
            <w:pPr>
              <w:pStyle w:val="TableContents"/>
              <w:spacing w:before="0" w:after="0" w:line="240" w:lineRule="atLeast"/>
            </w:pPr>
            <w:r>
              <w:rPr>
                <w:rFonts w:ascii="Arial" w:hAnsi="Arial" w:cs="Arial" w:eastAsia="Arial"/>
                <w:sz w:val="16"/>
                <w:szCs w:val="16"/>
              </w:rPr>
              <w:t>{'insert': True, 'field': 'AuditSchedule_Auditor_1'}</w:t>
            </w:r>
          </w:p>
        </w:tc>
        <w:tc>
          <w:tcPr>
            <w:tcW w:type="dxa" w:w="1806"/>
          </w:tcPr>
          <w:p>
            <w:pPr>
              <w:pStyle w:val="TableContents"/>
              <w:spacing w:before="0" w:after="0" w:line="240" w:lineRule="atLeast"/>
            </w:pPr>
            <w:r>
              <w:rPr>
                <w:rFonts w:ascii="Arial" w:hAnsi="Arial" w:cs="Arial" w:eastAsia="Arial"/>
                <w:sz w:val="16"/>
                <w:szCs w:val="16"/>
              </w:rPr>
              <w:t>{'insert': True, 'field': 'AuditSchedule_Reference_1'}</w:t>
            </w:r>
          </w:p>
        </w:tc>
      </w:tr>
      <w:tr>
        <w:tc>
          <w:tcPr>
            <w:tcW w:type="dxa" w:w="1805"/>
          </w:tcPr>
          <w:p>
            <w:pPr>
              <w:pStyle w:val="TableContents"/>
              <w:spacing w:before="0" w:after="0" w:line="240" w:lineRule="atLeast"/>
            </w:pPr>
            <w:r>
              <w:rPr>
                <w:rFonts w:ascii="Arial" w:hAnsi="Arial" w:cs="Arial" w:eastAsia="Arial"/>
                <w:sz w:val="16"/>
                <w:szCs w:val="16"/>
              </w:rPr>
              <w:t>{'insert': True, 'field': 'AuditSchedule_AuditType_2'}</w:t>
            </w:r>
          </w:p>
        </w:tc>
        <w:tc>
          <w:tcPr>
            <w:tcW w:type="dxa" w:w="1805"/>
          </w:tcPr>
          <w:p>
            <w:pPr>
              <w:pStyle w:val="TableContents"/>
              <w:spacing w:before="0" w:after="0" w:line="240" w:lineRule="atLeast"/>
            </w:pPr>
            <w:r>
              <w:rPr>
                <w:rFonts w:ascii="Arial" w:hAnsi="Arial" w:cs="Arial" w:eastAsia="Arial"/>
                <w:sz w:val="16"/>
                <w:szCs w:val="16"/>
              </w:rPr>
              <w:t>{'insert': True, 'field': 'AuditSchedule_Date_2'}</w:t>
            </w:r>
          </w:p>
        </w:tc>
        <w:tc>
          <w:tcPr>
            <w:tcW w:type="dxa" w:w="1805"/>
          </w:tcPr>
          <w:p>
            <w:pPr>
              <w:pStyle w:val="TableContents"/>
              <w:spacing w:before="0" w:after="0" w:line="240" w:lineRule="atLeast"/>
            </w:pPr>
            <w:r>
              <w:rPr>
                <w:rFonts w:ascii="Arial" w:hAnsi="Arial" w:cs="Arial" w:eastAsia="Arial"/>
                <w:sz w:val="16"/>
                <w:szCs w:val="16"/>
              </w:rPr>
              <w:t>{'insert': True, 'field': 'AuditSchedule_Scope_2'}</w:t>
            </w:r>
          </w:p>
        </w:tc>
        <w:tc>
          <w:tcPr>
            <w:tcW w:type="dxa" w:w="1805"/>
          </w:tcPr>
          <w:p>
            <w:pPr>
              <w:pStyle w:val="TableContents"/>
              <w:spacing w:before="0" w:after="0" w:line="240" w:lineRule="atLeast"/>
            </w:pPr>
            <w:r>
              <w:rPr>
                <w:rFonts w:ascii="Arial" w:hAnsi="Arial" w:cs="Arial" w:eastAsia="Arial"/>
                <w:sz w:val="16"/>
                <w:szCs w:val="16"/>
              </w:rPr>
              <w:t>{'insert': True, 'field': 'AuditSchedule_Auditor_2'}</w:t>
            </w:r>
          </w:p>
        </w:tc>
        <w:tc>
          <w:tcPr>
            <w:tcW w:type="dxa" w:w="1806"/>
          </w:tcPr>
          <w:p>
            <w:pPr>
              <w:pStyle w:val="TableContents"/>
              <w:spacing w:before="0" w:after="0" w:line="240" w:lineRule="atLeast"/>
            </w:pPr>
            <w:r>
              <w:rPr>
                <w:rFonts w:ascii="Arial" w:hAnsi="Arial" w:cs="Arial" w:eastAsia="Arial"/>
                <w:sz w:val="16"/>
                <w:szCs w:val="16"/>
              </w:rPr>
              <w:t>{'insert': True, 'field': 'AuditSchedule_Reference_2'}</w:t>
            </w:r>
          </w:p>
        </w:tc>
      </w:tr>
      <w:tr>
        <w:tc>
          <w:tcPr>
            <w:tcW w:type="dxa" w:w="1805"/>
          </w:tcPr>
          <w:p>
            <w:pPr>
              <w:pStyle w:val="TableContents"/>
              <w:spacing w:before="0" w:after="0" w:line="240" w:lineRule="atLeast"/>
            </w:pPr>
            <w:r>
              <w:rPr>
                <w:rFonts w:ascii="Arial" w:hAnsi="Arial" w:cs="Arial" w:eastAsia="Arial"/>
                <w:sz w:val="16"/>
                <w:szCs w:val="16"/>
              </w:rPr>
              <w:t>{'insert': True, 'field': 'AuditSchedule_AuditType_3'}</w:t>
            </w:r>
          </w:p>
        </w:tc>
        <w:tc>
          <w:tcPr>
            <w:tcW w:type="dxa" w:w="1805"/>
          </w:tcPr>
          <w:p>
            <w:pPr>
              <w:pStyle w:val="TableContents"/>
              <w:spacing w:before="0" w:after="0" w:line="240" w:lineRule="atLeast"/>
            </w:pPr>
            <w:r>
              <w:rPr>
                <w:rFonts w:ascii="Arial" w:hAnsi="Arial" w:cs="Arial" w:eastAsia="Arial"/>
                <w:sz w:val="16"/>
                <w:szCs w:val="16"/>
              </w:rPr>
              <w:t>{'insert': True, 'field': 'AuditSchedule_Date_3'}</w:t>
            </w:r>
          </w:p>
        </w:tc>
        <w:tc>
          <w:tcPr>
            <w:tcW w:type="dxa" w:w="1805"/>
          </w:tcPr>
          <w:p>
            <w:pPr>
              <w:pStyle w:val="TableContents"/>
              <w:spacing w:before="0" w:after="0" w:line="240" w:lineRule="atLeast"/>
            </w:pPr>
            <w:r>
              <w:rPr>
                <w:rFonts w:ascii="Arial" w:hAnsi="Arial" w:cs="Arial" w:eastAsia="Arial"/>
                <w:sz w:val="16"/>
                <w:szCs w:val="16"/>
              </w:rPr>
              <w:t>{'insert': True, 'field': 'AuditSchedule_Scope_3'}</w:t>
            </w:r>
          </w:p>
        </w:tc>
        <w:tc>
          <w:tcPr>
            <w:tcW w:type="dxa" w:w="1805"/>
          </w:tcPr>
          <w:p>
            <w:pPr>
              <w:pStyle w:val="TableContents"/>
              <w:spacing w:before="0" w:after="0" w:line="240" w:lineRule="atLeast"/>
            </w:pPr>
            <w:r>
              <w:rPr>
                <w:rFonts w:ascii="Arial" w:hAnsi="Arial" w:cs="Arial" w:eastAsia="Arial"/>
                <w:sz w:val="16"/>
                <w:szCs w:val="16"/>
              </w:rPr>
              <w:t>{'insert': True, 'field': 'AuditSchedule_Auditor_3'}</w:t>
            </w:r>
          </w:p>
        </w:tc>
        <w:tc>
          <w:tcPr>
            <w:tcW w:type="dxa" w:w="1806"/>
          </w:tcPr>
          <w:p>
            <w:pPr>
              <w:pStyle w:val="TableContents"/>
              <w:spacing w:before="0" w:after="0" w:line="240" w:lineRule="atLeast"/>
            </w:pPr>
            <w:r>
              <w:rPr>
                <w:rFonts w:ascii="Arial" w:hAnsi="Arial" w:cs="Arial" w:eastAsia="Arial"/>
                <w:sz w:val="16"/>
                <w:szCs w:val="16"/>
              </w:rPr>
              <w:t>{'insert': True, 'field': 'AuditSchedule_Reference_3'}</w:t>
            </w:r>
          </w:p>
        </w:tc>
      </w:tr>
    </w:tbl>
    <w:p>
      <w:pPr>
        <w:pStyle w:val="NormalNumberedtext"/>
      </w:pPr>
    </w:p>
    <w:p>
      <w:pPr>
        <w:pStyle w:val="Heading2Numbered"/>
        <w:numPr>
          <w:ilvl w:val="1"/>
          <w:numId w:val="1"/>
        </w:numPr>
      </w:pPr>
      <w:r>
        <w:rPr>
          <w:rFonts w:ascii="Arial" w:hAnsi="Arial" w:cs="Arial" w:eastAsia="Arial"/>
        </w:rPr>
        <w:t>Auditor Competency Requirements</w:t>
      </w:r>
    </w:p>
    <w:p>
      <w:pPr>
        <w:pStyle w:val="NormalNumberedtext"/>
      </w:pPr>
      <w:r>
        <w:t>This section defines the minimum competency and experience required to lead each audit type on this project.</w:t>
      </w:r>
    </w:p>
    <w:p>
      <w:pPr>
        <w:pStyle w:val="NormalNumberedtext"/>
      </w:pPr>
      <w:r>
        <w:t>The HSESC Manager confirms that all auditors assigned to the project audit programme hold the competency and experience required for the audit type they are leading before the audit commences. Auditors who do not meet the minimum competency for a given audit type may participate as team members but must not lead that audit.</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0059D1"/>
                <w:sz w:val="16"/>
                <w:szCs w:val="16"/>
              </w:rPr>
              <w:t>[INSERT: Project Completion Guidance 4]</w:t>
            </w:r>
            <w:r>
              <w:rPr>
                <w:rFonts w:ascii="Arial" w:hAnsi="Arial" w:cs="Arial" w:eastAsia="Arial"/>
                <w:b/>
                <w:bCs/>
                <w:color w:val="C55A11"/>
                <w:sz w:val="16"/>
                <w:szCs w:val="16"/>
              </w:rPr>
              <w:t xml:space="preserve"> Define the project auditor competency requirements. For each audit type in the programme, specify the qualifications, certifications, or experience required to lead the audit on this project. The table below must be completed before this document is issued.</w:t>
            </w:r>
          </w:p>
        </w:tc>
      </w:tr>
    </w:tbl>
    <w:p>
      <w:pPr>
        <w:pStyle w:val="NormalNumberedtext"/>
      </w:pPr>
    </w:p>
    <w:p>
      <w:pPr>
        <w:pStyle w:val="NormalNumberedtext"/>
      </w:pPr>
      <w:r>
        <w:t>Table 3: Project Auditor Competency Requirements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Audit Type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Minimum Lead Auditor Qualification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Minimum Experience 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Additional Requirements</w:t>
            </w:r>
          </w:p>
        </w:tc>
      </w:tr>
      <w:tr>
        <w:tc>
          <w:tcPr>
            <w:tcW w:type="dxa" w:w="2256"/>
          </w:tcPr>
          <w:p>
            <w:pPr>
              <w:pStyle w:val="TableContents"/>
              <w:spacing w:before="0" w:after="0" w:line="240" w:lineRule="atLeast"/>
            </w:pPr>
            <w:r>
              <w:rPr>
                <w:rFonts w:ascii="Arial" w:hAnsi="Arial" w:cs="Arial" w:eastAsia="Arial"/>
                <w:sz w:val="16"/>
                <w:szCs w:val="16"/>
              </w:rPr>
              <w:t>System Audit</w:t>
            </w:r>
          </w:p>
        </w:tc>
        <w:tc>
          <w:tcPr>
            <w:tcW w:type="dxa" w:w="2256"/>
          </w:tcPr>
          <w:p>
            <w:pPr>
              <w:pStyle w:val="TableContents"/>
              <w:spacing w:before="0" w:after="0" w:line="240" w:lineRule="atLeast"/>
            </w:pPr>
            <w:r>
              <w:rPr>
                <w:rFonts w:ascii="Arial" w:hAnsi="Arial" w:cs="Arial" w:eastAsia="Arial"/>
                <w:sz w:val="16"/>
                <w:szCs w:val="16"/>
              </w:rPr>
              <w:t>{'insert': True, 'field': 'AuditorComp_SystemAudit_Qualification'}</w:t>
            </w:r>
          </w:p>
        </w:tc>
        <w:tc>
          <w:tcPr>
            <w:tcW w:type="dxa" w:w="2256"/>
          </w:tcPr>
          <w:p>
            <w:pPr>
              <w:pStyle w:val="TableContents"/>
              <w:spacing w:before="0" w:after="0" w:line="240" w:lineRule="atLeast"/>
            </w:pPr>
            <w:r>
              <w:rPr>
                <w:rFonts w:ascii="Arial" w:hAnsi="Arial" w:cs="Arial" w:eastAsia="Arial"/>
                <w:sz w:val="16"/>
                <w:szCs w:val="16"/>
              </w:rPr>
              <w:t>{'insert': True, 'field': 'AuditorComp_SystemAudit_Experience'}</w:t>
            </w:r>
          </w:p>
        </w:tc>
        <w:tc>
          <w:tcPr>
            <w:tcW w:type="dxa" w:w="2258"/>
          </w:tcPr>
          <w:p>
            <w:pPr>
              <w:pStyle w:val="TableContents"/>
              <w:spacing w:before="0" w:after="0" w:line="240" w:lineRule="atLeast"/>
            </w:pPr>
            <w:r>
              <w:rPr>
                <w:rFonts w:ascii="Arial" w:hAnsi="Arial" w:cs="Arial" w:eastAsia="Arial"/>
                <w:sz w:val="16"/>
                <w:szCs w:val="16"/>
              </w:rPr>
              <w:t>{'insert': True, 'field': 'AuditorComp_SystemAudit_Additional'}</w:t>
            </w:r>
          </w:p>
        </w:tc>
      </w:tr>
      <w:tr>
        <w:tc>
          <w:tcPr>
            <w:tcW w:type="dxa" w:w="2256"/>
          </w:tcPr>
          <w:p>
            <w:pPr>
              <w:pStyle w:val="TableContents"/>
              <w:spacing w:before="0" w:after="0" w:line="240" w:lineRule="atLeast"/>
            </w:pPr>
            <w:r>
              <w:rPr>
                <w:rFonts w:ascii="Arial" w:hAnsi="Arial" w:cs="Arial" w:eastAsia="Arial"/>
                <w:sz w:val="16"/>
                <w:szCs w:val="16"/>
              </w:rPr>
              <w:t>Compliance Audit</w:t>
            </w:r>
          </w:p>
        </w:tc>
        <w:tc>
          <w:tcPr>
            <w:tcW w:type="dxa" w:w="2256"/>
          </w:tcPr>
          <w:p>
            <w:pPr>
              <w:pStyle w:val="TableContents"/>
              <w:spacing w:before="0" w:after="0" w:line="240" w:lineRule="atLeast"/>
            </w:pPr>
            <w:r>
              <w:rPr>
                <w:rFonts w:ascii="Arial" w:hAnsi="Arial" w:cs="Arial" w:eastAsia="Arial"/>
                <w:sz w:val="16"/>
                <w:szCs w:val="16"/>
              </w:rPr>
              <w:t>{'insert': True, 'field': 'AuditorComp_ComplianceAudit_Qualification'}</w:t>
            </w:r>
          </w:p>
        </w:tc>
        <w:tc>
          <w:tcPr>
            <w:tcW w:type="dxa" w:w="2256"/>
          </w:tcPr>
          <w:p>
            <w:pPr>
              <w:pStyle w:val="TableContents"/>
              <w:spacing w:before="0" w:after="0" w:line="240" w:lineRule="atLeast"/>
            </w:pPr>
            <w:r>
              <w:rPr>
                <w:rFonts w:ascii="Arial" w:hAnsi="Arial" w:cs="Arial" w:eastAsia="Arial"/>
                <w:sz w:val="16"/>
                <w:szCs w:val="16"/>
              </w:rPr>
              <w:t>{'insert': True, 'field': 'AuditorComp_ComplianceAudit_Experience'}</w:t>
            </w:r>
          </w:p>
        </w:tc>
        <w:tc>
          <w:tcPr>
            <w:tcW w:type="dxa" w:w="2258"/>
          </w:tcPr>
          <w:p>
            <w:pPr>
              <w:pStyle w:val="TableContents"/>
              <w:spacing w:before="0" w:after="0" w:line="240" w:lineRule="atLeast"/>
            </w:pPr>
            <w:r>
              <w:rPr>
                <w:rFonts w:ascii="Arial" w:hAnsi="Arial" w:cs="Arial" w:eastAsia="Arial"/>
                <w:sz w:val="16"/>
                <w:szCs w:val="16"/>
              </w:rPr>
              <w:t>{'insert': True, 'field': 'AuditorComp_ComplianceAudit_Additional'}</w:t>
            </w:r>
          </w:p>
        </w:tc>
      </w:tr>
      <w:tr>
        <w:tc>
          <w:tcPr>
            <w:tcW w:type="dxa" w:w="2256"/>
          </w:tcPr>
          <w:p>
            <w:pPr>
              <w:pStyle w:val="TableContents"/>
              <w:spacing w:before="0" w:after="0" w:line="240" w:lineRule="atLeast"/>
            </w:pPr>
            <w:r>
              <w:rPr>
                <w:rFonts w:ascii="Arial" w:hAnsi="Arial" w:cs="Arial" w:eastAsia="Arial"/>
                <w:sz w:val="16"/>
                <w:szCs w:val="16"/>
              </w:rPr>
              <w:t>Specialised Topic Audit</w:t>
            </w:r>
          </w:p>
        </w:tc>
        <w:tc>
          <w:tcPr>
            <w:tcW w:type="dxa" w:w="2256"/>
          </w:tcPr>
          <w:p>
            <w:pPr>
              <w:pStyle w:val="TableContents"/>
              <w:spacing w:before="0" w:after="0" w:line="240" w:lineRule="atLeast"/>
            </w:pPr>
            <w:r>
              <w:rPr>
                <w:rFonts w:ascii="Arial" w:hAnsi="Arial" w:cs="Arial" w:eastAsia="Arial"/>
                <w:sz w:val="16"/>
                <w:szCs w:val="16"/>
              </w:rPr>
              <w:t>{'insert': True, 'field': 'AuditorComp_TopicAudit_Qualification'}</w:t>
            </w:r>
          </w:p>
        </w:tc>
        <w:tc>
          <w:tcPr>
            <w:tcW w:type="dxa" w:w="2256"/>
          </w:tcPr>
          <w:p>
            <w:pPr>
              <w:pStyle w:val="TableContents"/>
              <w:spacing w:before="0" w:after="0" w:line="240" w:lineRule="atLeast"/>
            </w:pPr>
            <w:r>
              <w:rPr>
                <w:rFonts w:ascii="Arial" w:hAnsi="Arial" w:cs="Arial" w:eastAsia="Arial"/>
                <w:sz w:val="16"/>
                <w:szCs w:val="16"/>
              </w:rPr>
              <w:t>{'insert': True, 'field': 'AuditorComp_TopicAudit_Experience'}</w:t>
            </w:r>
          </w:p>
        </w:tc>
        <w:tc>
          <w:tcPr>
            <w:tcW w:type="dxa" w:w="2258"/>
          </w:tcPr>
          <w:p>
            <w:pPr>
              <w:pStyle w:val="TableContents"/>
              <w:spacing w:before="0" w:after="0" w:line="240" w:lineRule="atLeast"/>
            </w:pPr>
            <w:r>
              <w:rPr>
                <w:rFonts w:ascii="Arial" w:hAnsi="Arial" w:cs="Arial" w:eastAsia="Arial"/>
                <w:sz w:val="16"/>
                <w:szCs w:val="16"/>
              </w:rPr>
              <w:t>{'insert': True, 'field': 'AuditorComp_TopicAudit_Additional'}</w:t>
            </w:r>
          </w:p>
        </w:tc>
      </w:tr>
    </w:tbl>
    <w:p>
      <w:pPr>
        <w:pStyle w:val="NormalNumberedtext"/>
      </w:pPr>
    </w:p>
    <w:p>
      <w:pPr>
        <w:pStyle w:val="Heading2Numbered"/>
        <w:numPr>
          <w:ilvl w:val="1"/>
          <w:numId w:val="1"/>
        </w:numPr>
      </w:pPr>
      <w:r>
        <w:rPr>
          <w:rFonts w:ascii="Arial" w:hAnsi="Arial" w:cs="Arial" w:eastAsia="Arial"/>
        </w:rPr>
        <w:t>Sampling Methodology and Documentation</w:t>
      </w:r>
    </w:p>
    <w:p>
      <w:pPr>
        <w:pStyle w:val="NormalNumberedtext"/>
      </w:pPr>
      <w:r>
        <w:t>This section defines the sampling approach applied during audits and the documentation requirements for all audit records.</w:t>
      </w:r>
    </w:p>
    <w:p>
      <w:pPr>
        <w:pStyle w:val="NormalNumberedtext"/>
      </w:pPr>
      <w:r>
        <w:t>The lead auditor defines a sampling methodology in the audit plan for each audit, identifying the work areas, activities, personnel, records, and controls to be sampled. The sampling methodology is risk-based, weighting coverage toward higher-risk activities, critical risk control verifications, and areas with prior non-conformance history.</w:t>
      </w:r>
    </w:p>
    <w:p>
      <w:pPr>
        <w:pStyle w:val="NormalNumberedtext"/>
      </w:pPr>
      <w:r>
        <w:t>All audit records, including audit plans, evidence collected, finding records, and issued reports, are retained as project records and controlled under [INSERT: Project Document Number] (Document Control). Audit records are retained for the full project duration and for the retention period specified in the project document control register.</w:t>
      </w:r>
    </w:p>
    <w:p>
      <w:pPr>
        <w:pStyle w:val="NormalNumberedtext"/>
      </w:pPr>
      <w:r>
        <w:t>Minimum documentation requirements for each audit are:</w:t>
      </w:r>
    </w:p>
    <w:p>
      <w:pPr>
        <w:pStyle w:val="NumberedBulletL1"/>
      </w:pPr>
      <w:r>
        <w:t>Approved audit plan, including scope, objectives, sampling methodology, and audit team composition.</w:t>
      </w:r>
    </w:p>
    <w:p>
      <w:pPr>
        <w:pStyle w:val="NumberedBulletL1"/>
      </w:pPr>
      <w:r>
        <w:t>Opening and closing meeting attendance records.</w:t>
      </w:r>
    </w:p>
    <w:p>
      <w:pPr>
        <w:pStyle w:val="NumberedBulletL1"/>
      </w:pPr>
      <w:r>
        <w:t>Evidence records for each finding, including photographs, document references, or witness statements.</w:t>
      </w:r>
    </w:p>
    <w:p>
      <w:pPr>
        <w:pStyle w:val="NumberedBulletL1"/>
      </w:pPr>
      <w:r>
        <w:rPr>
          <w:color w:val="C55A11"/>
        </w:rPr>
        <w:t>Completed finding register with severity classification, finding description, root cause, and assigned corrective action.</w:t>
      </w:r>
    </w:p>
    <w:p>
      <w:pPr>
        <w:pStyle w:val="NumberedBulletL1"/>
      </w:pPr>
      <w:r>
        <w:t>Issued audit report distributed to all relevant parties.</w:t>
      </w:r>
    </w:p>
    <w:p>
      <w:pPr>
        <w:pStyle w:val="NumberedBulletL1"/>
      </w:pPr>
      <w:r>
        <w:t>Audit records stored in the project document management system - [INSERT: document management system name and location].</w:t>
      </w:r>
    </w:p>
    <w:p>
      <w:pPr>
        <w:pStyle w:val="NormalNumberedtext"/>
      </w:pPr>
    </w:p>
    <w:p>
      <w:pPr>
        <w:pStyle w:val="Heading1Numbered"/>
        <w:numPr>
          <w:ilvl w:val="0"/>
          <w:numId w:val="1"/>
        </w:numPr>
      </w:pPr>
      <w:r>
        <w:rPr>
          <w:rFonts w:ascii="Arial" w:hAnsi="Arial" w:cs="Arial" w:eastAsia="Arial"/>
        </w:rPr>
        <w:t>Audit Conduct and Reporting</w:t>
      </w:r>
    </w:p>
    <w:p>
      <w:pPr>
        <w:pStyle w:val="NormalNumberedtext"/>
      </w:pPr>
      <w:r>
        <w:t>This section defines the audit process from planning through to report issuance, access requirements for Rio Tinto audit teams, and the requirement to evaluate systemic patterns in audit findings.</w:t>
      </w:r>
    </w:p>
    <w:p>
      <w:pPr>
        <w:pStyle w:val="NormalNumberedtext"/>
      </w:pPr>
    </w:p>
    <w:p>
      <w:pPr>
        <w:pStyle w:val="Heading2Numbered"/>
        <w:numPr>
          <w:ilvl w:val="1"/>
          <w:numId w:val="1"/>
        </w:numPr>
      </w:pPr>
      <w:r>
        <w:rPr>
          <w:rFonts w:ascii="Arial" w:hAnsi="Arial" w:cs="Arial" w:eastAsia="Arial"/>
        </w:rPr>
        <w:t>Audit Process</w:t>
      </w:r>
    </w:p>
    <w:p>
      <w:pPr>
        <w:pStyle w:val="NormalNumberedtext"/>
      </w:pPr>
      <w:r>
        <w:t>This section defines the sequential steps of the audit process, from planning through to report issuance and distribution.</w:t>
      </w:r>
    </w:p>
    <w:p>
      <w:pPr>
        <w:pStyle w:val="NormalNumberedtext"/>
      </w:pPr>
      <w:r>
        <w:t>The lead auditor follows the audit process defined in this section for every scheduled and unscheduled audit conducted on the project. The process applies to audits conducted by the Rio Tinto project team and to contractor-led audits submitted to the Company.</w:t>
      </w:r>
    </w:p>
    <w:p>
      <w:pPr>
        <w:pStyle w:val="NormalNumberedtext"/>
      </w:pPr>
      <w:r>
        <w:t>The audit process consists of the following sequential steps:</w:t>
      </w:r>
    </w:p>
    <w:p>
      <w:pPr>
        <w:pStyle w:val="NumberedBulletL1"/>
      </w:pPr>
      <w:r>
        <w:t>Planning - the lead auditor prepares an audit plan defining scope, objectives, areas and activities to be covered, team roles, sampling methodology, and planned audit dates. The plan is issued to the auditee at least five working days before the audit commences.</w:t>
      </w:r>
    </w:p>
    <w:p>
      <w:pPr>
        <w:pStyle w:val="NumberedBulletL1"/>
      </w:pPr>
      <w:r>
        <w:t>Opening meeting - the lead auditor conducts an opening meeting with the auditee's management and HSESC personnel to confirm scope, logistics, and access requirements before evidence gathering begins.</w:t>
      </w:r>
    </w:p>
    <w:p>
      <w:pPr>
        <w:pStyle w:val="NumberedBulletL1"/>
      </w:pPr>
      <w:r>
        <w:t>Evidence gathering - the audit team collects objective evidence through document review, observation of work activities and physical conditions, and interviews with personnel. The audit team samples records, permits, risk assessments, training records, and control verification logs relevant to the audit scope.</w:t>
      </w:r>
    </w:p>
    <w:p>
      <w:pPr>
        <w:pStyle w:val="NumberedBulletL1"/>
      </w:pPr>
      <w:r>
        <w:t>Finding classification - the lead auditor classifies each finding by severity (High, Medium, or Low) using the project finding severity classification criteria defined in Section 5 of this procedure.</w:t>
      </w:r>
    </w:p>
    <w:p>
      <w:pPr>
        <w:pStyle w:val="NumberedBulletL1"/>
      </w:pPr>
      <w:r>
        <w:t>Closing meeting - the lead auditor presents all findings to the auditee's management at the closing meeting, confirms the finding classification for each item, and agrees the initial corrective action response timeline.</w:t>
      </w:r>
    </w:p>
    <w:p>
      <w:pPr>
        <w:pStyle w:val="NumberedBulletL1"/>
      </w:pPr>
      <w:r>
        <w:t>Report issuance - the lead auditor issues the completed audit report to all relevant parties within</w:t>
      </w:r>
    </w:p>
    <w:p>
      <w:pPr>
        <w:pStyle w:val="NumberedBulletL1"/>
      </w:pPr>
      <w:r>
        <w:rPr>
          <w:color w:val="C55A11"/>
        </w:rPr>
        <w:t>ten working days of the closing meeting. The report is retained in the project document management system under [INSERT: Project Document Number].</w:t>
      </w:r>
    </w:p>
    <w:p>
      <w:pPr>
        <w:pStyle w:val="NormalNumberedtext"/>
      </w:pPr>
      <w:r>
        <w:t>Audit reports are distributed to all relevant parties upon issuance, including the Project Director, HSESC Manager, the auditee's management, and any other party with corrective action responsibilities identified in the report. Reports are retained as project records under [INSERT: Project Document Number].</w:t>
      </w:r>
    </w:p>
    <w:p>
      <w:pPr>
        <w:pStyle w:val="NormalNumberedtext"/>
      </w:pPr>
    </w:p>
    <w:p>
      <w:pPr>
        <w:pStyle w:val="Heading2Numbered"/>
        <w:numPr>
          <w:ilvl w:val="1"/>
          <w:numId w:val="1"/>
        </w:numPr>
      </w:pPr>
      <w:r>
        <w:rPr>
          <w:rFonts w:ascii="Arial" w:hAnsi="Arial" w:cs="Arial" w:eastAsia="Arial"/>
        </w:rPr>
        <w:t>Rio Tinto Audit Team Access</w:t>
      </w:r>
    </w:p>
    <w:p>
      <w:pPr>
        <w:pStyle w:val="NormalNumberedtext"/>
      </w:pPr>
      <w:r>
        <w:t>This section defines the access obligations that apply to all contractor organisations during audits conducted by Rio Tinto audit teams.</w:t>
      </w:r>
    </w:p>
    <w:p>
      <w:pPr>
        <w:pStyle w:val="NormalNumberedtext"/>
      </w:pPr>
      <w:r>
        <w:t>All contractor organisations and their subcontractors provide unrestricted access to Rio Tinto audit teams during reasonable working hours. Access extends to all contractor facilities, equipment, materials, personnel, and records relevant to the audit scope. Rio Tinto audit teams provide a minimum of two working days advance notice before accessing contractor facilities, except where an unannounced audit is required due to an incident, an emerging risk, or a stop-work event.</w:t>
      </w:r>
    </w:p>
    <w:p>
      <w:pPr>
        <w:pStyle w:val="NormalNumberedtext"/>
      </w:pPr>
      <w:r>
        <w:t>Results of all contractor-led audits and inspections are shared with the Company upon request. Audit findings, corrective action plans, and closeout status must be available to the Company at all times and must not be withheld on grounds of commercial sensitivity or internal review status.</w:t>
      </w:r>
    </w:p>
    <w:p>
      <w:pPr>
        <w:pStyle w:val="NormalNumberedtext"/>
      </w:pPr>
    </w:p>
    <w:p>
      <w:pPr>
        <w:pStyle w:val="Heading2Numbered"/>
        <w:numPr>
          <w:ilvl w:val="1"/>
          <w:numId w:val="1"/>
        </w:numPr>
      </w:pPr>
      <w:r>
        <w:rPr>
          <w:rFonts w:ascii="Arial" w:hAnsi="Arial" w:cs="Arial" w:eastAsia="Arial"/>
        </w:rPr>
        <w:t>Systemic Finding Evaluation</w:t>
      </w:r>
    </w:p>
    <w:p>
      <w:pPr>
        <w:pStyle w:val="NormalNumberedtext"/>
      </w:pPr>
      <w:r>
        <w:t>This section defines the requirement to evaluate audit findings for systemic management system gaps and recurring performance patterns.</w:t>
      </w:r>
    </w:p>
    <w:p>
      <w:pPr>
        <w:pStyle w:val="NormalNumberedtext"/>
      </w:pPr>
      <w:r>
        <w:t>The lead auditor evaluates audit findings not only as individual non-conformances but for what they reveal about systemic management system gaps or recurring performance patterns. Where two or more findings across separate audits indicate a common root cause, the HSESC Manager records the systemic pattern in the improvement register under [INSERT: Project Document Number] and initiates a systemic corrective action.</w:t>
      </w:r>
    </w:p>
    <w:p>
      <w:pPr>
        <w:pStyle w:val="NormalNumberedtext"/>
      </w:pPr>
      <w:r>
        <w:t>Systemic finding analysis is included in the audit report as a distinct section. The HSESC Manager presents systemic finding analysis as an input to management review under [INSERT: Project Document Number] at each scheduled management review cycle.</w:t>
      </w:r>
    </w:p>
    <w:p>
      <w:pPr>
        <w:pStyle w:val="NormalNumberedtext"/>
      </w:pPr>
    </w:p>
    <w:p>
      <w:pPr>
        <w:pStyle w:val="Heading1Numbered"/>
        <w:numPr>
          <w:ilvl w:val="0"/>
          <w:numId w:val="1"/>
        </w:numPr>
      </w:pPr>
      <w:r>
        <w:rPr>
          <w:rFonts w:ascii="Arial" w:hAnsi="Arial" w:cs="Arial" w:eastAsia="Arial"/>
        </w:rPr>
        <w:t>Finding Severity Classification</w:t>
      </w:r>
    </w:p>
    <w:p>
      <w:pPr>
        <w:pStyle w:val="NormalNumberedtext"/>
      </w:pPr>
      <w:r>
        <w:t>This section defines the three-tier finding severity classification system applied to all audit and inspection findings on this project.</w:t>
      </w:r>
    </w:p>
    <w:p>
      <w:pPr>
        <w:pStyle w:val="NormalNumberedtext"/>
      </w:pPr>
      <w:r>
        <w:t>The lead auditor classifies every audit finding as High, Medium, or Low severity using the project finding severity classification criteria defined in this section. Severity classification determines the corrective action response timeline, the escalation pathway, and the verification requirement for closeout.</w:t>
      </w:r>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0059D1"/>
                <w:sz w:val="16"/>
                <w:szCs w:val="16"/>
              </w:rPr>
              <w:t>[INSERT: Project Completion Guidance 2]</w:t>
            </w:r>
            <w:r>
              <w:rPr>
                <w:rFonts w:ascii="Arial" w:hAnsi="Arial" w:cs="Arial" w:eastAsia="Arial"/>
                <w:b/>
                <w:bCs/>
                <w:color w:val="C55A11"/>
                <w:sz w:val="16"/>
                <w:szCs w:val="16"/>
              </w:rPr>
              <w:t xml:space="preserve"> The project team must define the specific criteria for High, Medium, and Low severity ratings relevant to this project context. The categories and response requirements below are the standard Rio Tinto minimum. The project team must complete the 'Project-Specific Criteria' column before this document is issued.</w:t>
            </w:r>
          </w:p>
        </w:tc>
      </w:tr>
    </w:tbl>
    <w:p>
      <w:pPr>
        <w:pStyle w:val="NormalNumberedtext"/>
      </w:pPr>
    </w:p>
    <w:p>
      <w:pPr>
        <w:pStyle w:val="NormalNumberedtext"/>
      </w:pPr>
      <w:r>
        <w:t>Table 4: Finding Severity Classification Criteria</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1955"/>
          </w:tcPr>
          <w:p>
            <w:pPr>
              <w:pStyle w:val="TableContents"/>
              <w:spacing w:before="0" w:after="0" w:line="240" w:lineRule="atLeast"/>
            </w:pPr>
            <w:r>
              <w:rPr>
                <w:rFonts w:ascii="Arial" w:hAnsi="Arial" w:cs="Arial" w:eastAsia="Arial"/>
                <w:b/>
                <w:bCs/>
                <w:color w:val="FFFFFF"/>
                <w:sz w:val="16"/>
                <w:szCs w:val="16"/>
              </w:rPr>
              <w:t>Severity</w:t>
            </w:r>
          </w:p>
        </w:tc>
        <w:tc>
          <w:tcPr>
            <w:shd w:val="clear" w:color="auto" w:fill="1F3864"/>
            <w:tcW w:type="dxa" w:w="1955"/>
          </w:tcPr>
          <w:p>
            <w:pPr>
              <w:pStyle w:val="TableContents"/>
              <w:spacing w:before="0" w:after="0" w:line="240" w:lineRule="atLeast"/>
            </w:pPr>
            <w:r>
              <w:rPr>
                <w:rFonts w:ascii="Arial" w:hAnsi="Arial" w:cs="Arial" w:eastAsia="Arial"/>
                <w:b/>
                <w:bCs/>
                <w:color w:val="FFFFFF"/>
                <w:sz w:val="16"/>
                <w:szCs w:val="16"/>
              </w:rPr>
              <w:t>Standard Definition</w:t>
            </w:r>
          </w:p>
        </w:tc>
        <w:tc>
          <w:tcPr>
            <w:shd w:val="clear" w:color="auto" w:fill="1F3864"/>
            <w:tcW w:type="dxa" w:w="1955"/>
          </w:tcPr>
          <w:p>
            <w:pPr>
              <w:pStyle w:val="TableContents"/>
              <w:spacing w:before="0" w:after="0" w:line="240" w:lineRule="atLeast"/>
            </w:pPr>
            <w:r>
              <w:rPr>
                <w:rFonts w:ascii="Arial" w:hAnsi="Arial" w:cs="Arial" w:eastAsia="Arial"/>
                <w:b/>
                <w:bCs/>
                <w:color w:val="FFFFFF"/>
                <w:sz w:val="16"/>
                <w:szCs w:val="16"/>
              </w:rPr>
              <w:t>Project-Specific Criteria</w:t>
            </w:r>
          </w:p>
        </w:tc>
        <w:tc>
          <w:tcPr>
            <w:shd w:val="clear" w:color="auto" w:fill="1F3864"/>
            <w:tcW w:type="dxa" w:w="1955"/>
          </w:tcPr>
          <w:p>
            <w:pPr>
              <w:pStyle w:val="TableContents"/>
              <w:spacing w:before="0" w:after="0" w:line="240" w:lineRule="atLeast"/>
            </w:pPr>
            <w:r>
              <w:rPr>
                <w:rFonts w:ascii="Arial" w:hAnsi="Arial" w:cs="Arial" w:eastAsia="Arial"/>
                <w:b/>
                <w:bCs/>
                <w:color w:val="FFFFFF"/>
                <w:sz w:val="16"/>
                <w:szCs w:val="16"/>
              </w:rPr>
              <w:t>Response Timeline</w:t>
            </w:r>
          </w:p>
        </w:tc>
        <w:tc>
          <w:tcPr>
            <w:shd w:val="clear" w:color="auto" w:fill="1F3864"/>
            <w:tcW w:type="dxa" w:w="1957"/>
          </w:tcPr>
          <w:p>
            <w:pPr>
              <w:pStyle w:val="TableContents"/>
              <w:spacing w:before="0" w:after="0" w:line="240" w:lineRule="atLeast"/>
            </w:pPr>
            <w:r>
              <w:rPr>
                <w:rFonts w:ascii="Arial" w:hAnsi="Arial" w:cs="Arial" w:eastAsia="Arial"/>
                <w:b/>
                <w:bCs/>
                <w:color w:val="FFFFFF"/>
                <w:sz w:val="16"/>
                <w:szCs w:val="16"/>
              </w:rPr>
              <w:t>Verification Requirement</w:t>
            </w:r>
          </w:p>
        </w:tc>
      </w:tr>
      <w:tr>
        <w:tc>
          <w:tcPr>
            <w:tcW w:type="dxa" w:w="1955"/>
          </w:tcPr>
          <w:p>
            <w:pPr>
              <w:pStyle w:val="TableContents"/>
              <w:spacing w:before="0" w:after="0" w:line="240" w:lineRule="atLeast"/>
            </w:pPr>
            <w:r>
              <w:rPr>
                <w:rFonts w:ascii="Arial" w:hAnsi="Arial" w:cs="Arial" w:eastAsia="Arial"/>
                <w:sz w:val="16"/>
                <w:szCs w:val="16"/>
              </w:rPr>
              <w:t>High</w:t>
            </w:r>
          </w:p>
        </w:tc>
        <w:tc>
          <w:tcPr>
            <w:tcW w:type="dxa" w:w="1955"/>
          </w:tcPr>
          <w:p>
            <w:pPr>
              <w:pStyle w:val="TableContents"/>
              <w:spacing w:before="0" w:after="0" w:line="240" w:lineRule="atLeast"/>
            </w:pPr>
            <w:r>
              <w:rPr>
                <w:rFonts w:ascii="Arial" w:hAnsi="Arial" w:cs="Arial" w:eastAsia="Arial"/>
                <w:sz w:val="16"/>
                <w:szCs w:val="16"/>
              </w:rPr>
              <w:t>Finding represents an immediate or serious risk to personnel health or safety, the environment, legal compliance, or community, where current controls are absent or critically inadequate.</w:t>
            </w:r>
          </w:p>
        </w:tc>
        <w:tc>
          <w:tcPr>
            <w:tcW w:type="dxa" w:w="1955"/>
          </w:tcPr>
          <w:p>
            <w:pPr>
              <w:pStyle w:val="TableContents"/>
              <w:spacing w:before="0" w:after="0" w:line="240" w:lineRule="atLeast"/>
            </w:pPr>
            <w:r>
              <w:rPr>
                <w:rFonts w:ascii="Arial" w:hAnsi="Arial" w:cs="Arial" w:eastAsia="Arial"/>
                <w:sz w:val="16"/>
                <w:szCs w:val="16"/>
              </w:rPr>
              <w:t>{'insert': True, 'field': 'SeverityCriteria_High'}</w:t>
            </w:r>
          </w:p>
        </w:tc>
        <w:tc>
          <w:tcPr>
            <w:tcW w:type="dxa" w:w="1955"/>
          </w:tcPr>
          <w:p>
            <w:pPr>
              <w:pStyle w:val="TableContents"/>
              <w:spacing w:before="0" w:after="0" w:line="240" w:lineRule="atLeast"/>
            </w:pPr>
            <w:r>
              <w:rPr>
                <w:rFonts w:ascii="Arial" w:hAnsi="Arial" w:cs="Arial" w:eastAsia="Arial"/>
                <w:sz w:val="16"/>
                <w:szCs w:val="16"/>
              </w:rPr>
              <w:t>Immediate corrective action. Affected work ceases until the deficiency is resolved and the Company provides written authorisation to resume.</w:t>
            </w:r>
          </w:p>
        </w:tc>
        <w:tc>
          <w:tcPr>
            <w:tcW w:type="dxa" w:w="1957"/>
          </w:tcPr>
          <w:p>
            <w:pPr>
              <w:pStyle w:val="TableContents"/>
              <w:spacing w:before="0" w:after="0" w:line="240" w:lineRule="atLeast"/>
            </w:pPr>
            <w:r>
              <w:rPr>
                <w:rFonts w:ascii="Arial" w:hAnsi="Arial" w:cs="Arial" w:eastAsia="Arial"/>
                <w:sz w:val="16"/>
                <w:szCs w:val="16"/>
              </w:rPr>
              <w:t>Verified by HSESC Manager or Rio Tinto representative before work resumes. Closure must be verified, not declared.</w:t>
            </w:r>
          </w:p>
        </w:tc>
      </w:tr>
      <w:tr>
        <w:tc>
          <w:tcPr>
            <w:tcW w:type="dxa" w:w="1955"/>
          </w:tcPr>
          <w:p>
            <w:pPr>
              <w:pStyle w:val="TableContents"/>
              <w:spacing w:before="0" w:after="0" w:line="240" w:lineRule="atLeast"/>
            </w:pPr>
            <w:r>
              <w:rPr>
                <w:rFonts w:ascii="Arial" w:hAnsi="Arial" w:cs="Arial" w:eastAsia="Arial"/>
                <w:sz w:val="16"/>
                <w:szCs w:val="16"/>
              </w:rPr>
              <w:t>Medium</w:t>
            </w:r>
          </w:p>
        </w:tc>
        <w:tc>
          <w:tcPr>
            <w:tcW w:type="dxa" w:w="1955"/>
          </w:tcPr>
          <w:p>
            <w:pPr>
              <w:pStyle w:val="TableContents"/>
              <w:spacing w:before="0" w:after="0" w:line="240" w:lineRule="atLeast"/>
            </w:pPr>
            <w:r>
              <w:rPr>
                <w:rFonts w:ascii="Arial" w:hAnsi="Arial" w:cs="Arial" w:eastAsia="Arial"/>
                <w:sz w:val="16"/>
                <w:szCs w:val="16"/>
              </w:rPr>
              <w:t>Finding represents a significant gap in control implementation or management system compliance that, if not addressed, could escalate to a High severity condition.</w:t>
            </w:r>
          </w:p>
        </w:tc>
        <w:tc>
          <w:tcPr>
            <w:tcW w:type="dxa" w:w="1955"/>
          </w:tcPr>
          <w:p>
            <w:pPr>
              <w:pStyle w:val="TableContents"/>
              <w:spacing w:before="0" w:after="0" w:line="240" w:lineRule="atLeast"/>
            </w:pPr>
            <w:r>
              <w:rPr>
                <w:rFonts w:ascii="Arial" w:hAnsi="Arial" w:cs="Arial" w:eastAsia="Arial"/>
                <w:sz w:val="16"/>
                <w:szCs w:val="16"/>
              </w:rPr>
              <w:t>{'insert': True, 'field': 'SeverityCriteria_Medium'}</w:t>
            </w:r>
          </w:p>
        </w:tc>
        <w:tc>
          <w:tcPr>
            <w:tcW w:type="dxa" w:w="1955"/>
          </w:tcPr>
          <w:p>
            <w:pPr>
              <w:pStyle w:val="TableContents"/>
              <w:spacing w:before="0" w:after="0" w:line="240" w:lineRule="atLeast"/>
            </w:pPr>
            <w:r>
              <w:rPr>
                <w:rFonts w:ascii="Arial" w:hAnsi="Arial" w:cs="Arial" w:eastAsia="Arial"/>
                <w:sz w:val="16"/>
                <w:szCs w:val="16"/>
              </w:rPr>
              <w:t>{'insert': True, 'field': 'SeverityResponse_Medium'}</w:t>
            </w:r>
          </w:p>
        </w:tc>
        <w:tc>
          <w:tcPr>
            <w:tcW w:type="dxa" w:w="1957"/>
          </w:tcPr>
          <w:p>
            <w:pPr>
              <w:pStyle w:val="TableContents"/>
              <w:spacing w:before="0" w:after="0" w:line="240" w:lineRule="atLeast"/>
            </w:pPr>
            <w:r>
              <w:rPr>
                <w:rFonts w:ascii="Arial" w:hAnsi="Arial" w:cs="Arial" w:eastAsia="Arial"/>
                <w:sz w:val="16"/>
                <w:szCs w:val="16"/>
              </w:rPr>
              <w:t>Verified by HSESC Advisor or lead auditor at scheduled follow-up.</w:t>
            </w:r>
          </w:p>
        </w:tc>
      </w:tr>
      <w:tr>
        <w:tc>
          <w:tcPr>
            <w:tcW w:type="dxa" w:w="1955"/>
          </w:tcPr>
          <w:p>
            <w:pPr>
              <w:pStyle w:val="TableContents"/>
              <w:spacing w:before="0" w:after="0" w:line="240" w:lineRule="atLeast"/>
            </w:pPr>
            <w:r>
              <w:rPr>
                <w:rFonts w:ascii="Arial" w:hAnsi="Arial" w:cs="Arial" w:eastAsia="Arial"/>
                <w:sz w:val="16"/>
                <w:szCs w:val="16"/>
              </w:rPr>
              <w:t>Low</w:t>
            </w:r>
          </w:p>
        </w:tc>
        <w:tc>
          <w:tcPr>
            <w:tcW w:type="dxa" w:w="1955"/>
          </w:tcPr>
          <w:p>
            <w:pPr>
              <w:pStyle w:val="TableContents"/>
              <w:spacing w:before="0" w:after="0" w:line="240" w:lineRule="atLeast"/>
            </w:pPr>
            <w:r>
              <w:rPr>
                <w:rFonts w:ascii="Arial" w:hAnsi="Arial" w:cs="Arial" w:eastAsia="Arial"/>
                <w:sz w:val="16"/>
                <w:szCs w:val="16"/>
              </w:rPr>
              <w:t>Finding represents a minor gap, improvement opportunity, or administrative non-conformance that does not present an immediate risk.</w:t>
            </w:r>
          </w:p>
        </w:tc>
        <w:tc>
          <w:tcPr>
            <w:tcW w:type="dxa" w:w="1955"/>
          </w:tcPr>
          <w:p>
            <w:pPr>
              <w:pStyle w:val="TableContents"/>
              <w:spacing w:before="0" w:after="0" w:line="240" w:lineRule="atLeast"/>
            </w:pPr>
            <w:r>
              <w:rPr>
                <w:rFonts w:ascii="Arial" w:hAnsi="Arial" w:cs="Arial" w:eastAsia="Arial"/>
                <w:sz w:val="16"/>
                <w:szCs w:val="16"/>
              </w:rPr>
              <w:t>{'insert': True, 'field': 'SeverityCriteria_Low'}</w:t>
            </w:r>
          </w:p>
        </w:tc>
        <w:tc>
          <w:tcPr>
            <w:tcW w:type="dxa" w:w="1955"/>
          </w:tcPr>
          <w:p>
            <w:pPr>
              <w:pStyle w:val="TableContents"/>
              <w:spacing w:before="0" w:after="0" w:line="240" w:lineRule="atLeast"/>
            </w:pPr>
            <w:r>
              <w:rPr>
                <w:rFonts w:ascii="Arial" w:hAnsi="Arial" w:cs="Arial" w:eastAsia="Arial"/>
                <w:sz w:val="16"/>
                <w:szCs w:val="16"/>
              </w:rPr>
              <w:t>{'insert': True, 'field': 'SeverityResponse_Low'}</w:t>
            </w:r>
          </w:p>
        </w:tc>
        <w:tc>
          <w:tcPr>
            <w:tcW w:type="dxa" w:w="1957"/>
          </w:tcPr>
          <w:p>
            <w:pPr>
              <w:pStyle w:val="TableContents"/>
              <w:spacing w:before="0" w:after="0" w:line="240" w:lineRule="atLeast"/>
            </w:pPr>
            <w:r>
              <w:rPr>
                <w:rFonts w:ascii="Arial" w:hAnsi="Arial" w:cs="Arial" w:eastAsia="Arial"/>
                <w:sz w:val="16"/>
                <w:szCs w:val="16"/>
              </w:rPr>
              <w:t>Confirmed by responsible party at closeout. Reviewed in monthly action report.</w:t>
            </w:r>
          </w:p>
        </w:tc>
      </w:tr>
    </w:tbl>
    <w:p>
      <w:pPr>
        <w:pStyle w:val="NormalNumberedtext"/>
      </w:pPr>
    </w:p>
    <w:p>
      <w:pPr>
        <w:pStyle w:val="NormalNumberedtext"/>
      </w:pPr>
      <w:r>
        <w:t>Where any audit or inspection identifies a deficiency posing an immediate risk to the environment, legal compliance, or project personnel, all affected works cease immediately and the Company is notified without delay. Work does not resume until the deficiency is resolved and the Company provides written authorisation. This requirement applies to all contractor organisations and subcontractors without exception.</w:t>
      </w:r>
    </w:p>
    <w:p>
      <w:pPr>
        <w:pStyle w:val="NormalNumberedtext"/>
      </w:pPr>
    </w:p>
    <w:p>
      <w:pPr>
        <w:pStyle w:val="Heading1Numbered"/>
        <w:numPr>
          <w:ilvl w:val="0"/>
          <w:numId w:val="1"/>
        </w:numPr>
      </w:pPr>
      <w:r>
        <w:rPr>
          <w:rFonts w:ascii="Arial" w:hAnsi="Arial" w:cs="Arial" w:eastAsia="Arial"/>
        </w:rPr>
        <w:t>CRM Verification Reporting</w:t>
      </w:r>
    </w:p>
    <w:p>
      <w:pPr>
        <w:pStyle w:val="NormalNumberedtext"/>
      </w:pPr>
      <w:r>
        <w:t>This section defines the CRM verification reporting requirements, report content, submission frequency, and portal entry requirements for this project.</w:t>
      </w:r>
    </w:p>
    <w:p>
      <w:pPr>
        <w:pStyle w:val="NormalNumberedtext"/>
      </w:pPr>
    </w:p>
    <w:p>
      <w:pPr>
        <w:pStyle w:val="Heading2Numbered"/>
        <w:numPr>
          <w:ilvl w:val="1"/>
          <w:numId w:val="1"/>
        </w:numPr>
      </w:pPr>
      <w:r>
        <w:rPr>
          <w:rFonts w:ascii="Arial" w:hAnsi="Arial" w:cs="Arial" w:eastAsia="Arial"/>
        </w:rPr>
        <w:t>CRM Verification Requirements</w:t>
      </w:r>
    </w:p>
    <w:p>
      <w:pPr>
        <w:pStyle w:val="NormalNumberedtext"/>
      </w:pPr>
      <w:r>
        <w:t>This section defines what CRM verifications must be conducted, how they are recorded, and the management assurance requirements that apply.</w:t>
      </w:r>
    </w:p>
    <w:p>
      <w:pPr>
        <w:pStyle w:val="NormalNumberedtext"/>
      </w:pPr>
      <w:r>
        <w:t>The HSESC Manager maintains a CRM verification schedule covering all critical risks identified on the project. CRM verifications confirm that critical controls are in place, functional, and effective at the point of work. All CRM verifications are entered into the RT CRM portal and application with quality evidence, including photographs, observation records, or test results, at the time of verification.</w:t>
      </w:r>
    </w:p>
    <w:p>
      <w:pPr>
        <w:pStyle w:val="NormalNumberedtext"/>
      </w:pPr>
      <w:r>
        <w:t>Critical Control Verification Standards are conducted across the project to provide management-level assurance of the effectiveness of critical control verifications. The CCVS process confirms that field verifications are being completed to the required standard, not only that they are being recorded. The HSESC Manager reports CCVS outcomes to the Project Director as part of the monthly CRM report.</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0059D1"/>
                <w:sz w:val="16"/>
                <w:szCs w:val="16"/>
              </w:rPr>
              <w:t>[INSERT: Project Completion Guidance 5]</w:t>
            </w:r>
            <w:r>
              <w:rPr>
                <w:rFonts w:ascii="Arial" w:hAnsi="Arial" w:cs="Arial" w:eastAsia="Arial"/>
                <w:b/>
                <w:bCs/>
                <w:color w:val="C55A11"/>
                <w:sz w:val="16"/>
                <w:szCs w:val="16"/>
              </w:rPr>
              <w:t xml:space="preserve"> Define the project CRM verification schedule, identifying each critical risk, the verification frequency, the responsible verifier, and the evidence type required. Insert the schedule as a table below or reference the approved CRM verification schedule document. Also define the weekly and monthly CRM report template for submission to the project owner, identifying the minimum content fields required.</w:t>
            </w:r>
          </w:p>
        </w:tc>
      </w:tr>
    </w:tbl>
    <w:p>
      <w:pPr>
        <w:pStyle w:val="NormalNumberedtext"/>
      </w:pPr>
    </w:p>
    <w:p>
      <w:pPr>
        <w:pStyle w:val="NormalNumberedtext"/>
      </w:pPr>
      <w:r>
        <w:t>Table 5: Project CRM Verification Schedule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Critical Risk</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Critical Control</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Verification Frequency</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Responsible Verifier</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Evidence Type Required</w:t>
            </w:r>
          </w:p>
        </w:tc>
      </w:tr>
      <w:tr>
        <w:tc>
          <w:tcPr>
            <w:tcW w:type="dxa" w:w="1805"/>
          </w:tcPr>
          <w:p>
            <w:pPr>
              <w:pStyle w:val="TableContents"/>
              <w:spacing w:before="0" w:after="0" w:line="240" w:lineRule="atLeast"/>
            </w:pPr>
            <w:r>
              <w:rPr>
                <w:rFonts w:ascii="Arial" w:hAnsi="Arial" w:cs="Arial" w:eastAsia="Arial"/>
                <w:sz w:val="16"/>
                <w:szCs w:val="16"/>
              </w:rPr>
              <w:t>{'insert': True, 'field': 'CRM_Risk_1'}</w:t>
            </w:r>
          </w:p>
        </w:tc>
        <w:tc>
          <w:tcPr>
            <w:tcW w:type="dxa" w:w="1805"/>
          </w:tcPr>
          <w:p>
            <w:pPr>
              <w:pStyle w:val="TableContents"/>
              <w:spacing w:before="0" w:after="0" w:line="240" w:lineRule="atLeast"/>
            </w:pPr>
            <w:r>
              <w:rPr>
                <w:rFonts w:ascii="Arial" w:hAnsi="Arial" w:cs="Arial" w:eastAsia="Arial"/>
                <w:sz w:val="16"/>
                <w:szCs w:val="16"/>
              </w:rPr>
              <w:t>{'insert': True, 'field': 'CRM_Control_1'}</w:t>
            </w:r>
          </w:p>
        </w:tc>
        <w:tc>
          <w:tcPr>
            <w:tcW w:type="dxa" w:w="1805"/>
          </w:tcPr>
          <w:p>
            <w:pPr>
              <w:pStyle w:val="TableContents"/>
              <w:spacing w:before="0" w:after="0" w:line="240" w:lineRule="atLeast"/>
            </w:pPr>
            <w:r>
              <w:rPr>
                <w:rFonts w:ascii="Arial" w:hAnsi="Arial" w:cs="Arial" w:eastAsia="Arial"/>
                <w:sz w:val="16"/>
                <w:szCs w:val="16"/>
              </w:rPr>
              <w:t>{'insert': True, 'field': 'CRM_Frequency_1'}</w:t>
            </w:r>
          </w:p>
        </w:tc>
        <w:tc>
          <w:tcPr>
            <w:tcW w:type="dxa" w:w="1805"/>
          </w:tcPr>
          <w:p>
            <w:pPr>
              <w:pStyle w:val="TableContents"/>
              <w:spacing w:before="0" w:after="0" w:line="240" w:lineRule="atLeast"/>
            </w:pPr>
            <w:r>
              <w:rPr>
                <w:rFonts w:ascii="Arial" w:hAnsi="Arial" w:cs="Arial" w:eastAsia="Arial"/>
                <w:sz w:val="16"/>
                <w:szCs w:val="16"/>
              </w:rPr>
              <w:t>{'insert': True, 'field': 'CRM_Verifier_1'}</w:t>
            </w:r>
          </w:p>
        </w:tc>
        <w:tc>
          <w:tcPr>
            <w:tcW w:type="dxa" w:w="1806"/>
          </w:tcPr>
          <w:p>
            <w:pPr>
              <w:pStyle w:val="TableContents"/>
              <w:spacing w:before="0" w:after="0" w:line="240" w:lineRule="atLeast"/>
            </w:pPr>
            <w:r>
              <w:rPr>
                <w:rFonts w:ascii="Arial" w:hAnsi="Arial" w:cs="Arial" w:eastAsia="Arial"/>
                <w:sz w:val="16"/>
                <w:szCs w:val="16"/>
              </w:rPr>
              <w:t>{'insert': True, 'field': 'CRM_Evidence_1'}</w:t>
            </w:r>
          </w:p>
        </w:tc>
      </w:tr>
      <w:tr>
        <w:tc>
          <w:tcPr>
            <w:tcW w:type="dxa" w:w="1805"/>
          </w:tcPr>
          <w:p>
            <w:pPr>
              <w:pStyle w:val="TableContents"/>
              <w:spacing w:before="0" w:after="0" w:line="240" w:lineRule="atLeast"/>
            </w:pPr>
            <w:r>
              <w:rPr>
                <w:rFonts w:ascii="Arial" w:hAnsi="Arial" w:cs="Arial" w:eastAsia="Arial"/>
                <w:sz w:val="16"/>
                <w:szCs w:val="16"/>
              </w:rPr>
              <w:t>{'insert': True, 'field': 'CRM_Risk_2'}</w:t>
            </w:r>
          </w:p>
        </w:tc>
        <w:tc>
          <w:tcPr>
            <w:tcW w:type="dxa" w:w="1805"/>
          </w:tcPr>
          <w:p>
            <w:pPr>
              <w:pStyle w:val="TableContents"/>
              <w:spacing w:before="0" w:after="0" w:line="240" w:lineRule="atLeast"/>
            </w:pPr>
            <w:r>
              <w:rPr>
                <w:rFonts w:ascii="Arial" w:hAnsi="Arial" w:cs="Arial" w:eastAsia="Arial"/>
                <w:sz w:val="16"/>
                <w:szCs w:val="16"/>
              </w:rPr>
              <w:t>{'insert': True, 'field': 'CRM_Control_2'}</w:t>
            </w:r>
          </w:p>
        </w:tc>
        <w:tc>
          <w:tcPr>
            <w:tcW w:type="dxa" w:w="1805"/>
          </w:tcPr>
          <w:p>
            <w:pPr>
              <w:pStyle w:val="TableContents"/>
              <w:spacing w:before="0" w:after="0" w:line="240" w:lineRule="atLeast"/>
            </w:pPr>
            <w:r>
              <w:rPr>
                <w:rFonts w:ascii="Arial" w:hAnsi="Arial" w:cs="Arial" w:eastAsia="Arial"/>
                <w:sz w:val="16"/>
                <w:szCs w:val="16"/>
              </w:rPr>
              <w:t>{'insert': True, 'field': 'CRM_Frequency_2'}</w:t>
            </w:r>
          </w:p>
        </w:tc>
        <w:tc>
          <w:tcPr>
            <w:tcW w:type="dxa" w:w="1805"/>
          </w:tcPr>
          <w:p>
            <w:pPr>
              <w:pStyle w:val="TableContents"/>
              <w:spacing w:before="0" w:after="0" w:line="240" w:lineRule="atLeast"/>
            </w:pPr>
            <w:r>
              <w:rPr>
                <w:rFonts w:ascii="Arial" w:hAnsi="Arial" w:cs="Arial" w:eastAsia="Arial"/>
                <w:sz w:val="16"/>
                <w:szCs w:val="16"/>
              </w:rPr>
              <w:t>{'insert': True, 'field': 'CRM_Verifier_2'}</w:t>
            </w:r>
          </w:p>
        </w:tc>
        <w:tc>
          <w:tcPr>
            <w:tcW w:type="dxa" w:w="1806"/>
          </w:tcPr>
          <w:p>
            <w:pPr>
              <w:pStyle w:val="TableContents"/>
              <w:spacing w:before="0" w:after="0" w:line="240" w:lineRule="atLeast"/>
            </w:pPr>
            <w:r>
              <w:rPr>
                <w:rFonts w:ascii="Arial" w:hAnsi="Arial" w:cs="Arial" w:eastAsia="Arial"/>
                <w:sz w:val="16"/>
                <w:szCs w:val="16"/>
              </w:rPr>
              <w:t>{'insert': True, 'field': 'CRM_Evidence_2'}</w:t>
            </w:r>
          </w:p>
        </w:tc>
      </w:tr>
      <w:tr>
        <w:tc>
          <w:tcPr>
            <w:tcW w:type="dxa" w:w="1805"/>
          </w:tcPr>
          <w:p>
            <w:pPr>
              <w:pStyle w:val="TableContents"/>
              <w:spacing w:before="0" w:after="0" w:line="240" w:lineRule="atLeast"/>
            </w:pPr>
            <w:r>
              <w:rPr>
                <w:rFonts w:ascii="Arial" w:hAnsi="Arial" w:cs="Arial" w:eastAsia="Arial"/>
                <w:sz w:val="16"/>
                <w:szCs w:val="16"/>
              </w:rPr>
              <w:t>{'insert': True, 'field': 'CRM_Risk_3'}</w:t>
            </w:r>
          </w:p>
        </w:tc>
        <w:tc>
          <w:tcPr>
            <w:tcW w:type="dxa" w:w="1805"/>
          </w:tcPr>
          <w:p>
            <w:pPr>
              <w:pStyle w:val="TableContents"/>
              <w:spacing w:before="0" w:after="0" w:line="240" w:lineRule="atLeast"/>
            </w:pPr>
            <w:r>
              <w:rPr>
                <w:rFonts w:ascii="Arial" w:hAnsi="Arial" w:cs="Arial" w:eastAsia="Arial"/>
                <w:sz w:val="16"/>
                <w:szCs w:val="16"/>
              </w:rPr>
              <w:t>{'insert': True, 'field': 'CRM_Control_3'}</w:t>
            </w:r>
          </w:p>
        </w:tc>
        <w:tc>
          <w:tcPr>
            <w:tcW w:type="dxa" w:w="1805"/>
          </w:tcPr>
          <w:p>
            <w:pPr>
              <w:pStyle w:val="TableContents"/>
              <w:spacing w:before="0" w:after="0" w:line="240" w:lineRule="atLeast"/>
            </w:pPr>
            <w:r>
              <w:rPr>
                <w:rFonts w:ascii="Arial" w:hAnsi="Arial" w:cs="Arial" w:eastAsia="Arial"/>
                <w:sz w:val="16"/>
                <w:szCs w:val="16"/>
              </w:rPr>
              <w:t>{'insert': True, 'field': 'CRM_Frequency_3'}</w:t>
            </w:r>
          </w:p>
        </w:tc>
        <w:tc>
          <w:tcPr>
            <w:tcW w:type="dxa" w:w="1805"/>
          </w:tcPr>
          <w:p>
            <w:pPr>
              <w:pStyle w:val="TableContents"/>
              <w:spacing w:before="0" w:after="0" w:line="240" w:lineRule="atLeast"/>
            </w:pPr>
            <w:r>
              <w:rPr>
                <w:rFonts w:ascii="Arial" w:hAnsi="Arial" w:cs="Arial" w:eastAsia="Arial"/>
                <w:sz w:val="16"/>
                <w:szCs w:val="16"/>
              </w:rPr>
              <w:t>{'insert': True, 'field': 'CRM_Verifier_3'}</w:t>
            </w:r>
          </w:p>
        </w:tc>
        <w:tc>
          <w:tcPr>
            <w:tcW w:type="dxa" w:w="1806"/>
          </w:tcPr>
          <w:p>
            <w:pPr>
              <w:pStyle w:val="TableContents"/>
              <w:spacing w:before="0" w:after="0" w:line="240" w:lineRule="atLeast"/>
            </w:pPr>
            <w:r>
              <w:rPr>
                <w:rFonts w:ascii="Arial" w:hAnsi="Arial" w:cs="Arial" w:eastAsia="Arial"/>
                <w:sz w:val="16"/>
                <w:szCs w:val="16"/>
              </w:rPr>
              <w:t>{'insert': True, 'field': 'CRM_Evidence_3'}</w:t>
            </w:r>
          </w:p>
        </w:tc>
      </w:tr>
    </w:tbl>
    <w:p>
      <w:pPr>
        <w:pStyle w:val="NormalNumberedtext"/>
      </w:pPr>
    </w:p>
    <w:p>
      <w:pPr>
        <w:pStyle w:val="Heading2Numbered"/>
        <w:numPr>
          <w:ilvl w:val="1"/>
          <w:numId w:val="1"/>
        </w:numPr>
      </w:pPr>
      <w:r>
        <w:rPr>
          <w:rFonts w:ascii="Arial" w:hAnsi="Arial" w:cs="Arial" w:eastAsia="Arial"/>
        </w:rPr>
        <w:t>CRM Report Content and Submission</w:t>
      </w:r>
    </w:p>
    <w:p>
      <w:pPr>
        <w:pStyle w:val="NormalNumberedtext"/>
      </w:pPr>
      <w:r>
        <w:t>This section defines the minimum content requirements for weekly and monthly CRM verification reports submitted to the project owner.</w:t>
      </w:r>
    </w:p>
    <w:p>
      <w:pPr>
        <w:pStyle w:val="NormalNumberedtext"/>
      </w:pPr>
      <w:r>
        <w:t>The responsible CRM verification lead submits weekly and monthly CRM verification reports to the project owner in accordance with the schedule defined in this section. Reports are submitted on time regardless of whether all verifications have been completed. Where verifications are outstanding, the report records the gap, the reason, and the plan for completion.</w:t>
      </w:r>
    </w:p>
    <w:p>
      <w:pPr>
        <w:pStyle w:val="NormalNumberedtext"/>
      </w:pPr>
      <w:r>
        <w:t>Minimum content for weekly CRM verification reports is:</w:t>
      </w:r>
    </w:p>
    <w:p>
      <w:pPr>
        <w:pStyle w:val="NumberedBulletL1"/>
      </w:pPr>
      <w:r>
        <w:t>Number of CRM verifications completed in the reporting week versus the number scheduled.</w:t>
      </w:r>
    </w:p>
    <w:p>
      <w:pPr>
        <w:pStyle w:val="NumberedBulletL1"/>
      </w:pPr>
      <w:r>
        <w:t>List of critical controls verified, with the verification outcome (effective or gap identified) for each.</w:t>
      </w:r>
    </w:p>
    <w:p>
      <w:pPr>
        <w:pStyle w:val="NumberedBulletL1"/>
      </w:pPr>
      <w:r>
        <w:t>Any critical control gaps identified, with the immediate corrective action taken.</w:t>
      </w:r>
    </w:p>
    <w:p>
      <w:pPr>
        <w:pStyle w:val="NumberedBulletL1"/>
      </w:pPr>
      <w:r>
        <w:t>Evidence summary confirming portal entry status for all verifications completed in the week.</w:t>
      </w:r>
    </w:p>
    <w:p>
      <w:pPr>
        <w:pStyle w:val="NormalNumberedtext"/>
      </w:pPr>
      <w:r>
        <w:t>Minimum content for monthly CRM verification reports is:</w:t>
      </w:r>
    </w:p>
    <w:p>
      <w:pPr>
        <w:pStyle w:val="NumberedBulletL1"/>
      </w:pPr>
      <w:r>
        <w:t>Target performance tracking - cumulative verifications completed versus scheduled for the month and the project to date.</w:t>
      </w:r>
    </w:p>
    <w:p>
      <w:pPr>
        <w:pStyle w:val="NumberedBulletL1"/>
      </w:pPr>
      <w:r>
        <w:t>Site performance reports - verification completion rates by work area, contractor, and critical risk category.</w:t>
      </w:r>
    </w:p>
    <w:p>
      <w:pPr>
        <w:pStyle w:val="NumberedBulletL1"/>
      </w:pPr>
      <w:r>
        <w:t>Action plans register - all open corrective actions arising from CRM verification gaps, with severity rating, responsible party, and target closeout date.</w:t>
      </w:r>
    </w:p>
    <w:p>
      <w:pPr>
        <w:pStyle w:val="NumberedBulletL1"/>
      </w:pPr>
      <w:r>
        <w:t>CCVS outcomes for the month, including any patterns of inadequate field verification quality identified.</w:t>
      </w:r>
    </w:p>
    <w:p>
      <w:pPr>
        <w:pStyle w:val="NumberedBulletL1"/>
      </w:pPr>
      <w:r>
        <w:rPr>
          <w:color w:val="C55A11"/>
        </w:rPr>
        <w:t>Summary of CRM portal entry compliance, identifying any verifications not entered within the required timeframe.</w:t>
      </w:r>
    </w:p>
    <w:p>
      <w:pPr>
        <w:pStyle w:val="NormalNumberedtext"/>
      </w:pPr>
      <w:r>
        <w:t>The weekly CRM report is submitted to</w:t>
      </w:r>
    </w:p>
    <w:p>
      <w:pPr>
        <w:pStyle w:val="NormalNumberedtext"/>
      </w:pPr>
      <w:r>
        <w:rPr>
          <w:b/>
          <w:bCs/>
          <w:color w:val="0059D1"/>
        </w:rPr>
        <w:t>[INSERT: CRMReport_WeeklyRecipient] — Name the weekly CRM report recipient role and submission method</w:t>
      </w:r>
    </w:p>
    <w:p>
      <w:pPr>
        <w:pStyle w:val="NormalNumberedtext"/>
      </w:pPr>
      <w:r>
        <w:t>The monthly CRM report is submitted to the project owner representative</w:t>
      </w:r>
    </w:p>
    <w:p>
      <w:pPr>
        <w:pStyle w:val="NormalNumberedtext"/>
      </w:pPr>
      <w:r>
        <w:rPr>
          <w:b/>
          <w:bCs/>
          <w:color w:val="0059D1"/>
        </w:rPr>
        <w:t>[INSERT: CRMReport_MonthlyRecipient] — Name the monthly CRM report recipient role, submission method, and due date within the month</w:t>
      </w:r>
    </w:p>
    <w:p>
      <w:pPr>
        <w:pStyle w:val="NormalNumberedtext"/>
      </w:pPr>
    </w:p>
    <w:p>
      <w:pPr>
        <w:pStyle w:val="Heading1Numbered"/>
        <w:numPr>
          <w:ilvl w:val="0"/>
          <w:numId w:val="1"/>
        </w:numPr>
      </w:pPr>
      <w:r>
        <w:rPr>
          <w:rFonts w:ascii="Arial" w:hAnsi="Arial" w:cs="Arial" w:eastAsia="Arial"/>
        </w:rPr>
        <w:t>Action Tracking and Closeout</w:t>
      </w:r>
    </w:p>
    <w:p>
      <w:pPr>
        <w:pStyle w:val="NormalNumberedtext"/>
      </w:pPr>
      <w:r>
        <w:t>This section defines the requirements for recording, tracking, severity-ranking, verifying, and closing out all audit and inspection actions on this project.</w:t>
      </w:r>
    </w:p>
    <w:p>
      <w:pPr>
        <w:pStyle w:val="NormalNumberedtext"/>
      </w:pPr>
    </w:p>
    <w:p>
      <w:pPr>
        <w:pStyle w:val="Heading2Numbered"/>
        <w:numPr>
          <w:ilvl w:val="1"/>
          <w:numId w:val="1"/>
        </w:numPr>
      </w:pPr>
      <w:r>
        <w:rPr>
          <w:rFonts w:ascii="Arial" w:hAnsi="Arial" w:cs="Arial" w:eastAsia="Arial"/>
        </w:rPr>
        <w:t>Action Recording and Tracking</w:t>
      </w:r>
    </w:p>
    <w:p>
      <w:pPr>
        <w:pStyle w:val="NormalNumberedtext"/>
      </w:pPr>
      <w:r>
        <w:t>This section defines how audit and inspection actions are recorded, ranked, assigned, and tracked through to closeout.</w:t>
      </w:r>
    </w:p>
    <w:p>
      <w:pPr>
        <w:pStyle w:val="NormalNumberedtext"/>
      </w:pPr>
      <w:r>
        <w:t>The HSESC Manager records all actions arising from audits and inspections in the project action tracking register. Every action is recorded at the time the finding is identified and is not held pending issuance of the formal audit report. The project action tracking register is the single source of record for all open and closed audit actions on the project.</w:t>
      </w:r>
    </w:p>
    <w:p>
      <w:pPr>
        <w:pStyle w:val="NormalNumberedtext"/>
      </w:pPr>
      <w:r>
        <w:t>Every action in the register is assigned a severity rating consistent with the finding severity classification defined in Section 5 of this procedure. Severity rating determines the response timeline and the verification requirement for closeout. Actions are not downgraded in severity without documented justification approved by the HSESC Manager.</w:t>
      </w:r>
    </w:p>
    <w:p>
      <w:pPr>
        <w:pStyle w:val="NormalNumberedtext"/>
      </w:pPr>
      <w:r>
        <w:t>Minimum fields recorded for each action in the project action tracking register are:</w:t>
      </w:r>
    </w:p>
    <w:p>
      <w:pPr>
        <w:pStyle w:val="NumberedBulletL1"/>
      </w:pPr>
      <w:r>
        <w:t>Unique action reference number.</w:t>
      </w:r>
    </w:p>
    <w:p>
      <w:pPr>
        <w:pStyle w:val="NumberedBulletL1"/>
      </w:pPr>
      <w:r>
        <w:t>Source audit or inspection reference.</w:t>
      </w:r>
    </w:p>
    <w:p>
      <w:pPr>
        <w:pStyle w:val="NumberedBulletL1"/>
      </w:pPr>
      <w:r>
        <w:t>Finding description and evidence reference.</w:t>
      </w:r>
    </w:p>
    <w:p>
      <w:pPr>
        <w:pStyle w:val="NumberedBulletL1"/>
      </w:pPr>
      <w:r>
        <w:t>Severity rating (High, Medium, or Low).</w:t>
      </w:r>
    </w:p>
    <w:p>
      <w:pPr>
        <w:pStyle w:val="NumberedBulletL1"/>
      </w:pPr>
      <w:r>
        <w:t>Assigned responsible party and organisation.</w:t>
      </w:r>
    </w:p>
    <w:p>
      <w:pPr>
        <w:pStyle w:val="NumberedBulletL1"/>
      </w:pPr>
      <w:r>
        <w:t>Required closeout date.</w:t>
      </w:r>
    </w:p>
    <w:p>
      <w:pPr>
        <w:pStyle w:val="NumberedBulletL1"/>
      </w:pPr>
      <w:r>
        <w:rPr>
          <w:color w:val="C55A11"/>
        </w:rPr>
        <w:t>Corrective action description, including root cause identified and control measure selected.</w:t>
      </w:r>
    </w:p>
    <w:p>
      <w:pPr>
        <w:pStyle w:val="NumberedBulletL1"/>
      </w:pPr>
      <w:r>
        <w:t>Actual closeout date.</w:t>
      </w:r>
    </w:p>
    <w:p>
      <w:pPr>
        <w:pStyle w:val="NumberedBulletL1"/>
      </w:pPr>
      <w:r>
        <w:t>Verification evidence and verified-by record.</w:t>
      </w:r>
    </w:p>
    <w:p>
      <w:pPr>
        <w:pStyle w:val="NormalNumberedtext"/>
      </w:pPr>
      <w:r>
        <w:t>The HSESC Manager issues a monthly action closeout report to the project owner summarising the status of all open and closed actions by severity, responsible party, and overdue status. The monthly report is an input to management review under [INSERT: Project Document Number] and to the improvement planning process under [INSERT: Project Document Number].</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0059D1"/>
                <w:sz w:val="16"/>
                <w:szCs w:val="16"/>
              </w:rPr>
              <w:t>[INSERT: Project Completion Guidance 3 - Contractor Audit Coverage]</w:t>
            </w:r>
            <w:r>
              <w:rPr>
                <w:rFonts w:ascii="Arial" w:hAnsi="Arial" w:cs="Arial" w:eastAsia="Arial"/>
                <w:b/>
                <w:bCs/>
                <w:color w:val="C55A11"/>
                <w:sz w:val="16"/>
                <w:szCs w:val="16"/>
              </w:rPr>
              <w:t xml:space="preserve"> All contractor-led audit and inspection requirements apply to all contractor personnel and activities without exception. No scope of work or organisational area is exempt from the project audit and inspection programme. Results of all contractor-led audits and inspections are shared with the Company upon request. Audit findings, corrective action plans, and closeout status must be available at all times. Where any audit or inspection identifies a deficiency posing an immediate risk to the environment, legal compliance, or project personnel, all affected works cease immediately and the Company is notified. Work does not resume until the deficiency is resolved and the Company provides written authorisation.</w:t>
            </w:r>
          </w:p>
        </w:tc>
      </w:tr>
    </w:tbl>
    <w:p>
      <w:pPr>
        <w:pStyle w:val="NormalNumberedtext"/>
      </w:pPr>
    </w:p>
    <w:p>
      <w:pPr>
        <w:pStyle w:val="Heading2Numbered"/>
        <w:numPr>
          <w:ilvl w:val="1"/>
          <w:numId w:val="1"/>
        </w:numPr>
      </w:pPr>
      <w:r>
        <w:rPr>
          <w:rFonts w:ascii="Arial" w:hAnsi="Arial" w:cs="Arial" w:eastAsia="Arial"/>
        </w:rPr>
        <w:t>Closeout Verification Requirements</w:t>
      </w:r>
    </w:p>
    <w:p>
      <w:pPr>
        <w:pStyle w:val="NormalNumberedtext"/>
      </w:pPr>
      <w:r>
        <w:t>This section defines the verification requirements that apply before an action is recorded as closed, with specific requirements for High-severity actions.</w:t>
      </w:r>
    </w:p>
    <w:p>
      <w:pPr>
        <w:pStyle w:val="NormalNumberedtext"/>
      </w:pPr>
      <w:r>
        <w:t>No action is recorded as closed in the project action tracking register unless the closeout has been verified by a qualified person independent of the party responsible for implementing the corrective action. Closure declared by the responsible party alone does not satisfy the closeout verification requirement.</w:t>
      </w:r>
    </w:p>
    <w:p>
      <w:pPr>
        <w:pStyle w:val="NormalNumberedtext"/>
      </w:pPr>
      <w:r>
        <w:t>Closeout verification requirements by severity are:</w:t>
      </w:r>
    </w:p>
    <w:p>
      <w:pPr>
        <w:pStyle w:val="NumberedBulletL1"/>
      </w:pPr>
      <w:r>
        <w:t>High severity - closure verified by the HSESC Manager or a Rio Tinto representative through physical inspection of the corrective action at the worksite. Written confirmation of verification is recorded in the action tracking register before the action is closed. Where the High-severity finding arose from an immediate-risk stop-work event, written Company authorisation to resume work is required before the action can be closed.</w:t>
      </w:r>
    </w:p>
    <w:p>
      <w:pPr>
        <w:pStyle w:val="NumberedBulletL1"/>
      </w:pPr>
      <w:r>
        <w:rPr>
          <w:color w:val="C55A11"/>
        </w:rPr>
        <w:t>Medium severity - closure verified by an HSESC Advisor through document review or site observation. Verification evidence is attached to the action record before closure.</w:t>
      </w:r>
    </w:p>
    <w:p>
      <w:pPr>
        <w:pStyle w:val="NumberedBulletL1"/>
      </w:pPr>
      <w:r>
        <w:rPr>
          <w:color w:val="C55A11"/>
        </w:rPr>
        <w:t>Low severity - closure confirmed by the responsible party with supporting evidence. HSESC Advisor reviews the evidence and approves closure in the register.</w:t>
      </w:r>
    </w:p>
    <w:p>
      <w:pPr>
        <w:pStyle w:val="NormalNumberedtext"/>
      </w:pPr>
      <w:r>
        <w:t>Actions that are overdue for closeout are escalated to the next management level above the responsible party. High-severity actions overdue by more than</w:t>
      </w:r>
    </w:p>
    <w:p>
      <w:pPr>
        <w:pStyle w:val="NormalNumberedtext"/>
      </w:pPr>
      <w:r>
        <w:rPr>
          <w:b/>
          <w:bCs/>
          <w:color w:val="0059D1"/>
        </w:rPr>
        <w:t>[INSERT: OverdueEscalation_HighSeverityDays] — Define the number of days after which an overdue High-severity action is escalated to the Project Director</w:t>
      </w:r>
    </w:p>
    <w:p>
      <w:pPr>
        <w:pStyle w:val="NormalNumberedtext"/>
      </w:pPr>
      <w:r>
        <w:t>working days are escalated to the Project Director for direct intervention. The HSESC Manager reports all overdue High-severity actions in the monthly action closeout report and at each scheduled management review under [INSERT: Project Document Number].</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Social (Community) - the integrated discipline framework governing occupational health, safety, environmental protection and social performance on Rio Tinto owner-led projects.</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combined discipline area covering occupational health and safety management and environmental protection obligations.</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documented, step-by-step instruction that defines the required method for carrying out a specific management system activity or process.</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 - the project-specific prefix used to identify management system documents developed and maintained for Rio Tinto owner-led capital projects.</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parent organisation whose corporate standards, frameworks and requirements are applied to all owner-led projects.</w:t>
            </w:r>
          </w:p>
        </w:tc>
      </w:tr>
      <w:tr>
        <w:tc>
          <w:tcPr>
            <w:tcW w:type="dxa" w:w="4888"/>
          </w:tcPr>
          <w:p>
            <w:pPr>
              <w:pStyle w:val="TableContents"/>
              <w:spacing w:before="0" w:after="0" w:line="240" w:lineRule="atLeast"/>
            </w:pPr>
            <w:r>
              <w:rPr>
                <w:rFonts w:ascii="Arial" w:hAnsi="Arial" w:cs="Arial" w:eastAsia="Arial"/>
                <w:sz w:val="16"/>
                <w:szCs w:val="16"/>
              </w:rPr>
              <w:t>CRM</w:t>
            </w:r>
          </w:p>
        </w:tc>
        <w:tc>
          <w:tcPr>
            <w:tcW w:type="dxa" w:w="4889"/>
          </w:tcPr>
          <w:p>
            <w:pPr>
              <w:pStyle w:val="TableContents"/>
              <w:spacing w:before="0" w:after="0" w:line="240" w:lineRule="atLeast"/>
            </w:pPr>
            <w:r>
              <w:rPr>
                <w:rFonts w:ascii="Arial" w:hAnsi="Arial" w:cs="Arial" w:eastAsia="Arial"/>
                <w:sz w:val="16"/>
                <w:szCs w:val="16"/>
              </w:rPr>
              <w:t>Critical Risk Management - the Rio Tinto programme for identifying, implementing and verifying controls associated with critical risks (material unwanted events) that could result in fatalities or catastrophic outcomes.</w:t>
            </w:r>
          </w:p>
        </w:tc>
      </w:tr>
      <w:tr>
        <w:tc>
          <w:tcPr>
            <w:tcW w:type="dxa" w:w="4888"/>
          </w:tcPr>
          <w:p>
            <w:pPr>
              <w:pStyle w:val="TableContents"/>
              <w:spacing w:before="0" w:after="0" w:line="240" w:lineRule="atLeast"/>
            </w:pPr>
            <w:r>
              <w:rPr>
                <w:rFonts w:ascii="Arial" w:hAnsi="Arial" w:cs="Arial" w:eastAsia="Arial"/>
                <w:sz w:val="16"/>
                <w:szCs w:val="16"/>
              </w:rPr>
              <w:t>MUE</w:t>
            </w:r>
          </w:p>
        </w:tc>
        <w:tc>
          <w:tcPr>
            <w:tcW w:type="dxa" w:w="4889"/>
          </w:tcPr>
          <w:p>
            <w:pPr>
              <w:pStyle w:val="TableContents"/>
              <w:spacing w:before="0" w:after="0" w:line="240" w:lineRule="atLeast"/>
            </w:pPr>
            <w:r>
              <w:rPr>
                <w:rFonts w:ascii="Arial" w:hAnsi="Arial" w:cs="Arial" w:eastAsia="Arial"/>
                <w:sz w:val="16"/>
                <w:szCs w:val="16"/>
              </w:rPr>
              <w:t>Material Unwanted Event - a defined category of critical risk scenario within the Rio Tinto Critical Risk Management programme that has the potential to cause fatal or catastrophic harm.</w:t>
            </w:r>
          </w:p>
        </w:tc>
      </w:tr>
      <w:tr>
        <w:tc>
          <w:tcPr>
            <w:tcW w:type="dxa" w:w="4888"/>
          </w:tcPr>
          <w:p>
            <w:pPr>
              <w:pStyle w:val="TableContents"/>
              <w:spacing w:before="0" w:after="0" w:line="240" w:lineRule="atLeast"/>
            </w:pPr>
            <w:r>
              <w:rPr>
                <w:rFonts w:ascii="Arial" w:hAnsi="Arial" w:cs="Arial" w:eastAsia="Arial"/>
                <w:sz w:val="16"/>
                <w:szCs w:val="16"/>
              </w:rPr>
              <w:t>CAP</w:t>
            </w:r>
          </w:p>
        </w:tc>
        <w:tc>
          <w:tcPr>
            <w:tcW w:type="dxa" w:w="4889"/>
          </w:tcPr>
          <w:p>
            <w:pPr>
              <w:pStyle w:val="TableContents"/>
              <w:spacing w:before="0" w:after="0" w:line="240" w:lineRule="atLeast"/>
            </w:pPr>
            <w:r>
              <w:rPr>
                <w:rFonts w:ascii="Arial" w:hAnsi="Arial" w:cs="Arial" w:eastAsia="Arial"/>
                <w:sz w:val="16"/>
                <w:szCs w:val="16"/>
              </w:rPr>
              <w:t>Corrective Action Plan - a documented set of actions assigned to responsible owners with target completion dates, raised in response to audit findings or non-conformances to eliminate root causes and prevent recurrence.</w:t>
            </w:r>
          </w:p>
        </w:tc>
      </w:tr>
      <w:tr>
        <w:tc>
          <w:tcPr>
            <w:tcW w:type="dxa" w:w="4888"/>
          </w:tcPr>
          <w:p>
            <w:pPr>
              <w:pStyle w:val="TableContents"/>
              <w:spacing w:before="0" w:after="0" w:line="240" w:lineRule="atLeast"/>
            </w:pPr>
            <w:r>
              <w:rPr>
                <w:rFonts w:ascii="Arial" w:hAnsi="Arial" w:cs="Arial" w:eastAsia="Arial"/>
                <w:sz w:val="16"/>
                <w:szCs w:val="16"/>
              </w:rPr>
              <w:t>NCR</w:t>
            </w:r>
          </w:p>
        </w:tc>
        <w:tc>
          <w:tcPr>
            <w:tcW w:type="dxa" w:w="4889"/>
          </w:tcPr>
          <w:p>
            <w:pPr>
              <w:pStyle w:val="TableContents"/>
              <w:spacing w:before="0" w:after="0" w:line="240" w:lineRule="atLeast"/>
            </w:pPr>
            <w:r>
              <w:rPr>
                <w:rFonts w:ascii="Arial" w:hAnsi="Arial" w:cs="Arial" w:eastAsia="Arial"/>
                <w:sz w:val="16"/>
                <w:szCs w:val="16"/>
              </w:rPr>
              <w:t>Non-Conformance Report - a formal record raised when an observed condition, behaviour or system element does not meet a specified requirement of the management system, standard or regulatory obligation.</w:t>
            </w:r>
          </w:p>
        </w:tc>
      </w:tr>
      <w:tr>
        <w:tc>
          <w:tcPr>
            <w:tcW w:type="dxa" w:w="4888"/>
          </w:tcPr>
          <w:p>
            <w:pPr>
              <w:pStyle w:val="TableContents"/>
              <w:spacing w:before="0" w:after="0" w:line="240" w:lineRule="atLeast"/>
            </w:pPr>
            <w:r>
              <w:rPr>
                <w:rFonts w:ascii="Arial" w:hAnsi="Arial" w:cs="Arial" w:eastAsia="Arial"/>
                <w:sz w:val="16"/>
                <w:szCs w:val="16"/>
              </w:rPr>
              <w:t>OFI</w:t>
            </w:r>
          </w:p>
        </w:tc>
        <w:tc>
          <w:tcPr>
            <w:tcW w:type="dxa" w:w="4889"/>
          </w:tcPr>
          <w:p>
            <w:pPr>
              <w:pStyle w:val="TableContents"/>
              <w:spacing w:before="0" w:after="0" w:line="240" w:lineRule="atLeast"/>
            </w:pPr>
            <w:r>
              <w:rPr>
                <w:rFonts w:ascii="Arial" w:hAnsi="Arial" w:cs="Arial" w:eastAsia="Arial"/>
                <w:sz w:val="16"/>
                <w:szCs w:val="16"/>
              </w:rPr>
              <w:t>Opportunity for Improvement - an audit observation that, while not constituting a non-conformance, identifies a potential enhancement to the management system, a process or a control that could improve performance or reduce risk.</w:t>
            </w:r>
          </w:p>
        </w:tc>
      </w:tr>
      <w:tr>
        <w:tc>
          <w:tcPr>
            <w:tcW w:type="dxa" w:w="4888"/>
          </w:tcPr>
          <w:p>
            <w:pPr>
              <w:pStyle w:val="TableContents"/>
              <w:spacing w:before="0" w:after="0" w:line="240" w:lineRule="atLeast"/>
            </w:pPr>
            <w:r>
              <w:rPr>
                <w:rFonts w:ascii="Arial" w:hAnsi="Arial" w:cs="Arial" w:eastAsia="Arial"/>
                <w:sz w:val="16"/>
                <w:szCs w:val="16"/>
              </w:rPr>
              <w:t>KPI</w:t>
            </w:r>
          </w:p>
        </w:tc>
        <w:tc>
          <w:tcPr>
            <w:tcW w:type="dxa" w:w="4889"/>
          </w:tcPr>
          <w:p>
            <w:pPr>
              <w:pStyle w:val="TableContents"/>
              <w:spacing w:before="0" w:after="0" w:line="240" w:lineRule="atLeast"/>
            </w:pPr>
            <w:r>
              <w:rPr>
                <w:rFonts w:ascii="Arial" w:hAnsi="Arial" w:cs="Arial" w:eastAsia="Arial"/>
                <w:sz w:val="16"/>
                <w:szCs w:val="16"/>
              </w:rPr>
              <w:t>Key Performance Indicator - a quantifiable metric used to evaluate the effectiveness and performance of the HSESC management system against defined targets and objectives.</w:t>
            </w:r>
          </w:p>
        </w:tc>
      </w:tr>
      <w:tr>
        <w:tc>
          <w:tcPr>
            <w:tcW w:type="dxa" w:w="4888"/>
          </w:tcPr>
          <w:p>
            <w:pPr>
              <w:pStyle w:val="TableContents"/>
              <w:spacing w:before="0" w:after="0" w:line="240" w:lineRule="atLeast"/>
            </w:pPr>
            <w:r>
              <w:rPr>
                <w:rFonts w:ascii="Arial" w:hAnsi="Arial" w:cs="Arial" w:eastAsia="Arial"/>
                <w:sz w:val="16"/>
                <w:szCs w:val="16"/>
              </w:rPr>
              <w:t>LFI</w:t>
            </w:r>
          </w:p>
        </w:tc>
        <w:tc>
          <w:tcPr>
            <w:tcW w:type="dxa" w:w="4889"/>
          </w:tcPr>
          <w:p>
            <w:pPr>
              <w:pStyle w:val="TableContents"/>
              <w:spacing w:before="0" w:after="0" w:line="240" w:lineRule="atLeast"/>
            </w:pPr>
            <w:r>
              <w:rPr>
                <w:rFonts w:ascii="Arial" w:hAnsi="Arial" w:cs="Arial" w:eastAsia="Arial"/>
                <w:sz w:val="16"/>
                <w:szCs w:val="16"/>
              </w:rPr>
              <w:t>Learning from Incidents - the systematic process of capturing, analysing and communicating lessons derived from incidents, near misses and audit findings to prevent recurrence across the project and broader organisation.</w:t>
            </w:r>
          </w:p>
        </w:tc>
      </w:tr>
      <w:tr>
        <w:tc>
          <w:tcPr>
            <w:tcW w:type="dxa" w:w="4888"/>
          </w:tcPr>
          <w:p>
            <w:pPr>
              <w:pStyle w:val="TableContents"/>
              <w:spacing w:before="0" w:after="0" w:line="240" w:lineRule="atLeast"/>
            </w:pPr>
            <w:r>
              <w:rPr>
                <w:rFonts w:ascii="Arial" w:hAnsi="Arial" w:cs="Arial" w:eastAsia="Arial"/>
                <w:sz w:val="16"/>
                <w:szCs w:val="16"/>
              </w:rPr>
              <w:t>PMSE</w:t>
            </w:r>
          </w:p>
        </w:tc>
        <w:tc>
          <w:tcPr>
            <w:tcW w:type="dxa" w:w="4889"/>
          </w:tcPr>
          <w:p>
            <w:pPr>
              <w:pStyle w:val="TableContents"/>
              <w:spacing w:before="0" w:after="0" w:line="240" w:lineRule="atLeast"/>
            </w:pPr>
            <w:r>
              <w:rPr>
                <w:rFonts w:ascii="Arial" w:hAnsi="Arial" w:cs="Arial" w:eastAsia="Arial"/>
                <w:sz w:val="16"/>
                <w:szCs w:val="16"/>
              </w:rPr>
              <w:t>Project Management System Element - a discrete component or section of the project HSESC management system that is subject to audit, review and continual improvement within the performance assessment framework.</w:t>
            </w:r>
          </w:p>
        </w:tc>
      </w:tr>
      <w:tr>
        <w:tc>
          <w:tcPr>
            <w:tcW w:type="dxa" w:w="4888"/>
          </w:tcPr>
          <w:p>
            <w:pPr>
              <w:pStyle w:val="TableContents"/>
              <w:spacing w:before="0" w:after="0" w:line="240" w:lineRule="atLeast"/>
            </w:pPr>
            <w:r>
              <w:rPr>
                <w:rFonts w:ascii="Arial" w:hAnsi="Arial" w:cs="Arial" w:eastAsia="Arial"/>
                <w:sz w:val="16"/>
                <w:szCs w:val="16"/>
              </w:rPr>
              <w:t>TOR</w:t>
            </w:r>
          </w:p>
        </w:tc>
        <w:tc>
          <w:tcPr>
            <w:tcW w:type="dxa" w:w="4889"/>
          </w:tcPr>
          <w:p>
            <w:pPr>
              <w:pStyle w:val="TableContents"/>
              <w:spacing w:before="0" w:after="0" w:line="240" w:lineRule="atLeast"/>
            </w:pPr>
            <w:r>
              <w:rPr>
                <w:rFonts w:ascii="Arial" w:hAnsi="Arial" w:cs="Arial" w:eastAsia="Arial"/>
                <w:sz w:val="16"/>
                <w:szCs w:val="16"/>
              </w:rPr>
              <w:t>Terms of Reference - a document that defines the scope, objectives, methodology, team composition and logistical arrangements for a planned audit or review activity.</w:t>
            </w:r>
          </w:p>
        </w:tc>
      </w:tr>
      <w:tr>
        <w:tc>
          <w:tcPr>
            <w:tcW w:type="dxa" w:w="4888"/>
          </w:tcPr>
          <w:p>
            <w:pPr>
              <w:pStyle w:val="TableContents"/>
              <w:spacing w:before="0" w:after="0" w:line="240" w:lineRule="atLeast"/>
            </w:pPr>
            <w:r>
              <w:rPr>
                <w:rFonts w:ascii="Arial" w:hAnsi="Arial" w:cs="Arial" w:eastAsia="Arial"/>
                <w:sz w:val="16"/>
                <w:szCs w:val="16"/>
              </w:rPr>
              <w:t>SME</w:t>
            </w:r>
          </w:p>
        </w:tc>
        <w:tc>
          <w:tcPr>
            <w:tcW w:type="dxa" w:w="4889"/>
          </w:tcPr>
          <w:p>
            <w:pPr>
              <w:pStyle w:val="TableContents"/>
              <w:spacing w:before="0" w:after="0" w:line="240" w:lineRule="atLeast"/>
            </w:pPr>
            <w:r>
              <w:rPr>
                <w:rFonts w:ascii="Arial" w:hAnsi="Arial" w:cs="Arial" w:eastAsia="Arial"/>
                <w:sz w:val="16"/>
                <w:szCs w:val="16"/>
              </w:rPr>
              <w:t>Subject Matter Expert - an individual with specialised technical knowledge or experience in a specific discipline area who provides expertise during audit planning, conduct or finding resolution.</w:t>
            </w:r>
          </w:p>
        </w:tc>
      </w:tr>
      <w:tr>
        <w:tc>
          <w:tcPr>
            <w:tcW w:type="dxa" w:w="4888"/>
          </w:tcPr>
          <w:p>
            <w:pPr>
              <w:pStyle w:val="TableContents"/>
              <w:spacing w:before="0" w:after="0" w:line="240" w:lineRule="atLeast"/>
            </w:pPr>
            <w:r>
              <w:rPr>
                <w:rFonts w:ascii="Arial" w:hAnsi="Arial" w:cs="Arial" w:eastAsia="Arial"/>
                <w:sz w:val="16"/>
                <w:szCs w:val="16"/>
              </w:rPr>
              <w:t>CAPA</w:t>
            </w:r>
          </w:p>
        </w:tc>
        <w:tc>
          <w:tcPr>
            <w:tcW w:type="dxa" w:w="4889"/>
          </w:tcPr>
          <w:p>
            <w:pPr>
              <w:pStyle w:val="TableContents"/>
              <w:spacing w:before="0" w:after="0" w:line="240" w:lineRule="atLeast"/>
            </w:pPr>
            <w:r>
              <w:rPr>
                <w:rFonts w:ascii="Arial" w:hAnsi="Arial" w:cs="Arial" w:eastAsia="Arial"/>
                <w:sz w:val="16"/>
                <w:szCs w:val="16"/>
              </w:rPr>
              <w:t>Corrective and Preventive Action - the combined process of addressing identified non-conformances through corrective actions that fix existing deficiencies and preventive actions that eliminate the potential for similar future occurrences.</w:t>
            </w:r>
          </w:p>
        </w:tc>
      </w:tr>
      <w:tr>
        <w:tc>
          <w:tcPr>
            <w:tcW w:type="dxa" w:w="4888"/>
          </w:tcPr>
          <w:p>
            <w:pPr>
              <w:pStyle w:val="TableContents"/>
              <w:spacing w:before="0" w:after="0" w:line="240" w:lineRule="atLeast"/>
            </w:pPr>
            <w:r>
              <w:rPr>
                <w:rFonts w:ascii="Arial" w:hAnsi="Arial" w:cs="Arial" w:eastAsia="Arial"/>
                <w:sz w:val="16"/>
                <w:szCs w:val="16"/>
              </w:rPr>
              <w:t>BOW</w:t>
            </w:r>
          </w:p>
        </w:tc>
        <w:tc>
          <w:tcPr>
            <w:tcW w:type="dxa" w:w="4889"/>
          </w:tcPr>
          <w:p>
            <w:pPr>
              <w:pStyle w:val="TableContents"/>
              <w:spacing w:before="0" w:after="0" w:line="240" w:lineRule="atLeast"/>
            </w:pPr>
            <w:r>
              <w:rPr>
                <w:rFonts w:ascii="Arial" w:hAnsi="Arial" w:cs="Arial" w:eastAsia="Arial"/>
                <w:sz w:val="16"/>
                <w:szCs w:val="16"/>
              </w:rPr>
              <w:t>Bowtie - a risk visualisation and analysis methodology that maps threat pathways leading to a top event and consequence pathways following a top event, with preventive and mitigative controls identified at each stage.</w:t>
            </w:r>
          </w:p>
        </w:tc>
      </w:tr>
      <w:tr>
        <w:tc>
          <w:tcPr>
            <w:tcW w:type="dxa" w:w="4888"/>
          </w:tcPr>
          <w:p>
            <w:pPr>
              <w:pStyle w:val="TableContents"/>
              <w:spacing w:before="0" w:after="0" w:line="240" w:lineRule="atLeast"/>
            </w:pPr>
            <w:r>
              <w:rPr>
                <w:rFonts w:ascii="Arial" w:hAnsi="Arial" w:cs="Arial" w:eastAsia="Arial"/>
                <w:sz w:val="16"/>
                <w:szCs w:val="16"/>
              </w:rPr>
              <w:t>ICAM</w:t>
            </w:r>
          </w:p>
        </w:tc>
        <w:tc>
          <w:tcPr>
            <w:tcW w:type="dxa" w:w="4889"/>
          </w:tcPr>
          <w:p>
            <w:pPr>
              <w:pStyle w:val="TableContents"/>
              <w:spacing w:before="0" w:after="0" w:line="240" w:lineRule="atLeast"/>
            </w:pPr>
            <w:r>
              <w:rPr>
                <w:rFonts w:ascii="Arial" w:hAnsi="Arial" w:cs="Arial" w:eastAsia="Arial"/>
                <w:sz w:val="16"/>
                <w:szCs w:val="16"/>
              </w:rPr>
              <w:t>Incident Cause Analysis Method - a structured investigative methodology used to identify the direct causes, contributing factors and organisational factors underlying incidents and system deficiencies.</w:t>
            </w:r>
          </w:p>
        </w:tc>
      </w:tr>
      <w:tr>
        <w:tc>
          <w:tcPr>
            <w:tcW w:type="dxa" w:w="4888"/>
          </w:tcPr>
          <w:p>
            <w:pPr>
              <w:pStyle w:val="TableContents"/>
              <w:spacing w:before="0" w:after="0" w:line="240" w:lineRule="atLeast"/>
            </w:pPr>
            <w:r>
              <w:rPr>
                <w:rFonts w:ascii="Arial" w:hAnsi="Arial" w:cs="Arial" w:eastAsia="Arial"/>
                <w:sz w:val="16"/>
                <w:szCs w:val="16"/>
              </w:rPr>
              <w:t>WHS</w:t>
            </w:r>
          </w:p>
        </w:tc>
        <w:tc>
          <w:tcPr>
            <w:tcW w:type="dxa" w:w="4889"/>
          </w:tcPr>
          <w:p>
            <w:pPr>
              <w:pStyle w:val="TableContents"/>
              <w:spacing w:before="0" w:after="0" w:line="240" w:lineRule="atLeast"/>
            </w:pPr>
            <w:r>
              <w:rPr>
                <w:rFonts w:ascii="Arial" w:hAnsi="Arial" w:cs="Arial" w:eastAsia="Arial"/>
                <w:sz w:val="16"/>
                <w:szCs w:val="16"/>
              </w:rPr>
              <w:t>Work Health and Safety - the legislative and regulatory framework governing the health and safety of workers and other persons affected by work activities, applicable in Australian jurisdictions and aligned with project obligations.</w:t>
            </w:r>
          </w:p>
        </w:tc>
      </w:tr>
      <w:tr>
        <w:tc>
          <w:tcPr>
            <w:tcW w:type="dxa" w:w="4888"/>
          </w:tcPr>
          <w:p>
            <w:pPr>
              <w:pStyle w:val="TableContents"/>
              <w:spacing w:before="0" w:after="0" w:line="240" w:lineRule="atLeast"/>
            </w:pPr>
            <w:r>
              <w:rPr>
                <w:rFonts w:ascii="Arial" w:hAnsi="Arial" w:cs="Arial" w:eastAsia="Arial"/>
                <w:sz w:val="16"/>
                <w:szCs w:val="16"/>
              </w:rPr>
              <w:t>ISO</w:t>
            </w:r>
          </w:p>
        </w:tc>
        <w:tc>
          <w:tcPr>
            <w:tcW w:type="dxa" w:w="4889"/>
          </w:tcPr>
          <w:p>
            <w:pPr>
              <w:pStyle w:val="TableContents"/>
              <w:spacing w:before="0" w:after="0" w:line="240" w:lineRule="atLeast"/>
            </w:pPr>
            <w:r>
              <w:rPr>
                <w:rFonts w:ascii="Arial" w:hAnsi="Arial" w:cs="Arial" w:eastAsia="Arial"/>
                <w:sz w:val="16"/>
                <w:szCs w:val="16"/>
              </w:rPr>
              <w:t>International Organization for Standardization - the international body that develops and publishes voluntary consensus standards, including ISO 45001 (occupational health and safety) and ISO 14001 (environmental management) referenced within the project management system.</w:t>
            </w:r>
          </w:p>
        </w:tc>
      </w:tr>
      <w:tr>
        <w:tc>
          <w:tcPr>
            <w:tcW w:type="dxa" w:w="4888"/>
          </w:tcPr>
          <w:p>
            <w:pPr>
              <w:pStyle w:val="TableContents"/>
              <w:spacing w:before="0" w:after="0" w:line="240" w:lineRule="atLeast"/>
            </w:pPr>
            <w:r>
              <w:rPr>
                <w:rFonts w:ascii="Arial" w:hAnsi="Arial" w:cs="Arial" w:eastAsia="Arial"/>
                <w:sz w:val="16"/>
                <w:szCs w:val="16"/>
              </w:rPr>
              <w:t>IMS</w:t>
            </w:r>
          </w:p>
        </w:tc>
        <w:tc>
          <w:tcPr>
            <w:tcW w:type="dxa" w:w="4889"/>
          </w:tcPr>
          <w:p>
            <w:pPr>
              <w:pStyle w:val="TableContents"/>
              <w:spacing w:before="0" w:after="0" w:line="240" w:lineRule="atLeast"/>
            </w:pPr>
            <w:r>
              <w:rPr>
                <w:rFonts w:ascii="Arial" w:hAnsi="Arial" w:cs="Arial" w:eastAsia="Arial"/>
                <w:sz w:val="16"/>
                <w:szCs w:val="16"/>
              </w:rPr>
              <w:t>Integrated Management System - the unified framework combining HSESC requirements, procedures, standards and controls into a single coherent system governing project delivery activities.</w:t>
            </w:r>
          </w:p>
        </w:tc>
      </w:tr>
      <w:tr>
        <w:tc>
          <w:tcPr>
            <w:tcW w:type="dxa" w:w="4888"/>
          </w:tcPr>
          <w:p>
            <w:pPr>
              <w:pStyle w:val="TableContents"/>
              <w:spacing w:before="0" w:after="0" w:line="240" w:lineRule="atLeast"/>
            </w:pPr>
            <w:r>
              <w:rPr>
                <w:rFonts w:ascii="Arial" w:hAnsi="Arial" w:cs="Arial" w:eastAsia="Arial"/>
                <w:sz w:val="16"/>
                <w:szCs w:val="16"/>
              </w:rPr>
              <w:t>RAG</w:t>
            </w:r>
          </w:p>
        </w:tc>
        <w:tc>
          <w:tcPr>
            <w:tcW w:type="dxa" w:w="4889"/>
          </w:tcPr>
          <w:p>
            <w:pPr>
              <w:pStyle w:val="TableContents"/>
              <w:spacing w:before="0" w:after="0" w:line="240" w:lineRule="atLeast"/>
            </w:pPr>
            <w:r>
              <w:rPr>
                <w:rFonts w:ascii="Arial" w:hAnsi="Arial" w:cs="Arial" w:eastAsia="Arial"/>
                <w:sz w:val="16"/>
                <w:szCs w:val="16"/>
              </w:rPr>
              <w:t>Red-Amber-Green - a colour-coded status classification scheme used in performance reporting and action tracking dashboards to indicate the severity, urgency or completion status of findings and corrective actions.</w:t>
            </w:r>
          </w:p>
        </w:tc>
      </w:tr>
      <w:tr>
        <w:tc>
          <w:tcPr>
            <w:tcW w:type="dxa" w:w="4888"/>
          </w:tcPr>
          <w:p>
            <w:pPr>
              <w:pStyle w:val="TableContents"/>
              <w:spacing w:before="0" w:after="0" w:line="240" w:lineRule="atLeast"/>
            </w:pPr>
            <w:r>
              <w:rPr>
                <w:rFonts w:ascii="Arial" w:hAnsi="Arial" w:cs="Arial" w:eastAsia="Arial"/>
                <w:sz w:val="16"/>
                <w:szCs w:val="16"/>
              </w:rPr>
              <w:t>PDCA</w:t>
            </w:r>
          </w:p>
        </w:tc>
        <w:tc>
          <w:tcPr>
            <w:tcW w:type="dxa" w:w="4889"/>
          </w:tcPr>
          <w:p>
            <w:pPr>
              <w:pStyle w:val="TableContents"/>
              <w:spacing w:before="0" w:after="0" w:line="240" w:lineRule="atLeast"/>
            </w:pPr>
            <w:r>
              <w:rPr>
                <w:rFonts w:ascii="Arial" w:hAnsi="Arial" w:cs="Arial" w:eastAsia="Arial"/>
                <w:sz w:val="16"/>
                <w:szCs w:val="16"/>
              </w:rPr>
              <w:t>Plan-Do-Check-Act - the iterative four-stage continuous improvement cycle underpinning the management system approach, in which audit and performance assessment activities constitute the Check phase.</w:t>
            </w:r>
          </w:p>
        </w:tc>
      </w:tr>
      <w:tr>
        <w:tc>
          <w:tcPr>
            <w:tcW w:type="dxa" w:w="4888"/>
          </w:tcPr>
          <w:p>
            <w:pPr>
              <w:pStyle w:val="TableContents"/>
              <w:spacing w:before="0" w:after="0" w:line="240" w:lineRule="atLeast"/>
            </w:pPr>
            <w:r>
              <w:rPr>
                <w:rFonts w:ascii="Arial" w:hAnsi="Arial" w:cs="Arial" w:eastAsia="Arial"/>
                <w:sz w:val="16"/>
                <w:szCs w:val="16"/>
              </w:rPr>
              <w:t>SPoC</w:t>
            </w:r>
          </w:p>
        </w:tc>
        <w:tc>
          <w:tcPr>
            <w:tcW w:type="dxa" w:w="4889"/>
          </w:tcPr>
          <w:p>
            <w:pPr>
              <w:pStyle w:val="TableContents"/>
              <w:spacing w:before="0" w:after="0" w:line="240" w:lineRule="atLeast"/>
            </w:pPr>
            <w:r>
              <w:rPr>
                <w:rFonts w:ascii="Arial" w:hAnsi="Arial" w:cs="Arial" w:eastAsia="Arial"/>
                <w:sz w:val="16"/>
                <w:szCs w:val="16"/>
              </w:rPr>
              <w:t>Single Point of Contact - the designated individual responsible for coordinating communications, information requests and logistical arrangements between the audit team and the auditee organisation during an audit.</w:t>
            </w:r>
          </w:p>
        </w:tc>
      </w:tr>
      <w:tr>
        <w:tc>
          <w:tcPr>
            <w:tcW w:type="dxa" w:w="4888"/>
          </w:tcPr>
          <w:p>
            <w:pPr>
              <w:pStyle w:val="TableContents"/>
              <w:spacing w:before="0" w:after="0" w:line="240" w:lineRule="atLeast"/>
            </w:pPr>
            <w:r>
              <w:rPr>
                <w:rFonts w:ascii="Arial" w:hAnsi="Arial" w:cs="Arial" w:eastAsia="Arial"/>
                <w:sz w:val="16"/>
                <w:szCs w:val="16"/>
              </w:rPr>
              <w:t>ALARP</w:t>
            </w:r>
          </w:p>
        </w:tc>
        <w:tc>
          <w:tcPr>
            <w:tcW w:type="dxa" w:w="4889"/>
          </w:tcPr>
          <w:p>
            <w:pPr>
              <w:pStyle w:val="TableContents"/>
              <w:spacing w:before="0" w:after="0" w:line="240" w:lineRule="atLeast"/>
            </w:pPr>
            <w:r>
              <w:rPr>
                <w:rFonts w:ascii="Arial" w:hAnsi="Arial" w:cs="Arial" w:eastAsia="Arial"/>
                <w:sz w:val="16"/>
                <w:szCs w:val="16"/>
              </w:rPr>
              <w:t>As Low As Reasonably Practicable - the risk reduction principle requiring that residual risk be reduced to the lowest level achievable without the cost of further reduction being grossly disproportionate to the benefit gained.</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Improvement Planning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Document Control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Monitoring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Performance Assessment and Auditing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Management Review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 Critical Risk Management Requirements</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Health, Safety and Environment Policy</w:t>
            </w:r>
          </w:p>
        </w:tc>
        <w:tc>
          <w:tcPr>
            <w:tcW w:type="dxa" w:w="3259"/>
          </w:tcPr>
          <w:p>
            <w:pPr>
              <w:pStyle w:val="TableContents"/>
              <w:spacing w:before="0" w:after="0" w:line="240" w:lineRule="atLeast"/>
            </w:pPr>
            <w:r>
              <w:rPr>
                <w:rFonts w:ascii="Arial" w:hAnsi="Arial" w:cs="Arial" w:eastAsia="Arial"/>
                <w:sz w:val="16"/>
                <w:szCs w:val="16"/>
              </w:rPr>
              <w:t>RT HSE Policy</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Critical Risk Management Standard</w:t>
            </w:r>
          </w:p>
        </w:tc>
        <w:tc>
          <w:tcPr>
            <w:tcW w:type="dxa" w:w="3259"/>
          </w:tcPr>
          <w:p>
            <w:pPr>
              <w:pStyle w:val="TableContents"/>
              <w:spacing w:before="0" w:after="0" w:line="240" w:lineRule="atLeast"/>
            </w:pPr>
            <w:r>
              <w:rPr>
                <w:rFonts w:ascii="Arial" w:hAnsi="Arial" w:cs="Arial" w:eastAsia="Arial"/>
                <w:sz w:val="16"/>
                <w:szCs w:val="16"/>
              </w:rPr>
              <w:t>RT CRM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Audit and Assurance Standard</w:t>
            </w:r>
          </w:p>
        </w:tc>
        <w:tc>
          <w:tcPr>
            <w:tcW w:type="dxa" w:w="3259"/>
          </w:tcPr>
          <w:p>
            <w:pPr>
              <w:pStyle w:val="TableContents"/>
              <w:spacing w:before="0" w:after="0" w:line="240" w:lineRule="atLeast"/>
            </w:pPr>
            <w:r>
              <w:rPr>
                <w:rFonts w:ascii="Arial" w:hAnsi="Arial" w:cs="Arial" w:eastAsia="Arial"/>
                <w:sz w:val="16"/>
                <w:szCs w:val="16"/>
              </w:rPr>
              <w:t>RT Audit and Assurance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Projects HSESC Management System Framework</w:t>
            </w:r>
          </w:p>
        </w:tc>
        <w:tc>
          <w:tcPr>
            <w:tcW w:type="dxa" w:w="3259"/>
          </w:tcPr>
          <w:p>
            <w:pPr>
              <w:pStyle w:val="TableContents"/>
              <w:spacing w:before="0" w:after="0" w:line="240" w:lineRule="atLeast"/>
            </w:pPr>
            <w:r>
              <w:rPr>
                <w:rFonts w:ascii="Arial" w:hAnsi="Arial" w:cs="Arial" w:eastAsia="Arial"/>
                <w:sz w:val="16"/>
                <w:szCs w:val="16"/>
              </w:rPr>
              <w:t>RT Projects HSESC MS Framework</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Occupational Health and Safety Management Systems - Requirements with Guidance for Use</w:t>
            </w:r>
          </w:p>
        </w:tc>
        <w:tc>
          <w:tcPr>
            <w:tcW w:type="dxa" w:w="3259"/>
          </w:tcPr>
          <w:p>
            <w:pPr>
              <w:pStyle w:val="TableContents"/>
              <w:spacing w:before="0" w:after="0" w:line="240" w:lineRule="atLeast"/>
            </w:pPr>
            <w:r>
              <w:rPr>
                <w:rFonts w:ascii="Arial" w:hAnsi="Arial" w:cs="Arial" w:eastAsia="Arial"/>
                <w:sz w:val="16"/>
                <w:szCs w:val="16"/>
              </w:rPr>
              <w:t>ISO 45001:2018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Environmental Management Systems - Requirements with Guidance for Use</w:t>
            </w:r>
          </w:p>
        </w:tc>
        <w:tc>
          <w:tcPr>
            <w:tcW w:type="dxa" w:w="3259"/>
          </w:tcPr>
          <w:p>
            <w:pPr>
              <w:pStyle w:val="TableContents"/>
              <w:spacing w:before="0" w:after="0" w:line="240" w:lineRule="atLeast"/>
            </w:pPr>
            <w:r>
              <w:rPr>
                <w:rFonts w:ascii="Arial" w:hAnsi="Arial" w:cs="Arial" w:eastAsia="Arial"/>
                <w:sz w:val="16"/>
                <w:szCs w:val="16"/>
              </w:rPr>
              <w:t>ISO 14001:2015</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Guidelines for Auditing Management Systems</w:t>
            </w:r>
          </w:p>
        </w:tc>
        <w:tc>
          <w:tcPr>
            <w:tcW w:type="dxa" w:w="3259"/>
          </w:tcPr>
          <w:p>
            <w:pPr>
              <w:pStyle w:val="TableContents"/>
              <w:spacing w:before="0" w:after="0" w:line="240" w:lineRule="atLeast"/>
            </w:pPr>
            <w:r>
              <w:rPr>
                <w:rFonts w:ascii="Arial" w:hAnsi="Arial" w:cs="Arial" w:eastAsia="Arial"/>
                <w:sz w:val="16"/>
                <w:szCs w:val="16"/>
              </w:rPr>
              <w:t>ISO 19011:2018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Work Health and Safety Act</w:t>
            </w:r>
          </w:p>
        </w:tc>
        <w:tc>
          <w:tcPr>
            <w:tcW w:type="dxa" w:w="3259"/>
          </w:tcPr>
          <w:p>
            <w:pPr>
              <w:pStyle w:val="TableContents"/>
              <w:spacing w:before="0" w:after="0" w:line="240" w:lineRule="atLeast"/>
            </w:pPr>
            <w:r>
              <w:rPr>
                <w:rFonts w:ascii="Arial" w:hAnsi="Arial" w:cs="Arial" w:eastAsia="Arial"/>
                <w:sz w:val="16"/>
                <w:szCs w:val="16"/>
              </w:rPr>
              <w:t>WHS Act (jurisdiction applicable)</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Work Health and Safety Regulations</w:t>
            </w:r>
          </w:p>
        </w:tc>
        <w:tc>
          <w:tcPr>
            <w:tcW w:type="dxa" w:w="3259"/>
          </w:tcPr>
          <w:p>
            <w:pPr>
              <w:pStyle w:val="TableContents"/>
              <w:spacing w:before="0" w:after="0" w:line="240" w:lineRule="atLeast"/>
            </w:pPr>
            <w:r>
              <w:rPr>
                <w:rFonts w:ascii="Arial" w:hAnsi="Arial" w:cs="Arial" w:eastAsia="Arial"/>
                <w:sz w:val="16"/>
                <w:szCs w:val="16"/>
              </w:rPr>
              <w:t>WHS Regulations (jurisdiction applicable)</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§40-41</w:t>
            </w:r>
          </w:p>
        </w:tc>
        <w:tc>
          <w:tcPr>
            <w:tcW w:type="dxa" w:w="2256"/>
          </w:tcPr>
          <w:p>
            <w:pPr>
              <w:pStyle w:val="TableContents"/>
              <w:spacing w:before="0" w:after="0" w:line="240" w:lineRule="atLeast"/>
            </w:pPr>
            <w:r>
              <w:rPr>
                <w:rFonts w:ascii="Arial" w:hAnsi="Arial" w:cs="Arial" w:eastAsia="Arial"/>
                <w:sz w:val="16"/>
                <w:szCs w:val="16"/>
              </w:rPr>
              <w:t>Requires a planned HSESC audit programme covering audit types, frequency, scope, auditor competency, sampling methodology, and documentation, applied to all contractor organisations and subcontractors.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§40.2</w:t>
            </w:r>
          </w:p>
        </w:tc>
        <w:tc>
          <w:tcPr>
            <w:tcW w:type="dxa" w:w="2256"/>
          </w:tcPr>
          <w:p>
            <w:pPr>
              <w:pStyle w:val="TableContents"/>
              <w:spacing w:before="0" w:after="0" w:line="240" w:lineRule="atLeast"/>
            </w:pPr>
            <w:r>
              <w:rPr>
                <w:rFonts w:ascii="Arial" w:hAnsi="Arial" w:cs="Arial" w:eastAsia="Arial"/>
                <w:sz w:val="16"/>
                <w:szCs w:val="16"/>
              </w:rPr>
              <w:t>Defines the audit process steps from planning through report issuance, including finding classification by severity and distribution of audit reports to all relevant parties.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§41.1</w:t>
            </w:r>
          </w:p>
        </w:tc>
        <w:tc>
          <w:tcPr>
            <w:tcW w:type="dxa" w:w="2256"/>
          </w:tcPr>
          <w:p>
            <w:pPr>
              <w:pStyle w:val="TableContents"/>
              <w:spacing w:before="0" w:after="0" w:line="240" w:lineRule="atLeast"/>
            </w:pPr>
            <w:r>
              <w:rPr>
                <w:rFonts w:ascii="Arial" w:hAnsi="Arial" w:cs="Arial" w:eastAsia="Arial"/>
                <w:sz w:val="16"/>
                <w:szCs w:val="16"/>
              </w:rPr>
              <w:t>Requires all audit and inspection actions to be recorded, severity-ranked, tracked, and closed out in the project action tracking register, with monthly closeout reports to the project owner and verification of high-severity closures.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C-3</w:t>
            </w:r>
          </w:p>
        </w:tc>
        <w:tc>
          <w:tcPr>
            <w:tcW w:type="dxa" w:w="2256"/>
          </w:tcPr>
          <w:p>
            <w:pPr>
              <w:pStyle w:val="TableContents"/>
              <w:spacing w:before="0" w:after="0" w:line="240" w:lineRule="atLeast"/>
            </w:pPr>
            <w:r>
              <w:rPr>
                <w:rFonts w:ascii="Arial" w:hAnsi="Arial" w:cs="Arial" w:eastAsia="Arial"/>
                <w:sz w:val="16"/>
                <w:szCs w:val="16"/>
              </w:rPr>
              <w:t>Defines CRM verification reporting requirements including weekly and monthly reports, minimum report content, and entry of all CRM verifications into the RT CRM portal with quality evidence.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PS1 §22</w:t>
            </w:r>
          </w:p>
        </w:tc>
        <w:tc>
          <w:tcPr>
            <w:tcW w:type="dxa" w:w="2256"/>
          </w:tcPr>
          <w:p>
            <w:pPr>
              <w:pStyle w:val="TableContents"/>
              <w:spacing w:before="0" w:after="0" w:line="240" w:lineRule="atLeast"/>
            </w:pPr>
            <w:r>
              <w:rPr>
                <w:rFonts w:ascii="Arial" w:hAnsi="Arial" w:cs="Arial" w:eastAsia="Arial"/>
                <w:sz w:val="16"/>
                <w:szCs w:val="16"/>
              </w:rPr>
              <w:t>Requires the audit programme to cover the effectiveness of management controls against project objectives and targets, not only checklist compliance.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PS1 Guidance Note §GN100</w:t>
            </w:r>
          </w:p>
        </w:tc>
        <w:tc>
          <w:tcPr>
            <w:tcW w:type="dxa" w:w="2256"/>
          </w:tcPr>
          <w:p>
            <w:pPr>
              <w:pStyle w:val="TableContents"/>
              <w:spacing w:before="0" w:after="0" w:line="240" w:lineRule="atLeast"/>
            </w:pPr>
            <w:r>
              <w:rPr>
                <w:rFonts w:ascii="Arial" w:hAnsi="Arial" w:cs="Arial" w:eastAsia="Arial"/>
                <w:sz w:val="16"/>
                <w:szCs w:val="16"/>
              </w:rPr>
              <w:t>Requires audit findings to be evaluated for what they reveal about systemic management system gaps or recurring performance patterns, not just as individual non-conformances.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TSM Safe, Healthy and Respectful Workplaces Protocol, Indicator SH3</w:t>
            </w:r>
          </w:p>
        </w:tc>
        <w:tc>
          <w:tcPr>
            <w:tcW w:type="dxa" w:w="2256"/>
          </w:tcPr>
          <w:p>
            <w:pPr>
              <w:pStyle w:val="TableContents"/>
              <w:spacing w:before="0" w:after="0" w:line="240" w:lineRule="atLeast"/>
            </w:pPr>
            <w:r>
              <w:rPr>
                <w:rFonts w:ascii="Arial" w:hAnsi="Arial" w:cs="Arial" w:eastAsia="Arial"/>
                <w:sz w:val="16"/>
                <w:szCs w:val="16"/>
              </w:rPr>
              <w:t>Requires regular audits to confirm that incident prevention processes are in place and that senior management is demonstrably accountable for safety and health outcomes.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 Management &amp; Compliance Standard</w:t>
            </w:r>
          </w:p>
        </w:tc>
        <w:tc>
          <w:tcPr>
            <w:tcW w:type="dxa" w:w="2256"/>
          </w:tcPr>
          <w:p>
            <w:pPr>
              <w:pStyle w:val="TableContents"/>
              <w:spacing w:before="0" w:after="0" w:line="240" w:lineRule="atLeast"/>
            </w:pPr>
            <w:r>
              <w:rPr>
                <w:rFonts w:ascii="Arial" w:hAnsi="Arial" w:cs="Arial" w:eastAsia="Arial"/>
                <w:sz w:val="16"/>
                <w:szCs w:val="16"/>
              </w:rPr>
              <w:t>Requires unrestricted access by RT audit teams to all contractor facilities, equipment, materials, personnel, and records during reasonable hours with a minimum of two working days advance notice, and requires CCVS to provide management-level assurance of critical control verification effectiveness.</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