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Infectious Disease Control</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Infectious Disease Control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vector-borne and infectious disease risks relevant to project work locations, protecting the health of all project personnel and, where applicable, host communities. The specific requirements depend on the geographic risk profile of the project.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infectious disease control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Risk Assessment and General Controls</w:t>
      </w:r>
    </w:p>
    <w:p>
      <w:pPr>
        <w:pStyle w:val="NormalNumberedtext"/>
      </w:pPr>
      <w:r>
        <w:t>This section defines the minimum requirements for infectious disease risk assessment at all project work locations, covering identification, evaluation, and proportionate control of communicable disease risks before mobilisation.</w:t>
      </w:r>
    </w:p>
    <w:p>
      <w:pPr>
        <w:pStyle w:val="Heading2Numbered"/>
      </w:pPr>
      <w:r>
        <w:t>3.1  Disease Risk Assessment Requirements</w:t>
      </w:r>
    </w:p>
    <w:p>
      <w:pPr>
        <w:pStyle w:val="NormalNumberedtext"/>
      </w:pPr>
      <w:r>
        <w:t>The project requires a documented disease risk assessment for every work location before personnel mobilise to that location.</w:t>
      </w:r>
    </w:p>
    <w:p>
      <w:pPr>
        <w:pStyle w:val="NormalNumberedtext"/>
      </w:pPr>
      <w:r>
        <w:t>The Project Health Advisor conducts a disease-specific risk assessment for all work locations before mobilisation, covering infectious and vector-borne diseases relevant to each location. The assessment follows the risk assessment framework defined in RTPR-HSE-PRO-0002 – Risk Management.</w:t>
      </w:r>
    </w:p>
    <w:p>
      <w:pPr>
        <w:pStyle w:val="NormalNumberedtext"/>
      </w:pPr>
      <w:r>
        <w:t>The location-specific disease risk assessment must address:</w:t>
      </w:r>
    </w:p>
    <w:p>
      <w:pPr>
        <w:pStyle w:val="NumberedBulletL1"/>
      </w:pPr>
      <w:r>
        <w:t>Diseases endemic or prevalent at the work location, including vector-borne, water-borne, airborne, and sexually transmitted diseases.</w:t>
      </w:r>
    </w:p>
    <w:p>
      <w:pPr>
        <w:pStyle w:val="NumberedBulletL1"/>
      </w:pPr>
      <w:r>
        <w:t>Risks arising from a large influx of workers into areas with different baseline disease prevalence.</w:t>
      </w:r>
    </w:p>
    <w:p>
      <w:pPr>
        <w:pStyle w:val="NumberedBulletL1"/>
      </w:pPr>
      <w:r>
        <w:t>Travel-related health risks for personnel mobilising from other regions or countries.</w:t>
      </w:r>
    </w:p>
    <w:p>
      <w:pPr>
        <w:pStyle w:val="NumberedBulletL1"/>
      </w:pPr>
      <w:r>
        <w:t>Vaccination requirements and health screening requirements applicable to the location, consistent with RTPR-HSE-PRO-0006 – Fitness for Work.</w:t>
      </w:r>
    </w:p>
    <w:p>
      <w:pPr>
        <w:pStyle w:val="NumberedBulletL1"/>
      </w:pPr>
      <w:r>
        <w:rPr>
          <w:color w:val="C55A11"/>
        </w:rPr>
        <w:t>Seasonal variation in disease risk, particularly for vector-borne and water-borne diseases.</w:t>
      </w:r>
    </w:p>
    <w:p>
      <w:pPr>
        <w:pStyle w:val="NumberedBulletL1"/>
      </w:pPr>
      <w:r>
        <w:rPr>
          <w:b/>
          <w:bCs/>
          <w:color w:val="0059D1"/>
        </w:rPr>
        <w:t>[INSERT: Location-specific disease risk assessment reference]</w:t>
      </w:r>
    </w:p>
    <w:p>
      <w:pPr>
        <w:pStyle w:val="NormalNumberedtext"/>
      </w:pPr>
      <w:r>
        <w:t>The Project Health Advisor evaluates the infectious disease management programme annually, or following any significant change to the work location, workforce composition, or local disease prevalence data. Evaluation findings are documented and any programme updates are implemented before the next assessment cycle closes.</w:t>
      </w:r>
    </w:p>
    <w:p>
      <w:pPr>
        <w:pStyle w:val="NormalNumberedtext"/>
      </w:pPr>
      <w:r>
        <w:t>The Project Health Advisor updates all location-specific disease risk assessments when project locations change or when new work locations are added to the project scope. Updated assessments are completed before personnel mobilise to the new or changed location.</w:t>
      </w:r>
    </w:p>
    <w:tbl>
      <w:tblPr>
        <w:tblStyle w:val="TableOption1"/>
        <w:tblW w:type="pct" w:w="5000"/>
      </w:tblPr>
      <w:tr>
        <w:tc>
          <w:tcPr>
            <w:shd w:val="clear" w:color="auto" w:fill="FFF2CC"/>
          </w:tcPr>
          <w:p>
            <w:pPr>
              <w:pStyle w:val="Instructions"/>
            </w:pPr>
            <w:r>
              <w:rPr>
                <w:b/>
                <w:bCs/>
                <w:color w:val="C55A11"/>
              </w:rPr>
              <w:t>[INSERT: 1] Conduct a location-specific infectious disease risk assessment for this project before mobilisation. The procedure requires one — insert the assessment findings or a reference to the completed assessment in the bullet list above. [INSERT: 4] Require risk assessments for vector-borne and infectious diseases relevant to all locations where the project operates. Assessments must be updated when project locations change — confirm the update trigger and responsible role are documented in this section.</w:t>
            </w:r>
          </w:p>
        </w:tc>
      </w:tr>
    </w:tbl>
    <w:p>
      <w:pPr>
        <w:pStyle w:val="Default"/>
      </w:pPr>
    </w:p>
    <w:p>
      <w:pPr>
        <w:pStyle w:val="NormalNumberedtext"/>
      </w:pPr>
      <w:r>
        <w:t>The project assesses communicable disease risks associated with the workforce consistent with IFC EHS General Guidelines §3.6, including risks associated with large influxes of workers into areas with different disease prevalence. Controls are implemented in proportion to the identified risks and are reviewed following any change in workforce size or location.</w:t>
      </w:r>
    </w:p>
    <w:p>
      <w:pPr>
        <w:pStyle w:val="NormalNumberedtext"/>
      </w:pPr>
      <w:r>
        <w:t>The project implements documented processes to prevent incidents and manage workplace health risks from communicable diseases, consistent with the Towards Sustainable Mining Safe, Healthy and Respectful Workplaces Protocol Indicator SH3. Controls and monitoring activities are documented and records are maintained for the life of the project.</w:t>
      </w:r>
    </w:p>
    <w:p>
      <w:pPr>
        <w:pStyle w:val="Heading1Numbered"/>
      </w:pPr>
      <w:r>
        <w:t>4  Location-Specific Disease Controls</w:t>
      </w:r>
    </w:p>
    <w:p>
      <w:pPr>
        <w:pStyle w:val="NormalNumberedtext"/>
      </w:pPr>
      <w:r>
        <w:t>This section defines the control requirements for disease programmes that apply where location, prevalence data, or environmental conditions trigger their activation.</w:t>
      </w:r>
    </w:p>
    <w:p>
      <w:pPr>
        <w:pStyle w:val="Heading2Numbered"/>
      </w:pPr>
      <w:r>
        <w:t>4.1  HIV/AIDS and Tuberculosis Programme</w:t>
      </w:r>
    </w:p>
    <w:p>
      <w:pPr>
        <w:pStyle w:val="NormalNumberedtext"/>
      </w:pPr>
      <w:r>
        <w:t>Where HIV/AIDS or TB prevalence thresholds are met in the project jurisdiction, an HIV/AIDS and TB management programme must be in place for all project personnel.</w:t>
      </w:r>
    </w:p>
    <w:p>
      <w:pPr>
        <w:pStyle w:val="NormalNumberedtext"/>
      </w:pPr>
      <w:r>
        <w:t>The Project Health Advisor assesses HIV/AIDS and TB prevalence in the project jurisdiction using current national or regional epidemiological data before mobilisation. Where prevalence thresholds defined by applicable standards or national guidelines are met, the project ensures all personnel have access to an HIV/AIDS and TB management programme.</w:t>
      </w:r>
    </w:p>
    <w:p>
      <w:pPr>
        <w:pStyle w:val="NormalNumberedtext"/>
      </w:pPr>
      <w:r>
        <w:t>The HIV/AIDS and TB management programme must cover the following elements:</w:t>
      </w:r>
    </w:p>
    <w:p>
      <w:pPr>
        <w:pStyle w:val="NumberedBulletL1"/>
      </w:pPr>
      <w:r>
        <w:t>Prevention: awareness and education for all personnel, consistent with health awareness training requirements in RTPR-HSE-PRO-0004 – Training.</w:t>
      </w:r>
    </w:p>
    <w:p>
      <w:pPr>
        <w:pStyle w:val="NumberedBulletL1"/>
      </w:pPr>
      <w:r>
        <w:t>Voluntary and confidential testing access for all project personnel.</w:t>
      </w:r>
    </w:p>
    <w:p>
      <w:pPr>
        <w:pStyle w:val="NumberedBulletL1"/>
      </w:pPr>
      <w:r>
        <w:t>Treatment access through health insurance, a private provider, or other locally available resources.</w:t>
      </w:r>
    </w:p>
    <w:p>
      <w:pPr>
        <w:pStyle w:val="NumberedBulletL1"/>
      </w:pPr>
      <w:r>
        <w:t>Confidentiality protections ensuring no personnel are subject to discrimination or disclosure without consent.</w:t>
      </w:r>
    </w:p>
    <w:p>
      <w:pPr>
        <w:pStyle w:val="NumberedBulletL1"/>
      </w:pPr>
      <w:r>
        <w:rPr>
          <w:color w:val="C55A11"/>
        </w:rPr>
        <w:t>Referral pathways to public health or specialist services where project-level treatment capacity is not available.</w:t>
      </w:r>
    </w:p>
    <w:p>
      <w:pPr>
        <w:pStyle w:val="NumberedBulletL1"/>
      </w:pPr>
      <w:r>
        <w:rPr>
          <w:b/>
          <w:bCs/>
          <w:color w:val="0059D1"/>
        </w:rPr>
        <w:t>[INSERT: HIV/AIDS and TB programme provider details]</w:t>
      </w:r>
    </w:p>
    <w:tbl>
      <w:tblPr>
        <w:tblStyle w:val="TableOption1"/>
        <w:tblW w:type="pct" w:w="5000"/>
      </w:tblPr>
      <w:tr>
        <w:tc>
          <w:tcPr>
            <w:shd w:val="clear" w:color="auto" w:fill="FFF2CC"/>
          </w:tcPr>
          <w:p>
            <w:pPr>
              <w:pStyle w:val="Instructions"/>
            </w:pPr>
            <w:r>
              <w:rPr>
                <w:b/>
                <w:bCs/>
                <w:color w:val="C55A11"/>
              </w:rPr>
              <w:t>[INSERT: 5] Where HIV/AIDS or tuberculosis prevalence thresholds are met in the project jurisdiction, confirm access to an HIV/AIDS and TB management programme for all project personnel through health insurance, a private provider, or other locally available resources. Insert provider details in the table above.</w:t>
            </w:r>
          </w:p>
        </w:tc>
      </w:tr>
    </w:tbl>
    <w:p>
      <w:pPr>
        <w:pStyle w:val="Default"/>
      </w:pPr>
    </w:p>
    <w:p>
      <w:pPr>
        <w:pStyle w:val="Heading2Numbered"/>
      </w:pPr>
      <w:r>
        <w:t>4.2  Malaria Prevention and Management Programme</w:t>
      </w:r>
    </w:p>
    <w:p>
      <w:pPr>
        <w:pStyle w:val="NormalNumberedtext"/>
      </w:pPr>
      <w:r>
        <w:t>In WHO-designated high-risk malaria locations, a risk-based malaria assessment and prevention and management programme is required.</w:t>
      </w:r>
    </w:p>
    <w:p>
      <w:pPr>
        <w:pStyle w:val="NormalNumberedtext"/>
      </w:pPr>
      <w:r>
        <w:t>The Project Health Advisor determines whether the project operates in a WHO-designated high-risk malaria location before mobilisation. Where the location meets this designation, the project conducts a risk-based malaria assessment and implements a malaria prevention and management programme.</w:t>
      </w:r>
    </w:p>
    <w:p>
      <w:pPr>
        <w:pStyle w:val="NormalNumberedtext"/>
      </w:pPr>
      <w:r>
        <w:t>The malaria prevention and management programme covers the following elements:</w:t>
      </w:r>
    </w:p>
    <w:p>
      <w:pPr>
        <w:pStyle w:val="NumberedBulletL1"/>
      </w:pPr>
      <w:r>
        <w:t>Vector control: site-level measures including drainage management, residual insecticide application, and screening of accommodation.</w:t>
      </w:r>
    </w:p>
    <w:p>
      <w:pPr>
        <w:pStyle w:val="NumberedBulletL1"/>
      </w:pPr>
      <w:r>
        <w:t>Personal protection protocols: insect repellent use, permethrin-treated clothing, and bed net requirements for accommodation settings.</w:t>
      </w:r>
    </w:p>
    <w:p>
      <w:pPr>
        <w:pStyle w:val="NumberedBulletL1"/>
      </w:pPr>
      <w:r>
        <w:t>Chemoprophylaxis: requirements and approved regimens for personnel in high-risk areas, aligned with Fitness for Work requirements in RTPR-HSE-PRO-0006.</w:t>
      </w:r>
    </w:p>
    <w:p>
      <w:pPr>
        <w:pStyle w:val="NumberedBulletL1"/>
      </w:pPr>
      <w:r>
        <w:t>Rapid diagnosis and treatment: access to approved diagnostic testing and first-line treatment at site or through the approved medical provider.</w:t>
      </w:r>
    </w:p>
    <w:p>
      <w:pPr>
        <w:pStyle w:val="NumberedBulletL1"/>
      </w:pPr>
      <w:r>
        <w:t>Education: malaria awareness training for all personnel before mobilisation to a high-risk location, consistent with RTPR-HSE-PRO-0004 – Training.</w:t>
      </w:r>
    </w:p>
    <w:p>
      <w:pPr>
        <w:pStyle w:val="NumberedBulletL1"/>
      </w:pPr>
      <w:r>
        <w:rPr>
          <w:color w:val="C55A11"/>
        </w:rPr>
        <w:t>A designated medical officer or approved provider responsible for prescribing chemoprophylaxis and managing confirmed malaria cases at site.</w:t>
      </w:r>
    </w:p>
    <w:p>
      <w:pPr>
        <w:pStyle w:val="NumberedBulletL1"/>
      </w:pPr>
      <w:r>
        <w:rPr>
          <w:b/>
          <w:bCs/>
          <w:color w:val="0059D1"/>
        </w:rPr>
        <w:t>[INSERT: Malaria programme applicability and approved medical provider]</w:t>
      </w:r>
    </w:p>
    <w:tbl>
      <w:tblPr>
        <w:tblStyle w:val="TableOption1"/>
        <w:tblW w:type="pct" w:w="5000"/>
      </w:tblPr>
      <w:tr>
        <w:tc>
          <w:tcPr>
            <w:shd w:val="clear" w:color="auto" w:fill="FFF2CC"/>
          </w:tcPr>
          <w:p>
            <w:pPr>
              <w:pStyle w:val="Instructions"/>
            </w:pPr>
            <w:r>
              <w:rPr>
                <w:b/>
                <w:bCs/>
                <w:color w:val="C55A11"/>
              </w:rPr>
              <w:t>[INSERT: 2] If the project location is in a WHO-designated malaria risk area: complete the malaria programme section above with project-specific controls, chemoprophylaxis guidance, and the approved medical provider. [INSERT: 6] In high-risk malaria locations as defined by the World Health Organisation, confirm the prevention and management programme covers vector control, personal protection, chemoprophylaxis where recommended, and rapid diagnosis and treatment.</w:t>
            </w:r>
          </w:p>
        </w:tc>
      </w:tr>
    </w:tbl>
    <w:p>
      <w:pPr>
        <w:pStyle w:val="Default"/>
      </w:pPr>
    </w:p>
    <w:p>
      <w:pPr>
        <w:pStyle w:val="Heading2Numbered"/>
      </w:pPr>
      <w:r>
        <w:t>4.3  Legionella Control Programme</w:t>
      </w:r>
    </w:p>
    <w:p>
      <w:pPr>
        <w:pStyle w:val="NormalNumberedtext"/>
      </w:pPr>
      <w:r>
        <w:t>The project identifies all water systems with potential for Legionella growth and implements a documented monitoring and control programme.</w:t>
      </w:r>
    </w:p>
    <w:p>
      <w:pPr>
        <w:pStyle w:val="NormalNumberedtext"/>
      </w:pPr>
      <w:r>
        <w:t>The Project Facilities Manager, supported by the Project Health Advisor, identifies all water systems and equipment at the project site with potential for Legionella bacteria growth and mist generation before commissioning those systems. Identified systems are assigned a risk classification based on water temperature range, water stagnation risk, and the potential for aerosol generation.</w:t>
      </w:r>
    </w:p>
    <w:p>
      <w:pPr>
        <w:pStyle w:val="NormalNumberedtext"/>
      </w:pPr>
      <w:r>
        <w:t>Water systems and equipment subject to Legionella risk assessment include, but are not limited to:</w:t>
      </w:r>
    </w:p>
    <w:p>
      <w:pPr>
        <w:pStyle w:val="NumberedBulletL1"/>
      </w:pPr>
      <w:r>
        <w:t>Cooling towers and evaporative condensers.</w:t>
      </w:r>
    </w:p>
    <w:p>
      <w:pPr>
        <w:pStyle w:val="NumberedBulletL1"/>
      </w:pPr>
      <w:r>
        <w:t>Hot and cold water storage and distribution systems.</w:t>
      </w:r>
    </w:p>
    <w:p>
      <w:pPr>
        <w:pStyle w:val="NumberedBulletL1"/>
      </w:pPr>
      <w:r>
        <w:t>Showers, spray taps, and hose reels in accommodation and welfare facilities.</w:t>
      </w:r>
    </w:p>
    <w:p>
      <w:pPr>
        <w:pStyle w:val="NumberedBulletL1"/>
      </w:pPr>
      <w:r>
        <w:rPr>
          <w:color w:val="C55A11"/>
        </w:rPr>
        <w:t>Decorative fountains, misters, and any equipment generating aerosols from stored or recirculated water.</w:t>
      </w:r>
    </w:p>
    <w:p>
      <w:pPr>
        <w:pStyle w:val="NumberedBulletL1"/>
      </w:pPr>
      <w:r>
        <w:rPr>
          <w:b/>
          <w:bCs/>
          <w:color w:val="0059D1"/>
        </w:rPr>
        <w:t>[INSERT: Site-specific water systems identified for Legionella control]</w:t>
      </w:r>
    </w:p>
    <w:p>
      <w:pPr>
        <w:pStyle w:val="NormalNumberedtext"/>
      </w:pPr>
      <w:r>
        <w:t>The Project Facilities Manager implements a documented control programme for all systems classified as high or critical risk. The programme defines testing and monitoring frequencies, treatment requirements, and cleaning and disinfection schedules for each identified system.</w:t>
      </w:r>
    </w:p>
    <w:p>
      <w:pPr>
        <w:pStyle w:val="NormalNumberedtext"/>
      </w:pPr>
      <w:r>
        <w:t>Table: Legionella Monitoring Schedule</w:t>
      </w:r>
    </w:p>
    <w:tbl>
      <w:tblPr>
        <w:tblStyle w:val="TableOption2"/>
        <w:tblW w:type="pct" w:w="5000"/>
      </w:tblPr>
      <w:tr>
        <w:trPr>
          <w:tblHeader/>
        </w:trPr>
        <w:tc>
          <w:tcPr>
            <w:shd w:val="clear" w:color="auto" w:fill="1F3864"/>
          </w:tcPr>
          <w:p>
            <w:pPr>
              <w:pStyle w:val="TableContents"/>
            </w:pPr>
            <w:r>
              <w:rPr>
                <w:b/>
                <w:bCs/>
                <w:color w:val="FFFFFF"/>
              </w:rPr>
              <w:t>Water System / Equipment</w:t>
            </w:r>
          </w:p>
        </w:tc>
        <w:tc>
          <w:tcPr>
            <w:shd w:val="clear" w:color="auto" w:fill="1F3864"/>
          </w:tcPr>
          <w:p>
            <w:pPr>
              <w:pStyle w:val="TableContents"/>
            </w:pPr>
            <w:r>
              <w:rPr>
                <w:b/>
                <w:bCs/>
                <w:color w:val="FFFFFF"/>
              </w:rPr>
              <w:t>Risk Classification</w:t>
            </w:r>
          </w:p>
        </w:tc>
        <w:tc>
          <w:tcPr>
            <w:shd w:val="clear" w:color="auto" w:fill="1F3864"/>
          </w:tcPr>
          <w:p>
            <w:pPr>
              <w:pStyle w:val="TableContents"/>
            </w:pPr>
            <w:r>
              <w:rPr>
                <w:b/>
                <w:bCs/>
                <w:color w:val="FFFFFF"/>
              </w:rPr>
              <w:t>Monitoring Frequency</w:t>
            </w:r>
          </w:p>
        </w:tc>
        <w:tc>
          <w:tcPr>
            <w:shd w:val="clear" w:color="auto" w:fill="1F3864"/>
          </w:tcPr>
          <w:p>
            <w:pPr>
              <w:pStyle w:val="TableContents"/>
            </w:pPr>
            <w:r>
              <w:rPr>
                <w:b/>
                <w:bCs/>
                <w:color w:val="FFFFFF"/>
              </w:rPr>
              <w:t>Treatment Method</w:t>
            </w:r>
          </w:p>
        </w:tc>
        <w:tc>
          <w:tcPr>
            <w:shd w:val="clear" w:color="auto" w:fill="1F3864"/>
          </w:tcPr>
          <w:p>
            <w:pPr>
              <w:pStyle w:val="TableContents"/>
            </w:pPr>
            <w:r>
              <w:rPr>
                <w:b/>
                <w:bCs/>
                <w:color w:val="FFFFFF"/>
              </w:rPr>
              <w:t>Cleaning / Disinfection Schedule</w:t>
            </w:r>
          </w:p>
        </w:tc>
        <w:tc>
          <w:tcPr>
            <w:shd w:val="clear" w:color="auto" w:fill="1F3864"/>
          </w:tcPr>
          <w:p>
            <w:pPr>
              <w:pStyle w:val="TableContents"/>
            </w:pPr>
            <w:r>
              <w:rPr>
                <w:b/>
                <w:bCs/>
                <w:color w:val="FFFFFF"/>
              </w:rPr>
              <w:t>Responsible Role</w:t>
            </w:r>
          </w:p>
        </w:tc>
      </w:tr>
      <w:tr>
        <w:tc>
          <w:tcPr/>
          <w:p>
            <w:pPr>
              <w:pStyle w:val="TableContents"/>
            </w:pPr>
            <w:r>
              <w:t>Cooling tower</w:t>
            </w:r>
          </w:p>
        </w:tc>
        <w:tc>
          <w:tcPr/>
          <w:p>
            <w:pPr>
              <w:pStyle w:val="TableContents"/>
            </w:pPr>
            <w:r>
              <w:t>High</w:t>
            </w:r>
          </w:p>
        </w:tc>
        <w:tc>
          <w:tcPr/>
          <w:p>
            <w:pPr>
              <w:pStyle w:val="TableContents"/>
            </w:pPr>
            <w:r>
              <w:t>Monthly water sampling; quarterly full inspection</w:t>
            </w:r>
          </w:p>
        </w:tc>
        <w:tc>
          <w:tcPr/>
          <w:p>
            <w:pPr>
              <w:pStyle w:val="TableContents"/>
            </w:pPr>
            <w:r>
              <w:t>Biocide dosing per approved water treatment programme</w:t>
            </w:r>
          </w:p>
        </w:tc>
        <w:tc>
          <w:tcPr/>
          <w:p>
            <w:pPr>
              <w:pStyle w:val="TableContents"/>
            </w:pPr>
            <w:r>
              <w:t>Annual clean and disinfection; additional disinfection after shutdown</w:t>
            </w:r>
          </w:p>
        </w:tc>
        <w:tc>
          <w:tcPr/>
          <w:p>
            <w:pPr>
              <w:pStyle w:val="TableContents"/>
            </w:pPr>
            <w:r>
              <w:t>Project Facilities Manager</w:t>
            </w:r>
          </w:p>
        </w:tc>
      </w:tr>
      <w:tr>
        <w:tc>
          <w:tcPr/>
          <w:p>
            <w:pPr>
              <w:pStyle w:val="TableContents"/>
            </w:pPr>
            <w:r>
              <w:t>Hot water storage (&gt;45°C systems)</w:t>
            </w:r>
          </w:p>
        </w:tc>
        <w:tc>
          <w:tcPr/>
          <w:p>
            <w:pPr>
              <w:pStyle w:val="TableContents"/>
            </w:pPr>
            <w:r>
              <w:t>Medium</w:t>
            </w:r>
          </w:p>
        </w:tc>
        <w:tc>
          <w:tcPr/>
          <w:p>
            <w:pPr>
              <w:pStyle w:val="TableContents"/>
            </w:pPr>
            <w:r>
              <w:t>Quarterly temperature check at outlets</w:t>
            </w:r>
          </w:p>
        </w:tc>
        <w:tc>
          <w:tcPr/>
          <w:p>
            <w:pPr>
              <w:pStyle w:val="TableContents"/>
            </w:pPr>
            <w:r>
              <w:t>Temperature maintenance; periodic thermal flush</w:t>
            </w:r>
          </w:p>
        </w:tc>
        <w:tc>
          <w:tcPr/>
          <w:p>
            <w:pPr>
              <w:pStyle w:val="TableContents"/>
            </w:pPr>
            <w:r>
              <w:t>Annual descale and disinfection</w:t>
            </w:r>
          </w:p>
        </w:tc>
        <w:tc>
          <w:tcPr/>
          <w:p>
            <w:pPr>
              <w:pStyle w:val="TableContents"/>
            </w:pPr>
            <w:r>
              <w:t>Project Facilities Manager</w:t>
            </w:r>
          </w:p>
        </w:tc>
      </w:tr>
      <w:tr>
        <w:tc>
          <w:tcPr/>
          <w:p>
            <w:pPr>
              <w:pStyle w:val="TableContents"/>
            </w:pPr>
            <w:r>
              <w:t>Shower facilities — accommodation</w:t>
            </w:r>
          </w:p>
        </w:tc>
        <w:tc>
          <w:tcPr/>
          <w:p>
            <w:pPr>
              <w:pStyle w:val="TableContents"/>
            </w:pPr>
            <w:r>
              <w:t>High</w:t>
            </w:r>
          </w:p>
        </w:tc>
        <w:tc>
          <w:tcPr/>
          <w:p>
            <w:pPr>
              <w:pStyle w:val="TableContents"/>
            </w:pPr>
            <w:r>
              <w:t>Monthly flush of infrequently used outlets; quarterly Legionella water sample</w:t>
            </w:r>
          </w:p>
        </w:tc>
        <w:tc>
          <w:tcPr/>
          <w:p>
            <w:pPr>
              <w:pStyle w:val="TableContents"/>
            </w:pPr>
            <w:r>
              <w:t>Temperature control; biocide where required</w:t>
            </w:r>
          </w:p>
        </w:tc>
        <w:tc>
          <w:tcPr/>
          <w:p>
            <w:pPr>
              <w:pStyle w:val="TableContents"/>
            </w:pPr>
            <w:r>
              <w:t>Annual disinfection; flush after any shutdown exceeding 7 days</w:t>
            </w:r>
          </w:p>
        </w:tc>
        <w:tc>
          <w:tcPr/>
          <w:p>
            <w:pPr>
              <w:pStyle w:val="TableContents"/>
            </w:pPr>
            <w:r>
              <w:t>Project Facilities Manager</w:t>
            </w:r>
          </w:p>
        </w:tc>
      </w:tr>
      <w:tr>
        <w:tc>
          <w:tcPr/>
          <w:p>
            <w:pPr>
              <w:pStyle w:val="TableContents"/>
            </w:pPr>
            <w:r>
              <w:rPr>
                <w:b/>
                <w:bCs/>
                <w:color w:val="0059D1"/>
              </w:rPr>
              <w:t>[INSERT: System name]</w:t>
            </w:r>
          </w:p>
        </w:tc>
        <w:tc>
          <w:tcPr/>
          <w:p>
            <w:pPr>
              <w:pStyle w:val="TableContents"/>
            </w:pPr>
            <w:r>
              <w:rPr>
                <w:b/>
                <w:bCs/>
                <w:color w:val="0059D1"/>
              </w:rPr>
              <w:t>[INSERT: Risk classification]</w:t>
            </w:r>
          </w:p>
        </w:tc>
        <w:tc>
          <w:tcPr/>
          <w:p>
            <w:pPr>
              <w:pStyle w:val="TableContents"/>
            </w:pPr>
            <w:r>
              <w:rPr>
                <w:b/>
                <w:bCs/>
                <w:color w:val="0059D1"/>
              </w:rPr>
              <w:t>[INSERT: Monitoring frequency and test type]</w:t>
            </w:r>
          </w:p>
        </w:tc>
        <w:tc>
          <w:tcPr/>
          <w:p>
            <w:pPr>
              <w:pStyle w:val="TableContents"/>
            </w:pPr>
            <w:r>
              <w:rPr>
                <w:b/>
                <w:bCs/>
                <w:color w:val="0059D1"/>
              </w:rPr>
              <w:t>[INSERT: Treatment method]</w:t>
            </w:r>
          </w:p>
        </w:tc>
        <w:tc>
          <w:tcPr/>
          <w:p>
            <w:pPr>
              <w:pStyle w:val="TableContents"/>
            </w:pPr>
            <w:r>
              <w:rPr>
                <w:b/>
                <w:bCs/>
                <w:color w:val="0059D1"/>
              </w:rPr>
              <w:t>[INSERT: Cleaning and disinfection schedule]</w:t>
            </w:r>
          </w:p>
        </w:tc>
        <w:tc>
          <w:tcPr/>
          <w:p>
            <w:pPr>
              <w:pStyle w:val="TableContents"/>
            </w:pPr>
            <w:r>
              <w:rPr>
                <w:b/>
                <w:bCs/>
                <w:color w:val="0059D1"/>
              </w:rPr>
              <w:t>[INSERT: Responsible role]</w:t>
            </w:r>
          </w:p>
        </w:tc>
      </w:tr>
    </w:tbl>
    <w:p>
      <w:pPr>
        <w:pStyle w:val="Default"/>
      </w:pPr>
    </w:p>
    <w:tbl>
      <w:tblPr>
        <w:tblStyle w:val="TableOption1"/>
        <w:tblW w:type="pct" w:w="5000"/>
      </w:tblPr>
      <w:tr>
        <w:tc>
          <w:tcPr>
            <w:shd w:val="clear" w:color="auto" w:fill="FFF2CC"/>
          </w:tcPr>
          <w:p>
            <w:pPr>
              <w:pStyle w:val="Instructions"/>
            </w:pPr>
            <w:r>
              <w:rPr>
                <w:b/>
                <w:bCs/>
                <w:color w:val="C55A11"/>
              </w:rPr>
              <w:t>[INSERT: 3] Define the Legionella monitoring programme for this project: identify all water systems at risk and insert the testing schedule and action levels in the table above. [INSERT: 7] Identify all water systems and equipment with the potential for Legionella bacteria growth and mist generation. Conduct a risk assessment and implement a control programme for all identified high or critical risks, including regular water sampling and testing.</w:t>
            </w:r>
          </w:p>
        </w:tc>
      </w:tr>
    </w:tbl>
    <w:p>
      <w:pPr>
        <w:pStyle w:val="Default"/>
      </w:pPr>
    </w:p>
    <w:p>
      <w:pPr>
        <w:pStyle w:val="Heading1Numbered"/>
      </w:pPr>
      <w:r>
        <w:t>5  Pandemic Preparedness</w:t>
      </w:r>
    </w:p>
    <w:p>
      <w:pPr>
        <w:pStyle w:val="NormalNumberedtext"/>
      </w:pPr>
      <w:r>
        <w:t>This section defines the framework requirements for pandemic and outbreak preparedness planning, including surveillance, containment, communication, workforce management, and business continuity.</w:t>
      </w:r>
    </w:p>
    <w:p>
      <w:pPr>
        <w:pStyle w:val="Heading2Numbered"/>
      </w:pPr>
      <w:r>
        <w:t>5.1  Pandemic Preparedness and Response Planning</w:t>
      </w:r>
    </w:p>
    <w:p>
      <w:pPr>
        <w:pStyle w:val="NormalNumberedtext"/>
      </w:pPr>
      <w:r>
        <w:t>The project prepares and maintains a pandemic preparedness and response plan covering all elements required by applicable standards and WHO guidance.</w:t>
      </w:r>
    </w:p>
    <w:p>
      <w:pPr>
        <w:pStyle w:val="NormalNumberedtext"/>
      </w:pPr>
      <w:r>
        <w:t>The Project Manager, supported by the Project Health Advisor, ensures a pandemic preparedness and response plan is prepared before project execution commences. The plan is consistent with current WHO guidance and applicable national public health requirements, and addresses the specific vulnerabilities of the project workforce and any accommodation settings.</w:t>
      </w:r>
    </w:p>
    <w:p>
      <w:pPr>
        <w:pStyle w:val="NormalNumberedtext"/>
      </w:pPr>
      <w:r>
        <w:t>The pandemic preparedness and response plan addresses the following elements:</w:t>
      </w:r>
    </w:p>
    <w:p>
      <w:pPr>
        <w:pStyle w:val="NumberedBulletL1"/>
      </w:pPr>
      <w:r>
        <w:t>Surveillance: processes for monitoring local, national, and international disease alerts and communicating relevant information to the project team.</w:t>
      </w:r>
    </w:p>
    <w:p>
      <w:pPr>
        <w:pStyle w:val="NumberedBulletL1"/>
      </w:pPr>
      <w:r>
        <w:t>Containment: procedures for isolating and managing confirmed or suspected cases, including quarantine and isolation protocols.</w:t>
      </w:r>
    </w:p>
    <w:p>
      <w:pPr>
        <w:pStyle w:val="NumberedBulletL1"/>
      </w:pPr>
      <w:r>
        <w:t>Communication: defined communication protocols for notifying personnel, Rio Tinto management, contractors, and public health authorities.</w:t>
      </w:r>
    </w:p>
    <w:p>
      <w:pPr>
        <w:pStyle w:val="NumberedBulletL1"/>
      </w:pPr>
      <w:r>
        <w:t>Workforce management: procedures covering personnel education, vaccination requirements, health screening, PPE requirements, and physical distancing where required.</w:t>
      </w:r>
    </w:p>
    <w:p>
      <w:pPr>
        <w:pStyle w:val="NumberedBulletL1"/>
      </w:pPr>
      <w:r>
        <w:t>Business continuity: alignment with the business resilience requirements for pandemic response as an emergency scenario, as defined in RTPR-HSE-PRO-0041 – Business Resilience.</w:t>
      </w:r>
    </w:p>
    <w:p>
      <w:pPr>
        <w:pStyle w:val="NumberedBulletL1"/>
      </w:pPr>
      <w:r>
        <w:t>Escalation triggers and response actions: defined thresholds at which each level of the response is activated.</w:t>
      </w:r>
    </w:p>
    <w:p>
      <w:pPr>
        <w:pStyle w:val="NumberedBulletL1"/>
      </w:pPr>
      <w:r>
        <w:t>Contact registration and tracing protocols for confirmed or suspected cases within the project workforce.</w:t>
      </w:r>
    </w:p>
    <w:p>
      <w:pPr>
        <w:pStyle w:val="NumberedBulletL1"/>
      </w:pPr>
      <w:r>
        <w:t>Ventilation requirements for enclosed work and accommodation spaces.</w:t>
      </w:r>
    </w:p>
    <w:p>
      <w:pPr>
        <w:pStyle w:val="NumberedBulletL1"/>
      </w:pPr>
      <w:r>
        <w:t>Hygiene protocols for work areas, shared facilities, and accommodation settings.</w:t>
      </w:r>
    </w:p>
    <w:p>
      <w:pPr>
        <w:pStyle w:val="NumberedBulletL1"/>
      </w:pPr>
      <w:r>
        <w:rPr>
          <w:color w:val="C55A11"/>
        </w:rPr>
        <w:t>A designated pandemic response coordinator responsible for activating and managing the response plan.</w:t>
      </w:r>
    </w:p>
    <w:p>
      <w:pPr>
        <w:pStyle w:val="NumberedBulletL1"/>
      </w:pPr>
      <w:r>
        <w:rPr>
          <w:b/>
          <w:bCs/>
          <w:color w:val="0059D1"/>
        </w:rPr>
        <w:t>[INSERT: Pandemic response plan document reference]</w:t>
      </w:r>
    </w:p>
    <w:p>
      <w:pPr>
        <w:pStyle w:val="NormalNumberedtext"/>
      </w:pPr>
      <w:r>
        <w:t>Incident reporting obligations during a disease outbreak are fulfilled per project requirements, refer RTPR-HSE-PRO-0009 – Incident Management. The Project Health Advisor confirms applicable public health notification requirements for the host country and documents these requirements in the pandemic response plan.</w:t>
      </w:r>
    </w:p>
    <w:p>
      <w:pPr>
        <w:pStyle w:val="NormalNumberedtext"/>
      </w:pPr>
      <w:r>
        <w:t>Table: Pandemic Response Escalation Triggers</w:t>
      </w:r>
    </w:p>
    <w:tbl>
      <w:tblPr>
        <w:tblStyle w:val="TableOption2"/>
        <w:tblW w:type="pct" w:w="5000"/>
      </w:tblPr>
      <w:tr>
        <w:trPr>
          <w:tblHeader/>
        </w:trPr>
        <w:tc>
          <w:tcPr>
            <w:shd w:val="clear" w:color="auto" w:fill="1F3864"/>
          </w:tcPr>
          <w:p>
            <w:pPr>
              <w:pStyle w:val="TableContents"/>
            </w:pPr>
            <w:r>
              <w:rPr>
                <w:b/>
                <w:bCs/>
                <w:color w:val="FFFFFF"/>
              </w:rPr>
              <w:t>Escalation Level</w:t>
            </w:r>
          </w:p>
        </w:tc>
        <w:tc>
          <w:tcPr>
            <w:shd w:val="clear" w:color="auto" w:fill="1F3864"/>
          </w:tcPr>
          <w:p>
            <w:pPr>
              <w:pStyle w:val="TableContents"/>
            </w:pPr>
            <w:r>
              <w:rPr>
                <w:b/>
                <w:bCs/>
                <w:color w:val="FFFFFF"/>
              </w:rPr>
              <w:t>Trigger Condition</w:t>
            </w:r>
          </w:p>
        </w:tc>
        <w:tc>
          <w:tcPr>
            <w:shd w:val="clear" w:color="auto" w:fill="1F3864"/>
          </w:tcPr>
          <w:p>
            <w:pPr>
              <w:pStyle w:val="TableContents"/>
            </w:pPr>
            <w:r>
              <w:rPr>
                <w:b/>
                <w:bCs/>
                <w:color w:val="FFFFFF"/>
              </w:rPr>
              <w:t>Response Actions</w:t>
            </w:r>
          </w:p>
        </w:tc>
        <w:tc>
          <w:tcPr>
            <w:shd w:val="clear" w:color="auto" w:fill="1F3864"/>
          </w:tcPr>
          <w:p>
            <w:pPr>
              <w:pStyle w:val="TableContents"/>
            </w:pPr>
            <w:r>
              <w:rPr>
                <w:b/>
                <w:bCs/>
                <w:color w:val="FFFFFF"/>
              </w:rPr>
              <w:t>Communication Chain</w:t>
            </w:r>
          </w:p>
        </w:tc>
        <w:tc>
          <w:tcPr>
            <w:shd w:val="clear" w:color="auto" w:fill="1F3864"/>
          </w:tcPr>
          <w:p>
            <w:pPr>
              <w:pStyle w:val="TableContents"/>
            </w:pPr>
            <w:r>
              <w:rPr>
                <w:b/>
                <w:bCs/>
                <w:color w:val="FFFFFF"/>
              </w:rPr>
              <w:t>Responsible Role</w:t>
            </w:r>
          </w:p>
        </w:tc>
      </w:tr>
      <w:tr>
        <w:tc>
          <w:tcPr/>
          <w:p>
            <w:pPr>
              <w:pStyle w:val="TableContents"/>
            </w:pPr>
            <w:r>
              <w:t>Level 1 — Watch</w:t>
            </w:r>
          </w:p>
        </w:tc>
        <w:tc>
          <w:tcPr/>
          <w:p>
            <w:pPr>
              <w:pStyle w:val="TableContents"/>
            </w:pPr>
            <w:r>
              <w:t>WHO or national public health authority issues an alert for a disease with potential to affect the project workforce or host country</w:t>
            </w:r>
          </w:p>
        </w:tc>
        <w:tc>
          <w:tcPr/>
          <w:p>
            <w:pPr>
              <w:pStyle w:val="TableContents"/>
            </w:pPr>
            <w:r>
              <w:t>Increase surveillance frequency; brief project leadership; review PPE and hygiene stock levels</w:t>
            </w:r>
          </w:p>
        </w:tc>
        <w:tc>
          <w:tcPr/>
          <w:p>
            <w:pPr>
              <w:pStyle w:val="TableContents"/>
            </w:pPr>
            <w:r>
              <w:t>Project Health Advisor notifies Project Manager and HSESC Manager</w:t>
            </w:r>
          </w:p>
        </w:tc>
        <w:tc>
          <w:tcPr/>
          <w:p>
            <w:pPr>
              <w:pStyle w:val="TableContents"/>
            </w:pPr>
            <w:r>
              <w:t>Project Health Advisor</w:t>
            </w:r>
          </w:p>
        </w:tc>
      </w:tr>
      <w:tr>
        <w:tc>
          <w:tcPr/>
          <w:p>
            <w:pPr>
              <w:pStyle w:val="TableContents"/>
            </w:pPr>
            <w:r>
              <w:t>Level 2 — Standby</w:t>
            </w:r>
          </w:p>
        </w:tc>
        <w:tc>
          <w:tcPr/>
          <w:p>
            <w:pPr>
              <w:pStyle w:val="TableContents"/>
            </w:pPr>
            <w:r>
              <w:t>Confirmed cases in the host country or region, or a confirmed case in the project workforce supply chain</w:t>
            </w:r>
          </w:p>
        </w:tc>
        <w:tc>
          <w:tcPr/>
          <w:p>
            <w:pPr>
              <w:pStyle w:val="TableContents"/>
            </w:pPr>
            <w:r>
              <w:t>Activate health screening at site access; review travel and mobilisation controls; communicate to all personnel</w:t>
            </w:r>
          </w:p>
        </w:tc>
        <w:tc>
          <w:tcPr/>
          <w:p>
            <w:pPr>
              <w:pStyle w:val="TableContents"/>
            </w:pPr>
            <w:r>
              <w:t>Project Manager notifies Rio Tinto Project Director and applicable Rio Tinto health function</w:t>
            </w:r>
          </w:p>
        </w:tc>
        <w:tc>
          <w:tcPr/>
          <w:p>
            <w:pPr>
              <w:pStyle w:val="TableContents"/>
            </w:pPr>
            <w:r>
              <w:t>Project Manager</w:t>
            </w:r>
          </w:p>
        </w:tc>
      </w:tr>
      <w:tr>
        <w:tc>
          <w:tcPr/>
          <w:p>
            <w:pPr>
              <w:pStyle w:val="TableContents"/>
            </w:pPr>
            <w:r>
              <w:t>Level 3 — Response</w:t>
            </w:r>
          </w:p>
        </w:tc>
        <w:tc>
          <w:tcPr/>
          <w:p>
            <w:pPr>
              <w:pStyle w:val="TableContents"/>
            </w:pPr>
            <w:r>
              <w:t>Confirmed case within the project workforce or site</w:t>
            </w:r>
          </w:p>
        </w:tc>
        <w:tc>
          <w:tcPr/>
          <w:p>
            <w:pPr>
              <w:pStyle w:val="TableContents"/>
            </w:pPr>
            <w:r>
              <w:t>Activate isolation and quarantine protocols; initiate contact tracing; implement full pandemic response plan; notify public health authority</w:t>
            </w:r>
          </w:p>
        </w:tc>
        <w:tc>
          <w:tcPr/>
          <w:p>
            <w:pPr>
              <w:pStyle w:val="TableContents"/>
            </w:pPr>
            <w:r>
              <w:t>Project Director notifies Rio Tinto business leadership; public health authority notified per host country requirements</w:t>
            </w:r>
          </w:p>
        </w:tc>
        <w:tc>
          <w:tcPr/>
          <w:p>
            <w:pPr>
              <w:pStyle w:val="TableContents"/>
            </w:pPr>
            <w:r>
              <w:t>Project Director</w:t>
            </w:r>
          </w:p>
        </w:tc>
      </w:tr>
      <w:tr>
        <w:tc>
          <w:tcPr/>
          <w:p>
            <w:pPr>
              <w:pStyle w:val="TableContents"/>
            </w:pPr>
            <w:r>
              <w:rPr>
                <w:b/>
                <w:bCs/>
                <w:color w:val="0059D1"/>
              </w:rPr>
              <w:t>[INSERT: Level]</w:t>
            </w:r>
          </w:p>
        </w:tc>
        <w:tc>
          <w:tcPr/>
          <w:p>
            <w:pPr>
              <w:pStyle w:val="TableContents"/>
            </w:pPr>
            <w:r>
              <w:rPr>
                <w:b/>
                <w:bCs/>
                <w:color w:val="0059D1"/>
              </w:rPr>
              <w:t>[INSERT: Trigger condition for this project and host country context]</w:t>
            </w:r>
          </w:p>
        </w:tc>
        <w:tc>
          <w:tcPr/>
          <w:p>
            <w:pPr>
              <w:pStyle w:val="TableContents"/>
            </w:pPr>
            <w:r>
              <w:rPr>
                <w:b/>
                <w:bCs/>
                <w:color w:val="0059D1"/>
              </w:rPr>
              <w:t>[INSERT: Response actions]</w:t>
            </w:r>
          </w:p>
        </w:tc>
        <w:tc>
          <w:tcPr/>
          <w:p>
            <w:pPr>
              <w:pStyle w:val="TableContents"/>
            </w:pPr>
            <w:r>
              <w:rPr>
                <w:b/>
                <w:bCs/>
                <w:color w:val="0059D1"/>
              </w:rPr>
              <w:t>[INSERT: Communication chain]</w:t>
            </w:r>
          </w:p>
        </w:tc>
        <w:tc>
          <w:tcPr/>
          <w:p>
            <w:pPr>
              <w:pStyle w:val="TableContents"/>
            </w:pPr>
            <w:r>
              <w:rPr>
                <w:b/>
                <w:bCs/>
                <w:color w:val="0059D1"/>
              </w:rPr>
              <w:t>[INSERT: Responsible role]</w:t>
            </w:r>
          </w:p>
        </w:tc>
      </w:tr>
    </w:tbl>
    <w:p>
      <w:pPr>
        <w:pStyle w:val="Default"/>
      </w:pPr>
    </w:p>
    <w:tbl>
      <w:tblPr>
        <w:tblStyle w:val="TableOption1"/>
        <w:tblW w:type="pct" w:w="5000"/>
      </w:tblPr>
      <w:tr>
        <w:tc>
          <w:tcPr>
            <w:shd w:val="clear" w:color="auto" w:fill="FFF2CC"/>
          </w:tcPr>
          <w:p>
            <w:pPr>
              <w:pStyle w:val="Instructions"/>
            </w:pPr>
            <w:r>
              <w:rPr>
                <w:b/>
                <w:bCs/>
                <w:color w:val="C55A11"/>
              </w:rPr>
              <w:t>[INSERT: 8] Confirm the pandemic preparedness and response plan covers all required elements: defined roles and responsibilities; communication protocols; personnel education and training; vaccination requirements; health screening; quarantine and isolation protocols; PPE requirements; contact registration and tracing; physical distancing where required; ventilation requirements; and hygiene protocols. [INSERT: 9] Define the pandemic response activation triggers for this project and the communication chain. Insert project-specific trigger conditions relevant to the host country context in the escalation table above.</w:t>
            </w:r>
          </w:p>
        </w:tc>
      </w:tr>
    </w:tbl>
    <w:p>
      <w:pPr>
        <w:pStyle w:val="Default"/>
      </w:pPr>
    </w:p>
    <w:p>
      <w:pPr>
        <w:pStyle w:val="Heading1Numbered"/>
      </w:pPr>
      <w:r>
        <w:t>6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Security and Community — the integrated management framework governing all such disciplines on Rio Tinto owner-led projects.</w:t>
            </w:r>
          </w:p>
        </w:tc>
      </w:tr>
      <w:tr>
        <w:tc>
          <w:tcPr/>
          <w:p>
            <w:pPr>
              <w:pStyle w:val="TableContents"/>
            </w:pPr>
            <w:r>
              <w:t>PRO</w:t>
            </w:r>
          </w:p>
        </w:tc>
        <w:tc>
          <w:tcPr/>
          <w:p>
            <w:pPr>
              <w:pStyle w:val="TableContents"/>
            </w:pPr>
            <w:r>
              <w:t>Procedure — a controlled document that specifies the mandatory steps, responsibilities and controls required to manage a defined activity or risk.</w:t>
            </w:r>
          </w:p>
        </w:tc>
      </w:tr>
      <w:tr>
        <w:tc>
          <w:tcPr/>
          <w:p>
            <w:pPr>
              <w:pStyle w:val="TableContents"/>
            </w:pPr>
            <w:r>
              <w:t>RT</w:t>
            </w:r>
          </w:p>
        </w:tc>
        <w:tc>
          <w:tcPr/>
          <w:p>
            <w:pPr>
              <w:pStyle w:val="TableContents"/>
            </w:pPr>
            <w:r>
              <w:t>Rio Tinto — the parent company whose standards, requirements and management system framework govern this procedure.</w:t>
            </w:r>
          </w:p>
        </w:tc>
      </w:tr>
      <w:tr>
        <w:tc>
          <w:tcPr/>
          <w:p>
            <w:pPr>
              <w:pStyle w:val="TableContents"/>
            </w:pPr>
            <w:r>
              <w:t>RTPR</w:t>
            </w:r>
          </w:p>
        </w:tc>
        <w:tc>
          <w:tcPr/>
          <w:p>
            <w:pPr>
              <w:pStyle w:val="TableContents"/>
            </w:pPr>
            <w:r>
              <w:t>Rio Tinto Project Requirements — the suite of project-level HSE controlled documents aligned to the Rio Tinto Management System for owner-led projects.</w:t>
            </w:r>
          </w:p>
        </w:tc>
      </w:tr>
      <w:tr>
        <w:tc>
          <w:tcPr/>
          <w:p>
            <w:pPr>
              <w:pStyle w:val="TableContents"/>
            </w:pPr>
            <w:r>
              <w:t>HSE</w:t>
            </w:r>
          </w:p>
        </w:tc>
        <w:tc>
          <w:tcPr/>
          <w:p>
            <w:pPr>
              <w:pStyle w:val="TableContents"/>
            </w:pPr>
            <w:r>
              <w:t>Health, Safety and Environment — the combined discipline area responsible for identifying, assessing and controlling risks to people and the environment.</w:t>
            </w:r>
          </w:p>
        </w:tc>
      </w:tr>
      <w:tr>
        <w:tc>
          <w:tcPr/>
          <w:p>
            <w:pPr>
              <w:pStyle w:val="TableContents"/>
            </w:pPr>
            <w:r>
              <w:t>PPE</w:t>
            </w:r>
          </w:p>
        </w:tc>
        <w:tc>
          <w:tcPr/>
          <w:p>
            <w:pPr>
              <w:pStyle w:val="TableContents"/>
            </w:pPr>
            <w:r>
              <w:t>Personal Protective Equipment — equipment worn or used by workers to minimise exposure to infectious disease hazards, including but not limited to masks, gloves, eye protection and gowns.</w:t>
            </w:r>
          </w:p>
        </w:tc>
      </w:tr>
      <w:tr>
        <w:tc>
          <w:tcPr/>
          <w:p>
            <w:pPr>
              <w:pStyle w:val="TableContents"/>
            </w:pPr>
            <w:r>
              <w:t>JHA</w:t>
            </w:r>
          </w:p>
        </w:tc>
        <w:tc>
          <w:tcPr/>
          <w:p>
            <w:pPr>
              <w:pStyle w:val="TableContents"/>
            </w:pPr>
            <w:r>
              <w:t>Job Hazard Analysis — a systematic technique used to identify hazards associated with specific tasks, including exposure to infectious disease, and to determine appropriate controls.</w:t>
            </w:r>
          </w:p>
        </w:tc>
      </w:tr>
      <w:tr>
        <w:tc>
          <w:tcPr/>
          <w:p>
            <w:pPr>
              <w:pStyle w:val="TableContents"/>
            </w:pPr>
            <w:r>
              <w:t>RA</w:t>
            </w:r>
          </w:p>
        </w:tc>
        <w:tc>
          <w:tcPr/>
          <w:p>
            <w:pPr>
              <w:pStyle w:val="TableContents"/>
            </w:pPr>
            <w:r>
              <w:t>Risk Assessment — the overall process of identifying, analysing and evaluating the likelihood and consequence of exposure to infectious disease agents in the workplace.</w:t>
            </w:r>
          </w:p>
        </w:tc>
      </w:tr>
      <w:tr>
        <w:tc>
          <w:tcPr/>
          <w:p>
            <w:pPr>
              <w:pStyle w:val="TableContents"/>
            </w:pPr>
            <w:r>
              <w:t>IPC</w:t>
            </w:r>
          </w:p>
        </w:tc>
        <w:tc>
          <w:tcPr/>
          <w:p>
            <w:pPr>
              <w:pStyle w:val="TableContents"/>
            </w:pPr>
            <w:r>
              <w:t>Infection Prevention and Control — the set of practices and procedures designed to prevent or limit the transmission of infectious agents among workers, contractors and the community.</w:t>
            </w:r>
          </w:p>
        </w:tc>
      </w:tr>
      <w:tr>
        <w:tc>
          <w:tcPr/>
          <w:p>
            <w:pPr>
              <w:pStyle w:val="TableContents"/>
            </w:pPr>
            <w:r>
              <w:t>WHO</w:t>
            </w:r>
          </w:p>
        </w:tc>
        <w:tc>
          <w:tcPr/>
          <w:p>
            <w:pPr>
              <w:pStyle w:val="TableContents"/>
            </w:pPr>
            <w:r>
              <w:t>World Health Organization — the United Nations agency responsible for international public health, whose guidelines and declarations inform pandemic preparedness and disease control requirements.</w:t>
            </w:r>
          </w:p>
        </w:tc>
      </w:tr>
      <w:tr>
        <w:tc>
          <w:tcPr/>
          <w:p>
            <w:pPr>
              <w:pStyle w:val="TableContents"/>
            </w:pPr>
            <w:r>
              <w:t>CDC</w:t>
            </w:r>
          </w:p>
        </w:tc>
        <w:tc>
          <w:tcPr/>
          <w:p>
            <w:pPr>
              <w:pStyle w:val="TableContents"/>
            </w:pPr>
            <w:r>
              <w:t>Centers for Disease Control and Prevention — the United States federal public health agency whose technical guidance informs infectious disease risk assessment and control measures.</w:t>
            </w:r>
          </w:p>
        </w:tc>
      </w:tr>
      <w:tr>
        <w:tc>
          <w:tcPr/>
          <w:p>
            <w:pPr>
              <w:pStyle w:val="TableContents"/>
            </w:pPr>
            <w:r>
              <w:t>SOP</w:t>
            </w:r>
          </w:p>
        </w:tc>
        <w:tc>
          <w:tcPr/>
          <w:p>
            <w:pPr>
              <w:pStyle w:val="TableContents"/>
            </w:pPr>
            <w:r>
              <w:t>Standard Operating Procedure — a documented set of step-by-step instructions compiled to help workers carry out routine operations, including infection control protocols, consistently and safely.</w:t>
            </w:r>
          </w:p>
        </w:tc>
      </w:tr>
      <w:tr>
        <w:tc>
          <w:tcPr/>
          <w:p>
            <w:pPr>
              <w:pStyle w:val="TableContents"/>
            </w:pPr>
            <w:r>
              <w:t>BCP</w:t>
            </w:r>
          </w:p>
        </w:tc>
        <w:tc>
          <w:tcPr/>
          <w:p>
            <w:pPr>
              <w:pStyle w:val="TableContents"/>
            </w:pPr>
            <w:r>
              <w:t>Business Continuity Plan — a documented plan that outlines how an organisation will continue operating essential functions during and after a disruptive event such as a pandemic or disease outbreak.</w:t>
            </w:r>
          </w:p>
        </w:tc>
      </w:tr>
      <w:tr>
        <w:tc>
          <w:tcPr/>
          <w:p>
            <w:pPr>
              <w:pStyle w:val="TableContents"/>
            </w:pPr>
            <w:r>
              <w:t>FIFO</w:t>
            </w:r>
          </w:p>
        </w:tc>
        <w:tc>
          <w:tcPr/>
          <w:p>
            <w:pPr>
              <w:pStyle w:val="TableContents"/>
            </w:pPr>
            <w:r>
              <w:t>Fly-In Fly-Out — a workforce arrangement common in remote resource projects whereby workers travel to and from a project site on a rostered basis, representing a specific infectious disease transmission risk pathway.</w:t>
            </w:r>
          </w:p>
        </w:tc>
      </w:tr>
      <w:tr>
        <w:tc>
          <w:tcPr/>
          <w:p>
            <w:pPr>
              <w:pStyle w:val="TableContents"/>
            </w:pPr>
            <w:r>
              <w:t>PCR</w:t>
            </w:r>
          </w:p>
        </w:tc>
        <w:tc>
          <w:tcPr/>
          <w:p>
            <w:pPr>
              <w:pStyle w:val="TableContents"/>
            </w:pPr>
            <w:r>
              <w:t>Polymerase Chain Reaction — a molecular diagnostic testing method used to detect the presence of infectious disease pathogens, referenced in pre-mobilisation and outbreak screening protocols.</w:t>
            </w:r>
          </w:p>
        </w:tc>
      </w:tr>
      <w:tr>
        <w:tc>
          <w:tcPr/>
          <w:p>
            <w:pPr>
              <w:pStyle w:val="TableContents"/>
            </w:pPr>
            <w:r>
              <w:t>FFW</w:t>
            </w:r>
          </w:p>
        </w:tc>
        <w:tc>
          <w:tcPr/>
          <w:p>
            <w:pPr>
              <w:pStyle w:val="TableContents"/>
            </w:pPr>
            <w:r>
              <w:t>Fitness for Work — the determination that a worker is medically and psychologically capable of performing their assigned duties safely, including meeting vaccination and health screening requirements.</w:t>
            </w:r>
          </w:p>
        </w:tc>
      </w:tr>
      <w:tr>
        <w:tc>
          <w:tcPr/>
          <w:p>
            <w:pPr>
              <w:pStyle w:val="TableContents"/>
            </w:pPr>
            <w:r>
              <w:t>ALARP</w:t>
            </w:r>
          </w:p>
        </w:tc>
        <w:tc>
          <w:tcPr/>
          <w:p>
            <w:pPr>
              <w:pStyle w:val="TableContents"/>
            </w:pPr>
            <w:r>
              <w:t>As Low As Reasonably Practicable — the principle requiring that residual risk from infectious disease exposure be reduced to a level at which the cost of further reduction is grossly disproportionate to the benefit gained.</w:t>
            </w:r>
          </w:p>
        </w:tc>
      </w:tr>
      <w:tr>
        <w:tc>
          <w:tcPr/>
          <w:p>
            <w:pPr>
              <w:pStyle w:val="TableContents"/>
            </w:pPr>
            <w:r>
              <w:t>ERP</w:t>
            </w:r>
          </w:p>
        </w:tc>
        <w:tc>
          <w:tcPr/>
          <w:p>
            <w:pPr>
              <w:pStyle w:val="TableContents"/>
            </w:pPr>
            <w:r>
              <w:t>Emergency Response Plan — a documented plan that defines the actions, roles and resources required to respond to emergency scenarios, including infectious disease outbreaks and pandemic events.</w:t>
            </w:r>
          </w:p>
        </w:tc>
      </w:tr>
      <w:tr>
        <w:tc>
          <w:tcPr/>
          <w:p>
            <w:pPr>
              <w:pStyle w:val="TableContents"/>
            </w:pPr>
            <w:r>
              <w:t>KPI</w:t>
            </w:r>
          </w:p>
        </w:tc>
        <w:tc>
          <w:tcPr/>
          <w:p>
            <w:pPr>
              <w:pStyle w:val="TableContents"/>
            </w:pPr>
            <w:r>
              <w:t>Key Performance Indicator — a measurable value used to evaluate the effectiveness of infectious disease control measures, such as vaccination uptake rates, reported cases and response times.</w:t>
            </w:r>
          </w:p>
        </w:tc>
      </w:tr>
      <w:tr>
        <w:tc>
          <w:tcPr/>
          <w:p>
            <w:pPr>
              <w:pStyle w:val="TableContents"/>
            </w:pPr>
            <w:r>
              <w:t>MOC</w:t>
            </w:r>
          </w:p>
        </w:tc>
        <w:tc>
          <w:tcPr/>
          <w:p>
            <w:pPr>
              <w:pStyle w:val="TableContents"/>
            </w:pPr>
            <w:r>
              <w:t>Management of Change — a formal process for reviewing and approving changes to procedures, controls or site conditions, including amendments to infectious disease control measures triggered by evolving outbreak situations.</w:t>
            </w:r>
          </w:p>
        </w:tc>
      </w:tr>
      <w:tr>
        <w:tc>
          <w:tcPr/>
          <w:p>
            <w:pPr>
              <w:pStyle w:val="TableContents"/>
            </w:pPr>
            <w:r>
              <w:t>OHS</w:t>
            </w:r>
          </w:p>
        </w:tc>
        <w:tc>
          <w:tcPr/>
          <w:p>
            <w:pPr>
              <w:pStyle w:val="TableContents"/>
            </w:pPr>
            <w:r>
              <w:t>Occupational Health and Safety — the discipline concerned with identifying and managing health and safety risks arising in the workplace, including exposure to biological and infectious disease hazards.</w:t>
            </w:r>
          </w:p>
        </w:tc>
      </w:tr>
      <w:tr>
        <w:tc>
          <w:tcPr/>
          <w:p>
            <w:pPr>
              <w:pStyle w:val="TableContents"/>
            </w:pPr>
            <w:r>
              <w:t>SME</w:t>
            </w:r>
          </w:p>
        </w:tc>
        <w:tc>
          <w:tcPr/>
          <w:p>
            <w:pPr>
              <w:pStyle w:val="TableContents"/>
            </w:pPr>
            <w:r>
              <w:t>Subject Matter Expert — a person with specialist knowledge in a relevant field, such as occupational medicine or epidemiology, engaged to support infectious disease risk assessment and control design.</w:t>
            </w:r>
          </w:p>
        </w:tc>
      </w:tr>
      <w:tr>
        <w:tc>
          <w:tcPr/>
          <w:p>
            <w:pPr>
              <w:pStyle w:val="TableContents"/>
            </w:pPr>
            <w:r>
              <w:t>LSDC</w:t>
            </w:r>
          </w:p>
        </w:tc>
        <w:tc>
          <w:tcPr/>
          <w:p>
            <w:pPr>
              <w:pStyle w:val="TableContents"/>
            </w:pPr>
            <w:r>
              <w:t>Location-Specific Disease Controls — the tailored set of infectious disease prevention and response measures developed for a particular project site based on regional disease burden, endemic diseases and local regulatory requirements.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7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Fitness for Work Procedure</w:t>
            </w:r>
          </w:p>
        </w:tc>
        <w:tc>
          <w:tcPr/>
          <w:p>
            <w:pPr>
              <w:pStyle w:val="TableContents"/>
            </w:pPr>
            <w:r>
              <w:t>RTPR-HSE-PRO-0006</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WHO International Health Regulations</w:t>
            </w:r>
          </w:p>
        </w:tc>
        <w:tc>
          <w:tcPr/>
          <w:p>
            <w:pPr>
              <w:pStyle w:val="TableContents"/>
            </w:pPr>
            <w:r>
              <w:t>IHR (2005) — Third Edition</w:t>
            </w:r>
          </w:p>
        </w:tc>
        <w:tc>
          <w:tcPr/>
          <w:p>
            <w:pPr>
              <w:pStyle w:val="TableContents"/>
            </w:pPr>
            <w:r>
              <w:t>External framework</w:t>
            </w:r>
          </w:p>
        </w:tc>
      </w:tr>
      <w:tr>
        <w:tc>
          <w:tcPr/>
          <w:p>
            <w:pPr>
              <w:pStyle w:val="TableContents"/>
            </w:pPr>
            <w:r>
              <w:t>WHO Infection Prevention and Control Guidance for COVID-19 and Pandemic Preparedness</w:t>
            </w:r>
          </w:p>
        </w:tc>
        <w:tc>
          <w:tcPr/>
          <w:p>
            <w:pPr>
              <w:pStyle w:val="TableContents"/>
            </w:pPr>
            <w:r>
              <w:t>WHO/2019-nCoV/IPC/2021.1</w:t>
            </w:r>
          </w:p>
        </w:tc>
        <w:tc>
          <w:tcPr/>
          <w:p>
            <w:pPr>
              <w:pStyle w:val="TableContents"/>
            </w:pPr>
            <w:r>
              <w:t>External framework</w:t>
            </w:r>
          </w:p>
        </w:tc>
      </w:tr>
      <w:tr>
        <w:tc>
          <w:tcPr/>
          <w:p>
            <w:pPr>
              <w:pStyle w:val="TableContents"/>
            </w:pPr>
            <w:r>
              <w:t>CDC Guidelines for Infection Control in Healthcare and Workplace Settings</w:t>
            </w:r>
          </w:p>
        </w:tc>
        <w:tc>
          <w:tcPr/>
          <w:p>
            <w:pPr>
              <w:pStyle w:val="TableContents"/>
            </w:pPr>
            <w:r>
              <w:t>CDC HICPAC Guideline for Isolation Precautions (2007, updated 2019)</w:t>
            </w:r>
          </w:p>
        </w:tc>
        <w:tc>
          <w:tcPr/>
          <w:p>
            <w:pPr>
              <w:pStyle w:val="TableContents"/>
            </w:pPr>
            <w:r>
              <w:t>External framework</w:t>
            </w:r>
          </w:p>
        </w:tc>
      </w:tr>
      <w:tr>
        <w:tc>
          <w:tcPr/>
          <w:p>
            <w:pPr>
              <w:pStyle w:val="TableContents"/>
            </w:pPr>
            <w:r>
              <w:t>ISO 31000 — Risk Management Guidelines</w:t>
            </w:r>
          </w:p>
        </w:tc>
        <w:tc>
          <w:tcPr/>
          <w:p>
            <w:pPr>
              <w:pStyle w:val="TableContents"/>
            </w:pPr>
            <w:r>
              <w:t>ISO 31000:2018</w:t>
            </w:r>
          </w:p>
        </w:tc>
        <w:tc>
          <w:tcPr/>
          <w:p>
            <w:pPr>
              <w:pStyle w:val="TableContents"/>
            </w:pPr>
            <w:r>
              <w:t>External framework</w:t>
            </w:r>
          </w:p>
        </w:tc>
      </w:tr>
      <w:tr>
        <w:tc>
          <w:tcPr/>
          <w:p>
            <w:pPr>
              <w:pStyle w:val="TableContents"/>
            </w:pPr>
            <w:r>
              <w:t>ISO 22301 — Business Continuity Management Systems</w:t>
            </w:r>
          </w:p>
        </w:tc>
        <w:tc>
          <w:tcPr/>
          <w:p>
            <w:pPr>
              <w:pStyle w:val="TableContents"/>
            </w:pPr>
            <w:r>
              <w:t>ISO 22301:2019</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8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9  Source Requirements Traceability (DELETE BEFORE ISSUE)</w:t>
      </w:r>
    </w:p>
    <w:p>
      <w:pPr>
        <w:pStyle w:val="Heading2Numbered"/>
      </w:pPr>
      <w:r>
        <w:t>9.1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§70.1</w:t>
            </w:r>
          </w:p>
        </w:tc>
        <w:tc>
          <w:tcPr/>
          <w:p>
            <w:pPr>
              <w:pStyle w:val="TableContents"/>
            </w:pPr>
            <w:r>
              <w:t>Requires disease-specific risk assessments for all work locations before mobilisation, annual programme evaluation, and minimisation of travel-related health risks including vaccination and health screening.</w:t>
            </w:r>
          </w:p>
        </w:tc>
        <w:tc>
          <w:tcPr/>
          <w:p>
            <w:pPr>
              <w:pStyle w:val="TableContents"/>
            </w:pPr>
            <w:r>
              <w:t>Full</w:t>
            </w:r>
          </w:p>
        </w:tc>
      </w:tr>
      <w:tr>
        <w:tc>
          <w:tcPr/>
          <w:p>
            <w:pPr>
              <w:pStyle w:val="TableContents"/>
            </w:pPr>
            <w:r>
              <w:rPr>
                <w:b/>
                <w:bCs/>
                <w:color w:val="0059D1"/>
              </w:rPr>
              <w:t>[INSERT: section]</w:t>
            </w:r>
          </w:p>
        </w:tc>
        <w:tc>
          <w:tcPr/>
          <w:p>
            <w:pPr>
              <w:pStyle w:val="TableContents"/>
            </w:pPr>
            <w:r>
              <w:t>Appendix C C-2 §70.2</w:t>
            </w:r>
          </w:p>
        </w:tc>
        <w:tc>
          <w:tcPr/>
          <w:p>
            <w:pPr>
              <w:pStyle w:val="TableContents"/>
            </w:pPr>
            <w:r>
              <w:t>Requires access to an HIV/AIDS and TB management programme where prevalence thresholds are met, covering prevention, testing, treatment, and confidentiality protections.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§70.2.2</w:t>
            </w:r>
          </w:p>
        </w:tc>
        <w:tc>
          <w:tcPr/>
          <w:p>
            <w:pPr>
              <w:pStyle w:val="TableContents"/>
            </w:pPr>
            <w:r>
              <w:t>Requires a risk-based malaria assessment and a prevention and management programme in WHO-designated high-risk malaria locations.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§70.2.3</w:t>
            </w:r>
          </w:p>
        </w:tc>
        <w:tc>
          <w:tcPr/>
          <w:p>
            <w:pPr>
              <w:pStyle w:val="TableContents"/>
            </w:pPr>
            <w:r>
              <w:t>Requires identification of water systems with potential for Legionella growth and implementation of testing, monitoring, treatment, and cleaning/disinfection schedules.</w:t>
            </w:r>
          </w:p>
        </w:tc>
        <w:tc>
          <w:tcPr/>
          <w:p>
            <w:pPr>
              <w:pStyle w:val="TableContents"/>
            </w:pPr>
            <w:r>
              <w:t>Full</w:t>
            </w:r>
          </w:p>
        </w:tc>
      </w:tr>
      <w:tr>
        <w:tc>
          <w:tcPr/>
          <w:p>
            <w:pPr>
              <w:pStyle w:val="TableContents"/>
            </w:pPr>
            <w:r>
              <w:rPr>
                <w:b/>
                <w:bCs/>
                <w:color w:val="0059D1"/>
              </w:rPr>
              <w:t>[INSERT: section]</w:t>
            </w:r>
          </w:p>
        </w:tc>
        <w:tc>
          <w:tcPr/>
          <w:p>
            <w:pPr>
              <w:pStyle w:val="TableContents"/>
            </w:pPr>
            <w:r>
              <w:t>Appendix C C-2 §70.2.5</w:t>
            </w:r>
          </w:p>
        </w:tc>
        <w:tc>
          <w:tcPr/>
          <w:p>
            <w:pPr>
              <w:pStyle w:val="TableContents"/>
            </w:pPr>
            <w:r>
              <w:t>Requires pandemic preparedness and response planning covering surveillance, containment, communication, workforce management, and business continuity with defined escalation triggers.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§3.6</w:t>
            </w:r>
          </w:p>
        </w:tc>
        <w:tc>
          <w:tcPr/>
          <w:p>
            <w:pPr>
              <w:pStyle w:val="TableContents"/>
            </w:pPr>
            <w:r>
              <w:t>Requires assessment of communicable disease risks associated with the project workforce, including risks from workforce influx, and implementation of proportionate controls; pandemic preparedness plans must be consistent with WHO guidance and address accommodation setting vulnerabilities.</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SH3</w:t>
            </w:r>
          </w:p>
        </w:tc>
        <w:tc>
          <w:tcPr/>
          <w:p>
            <w:pPr>
              <w:pStyle w:val="TableContents"/>
            </w:pPr>
            <w:r>
              <w:t>Requires implementation of processes to prevent incidents and manage workplace health risks including communicable diseases, with documented controls and monitoring.</w:t>
            </w:r>
          </w:p>
        </w:tc>
        <w:tc>
          <w:tcPr/>
          <w:p>
            <w:pPr>
              <w:pStyle w:val="TableContents"/>
            </w:pPr>
            <w:r>
              <w:t>Full</w:t>
            </w:r>
          </w:p>
        </w:tc>
      </w:tr>
    </w:tbl>
    <w:p>
      <w:pPr>
        <w:pStyle w:val="Default"/>
      </w:pPr>
    </w:p>
    <w:p>
      <w:pPr>
        <w:pStyle w:val="Heading2Numbered"/>
      </w:pPr>
      <w:r>
        <w:t>9.2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