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Process Safety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Process Safety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process safety risks - the risks of unplanned releases of hazardous materials, energy, or substances that could cause multiple fatalities or catastrophic damage. In the owner-led project context, process safety risks arise during construction (e.g., working near existing plant, commissioning of new systems) and must be actively managed.</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process safety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Process Hazard Identification</w:t>
      </w:r>
    </w:p>
    <w:p>
      <w:pPr>
        <w:pStyle w:val="NormalNumberedtext"/>
      </w:pPr>
      <w:r>
        <w:t>This section defines the process hazard identification requirements for all project operations involving hazardous materials above threshold quantities or with significant energy content.</w:t>
      </w:r>
    </w:p>
    <w:p>
      <w:pPr>
        <w:pStyle w:val="NormalNumberedtext"/>
      </w:pPr>
    </w:p>
    <w:p>
      <w:pPr>
        <w:pStyle w:val="Heading2Numbered"/>
        <w:numPr>
          <w:ilvl w:val="1"/>
          <w:numId w:val="1"/>
        </w:numPr>
      </w:pPr>
      <w:r>
        <w:rPr>
          <w:rFonts w:ascii="Arial" w:hAnsi="Arial" w:cs="Arial" w:eastAsia="Arial"/>
        </w:rPr>
        <w:t>Hazard Identification Methodology</w:t>
      </w:r>
    </w:p>
    <w:p>
      <w:pPr>
        <w:pStyle w:val="NormalNumberedtext"/>
      </w:pPr>
      <w:r>
        <w:t>The project applies a structured hazard identification methodology to all process units and operations with potential for hazardous releases.</w:t>
      </w:r>
    </w:p>
    <w:p>
      <w:pPr>
        <w:pStyle w:val="NormalNumberedtext"/>
      </w:pPr>
      <w:r>
        <w:t>The HSESC Manager ensures all process units and operations with potential for hazardous releases are identified and documented as part of the project risk assessment process, consistent with the requirements of IFC PS3 §8. Each process unit is assessed against threshold quantity criteria and energy content criteria to determine the applicable level of hazard analysis.</w:t>
      </w:r>
    </w:p>
    <w:p>
      <w:pPr>
        <w:pStyle w:val="NormalNumberedtext"/>
      </w:pPr>
      <w:r>
        <w:t>The hazard identification methodology and findings are recorded in the project risk documentation and maintained as living records throughout the project lifecycle. Risk-based engineering controls are applied as the primary means of risk reduction, consistent with ICMM Principle 4, with the hierarchy of controls applied to all identified hazards.</w:t>
      </w:r>
    </w:p>
    <w:p>
      <w:pPr>
        <w:pStyle w:val="NormalNumberedtext"/>
      </w:pPr>
      <w:r>
        <w:t>The project applies the following hierarchy when selecting process risk controls:</w:t>
      </w:r>
    </w:p>
    <w:p>
      <w:pPr>
        <w:pStyle w:val="NumberedBulletL1"/>
      </w:pPr>
      <w:r>
        <w:t>Elimination or substitution of the hazardous material or energy source</w:t>
      </w:r>
    </w:p>
    <w:p>
      <w:pPr>
        <w:pStyle w:val="NumberedBulletL1"/>
      </w:pPr>
      <w:r>
        <w:t>Inherently safer design to reduce inventory, pressure, or temperature</w:t>
      </w:r>
    </w:p>
    <w:p>
      <w:pPr>
        <w:pStyle w:val="NumberedBulletL1"/>
      </w:pPr>
      <w:r>
        <w:t>Engineered safeguards including safety instrumented systems, pressure relief devices, and containment</w:t>
      </w:r>
    </w:p>
    <w:p>
      <w:pPr>
        <w:pStyle w:val="NumberedBulletL1"/>
      </w:pPr>
      <w:r>
        <w:t>Administrative controls including operating procedures, inspection programmes, and bypass management</w:t>
      </w:r>
    </w:p>
    <w:p>
      <w:pPr>
        <w:pStyle w:val="NumberedBulletL1"/>
      </w:pPr>
      <w:r>
        <w:t>Personal protective equipment as a supplementary measure only</w:t>
      </w:r>
    </w:p>
    <w:p>
      <w:pPr>
        <w:pStyle w:val="NormalNumberedtext"/>
      </w:pPr>
      <w:r>
        <w:t>Risk assessment activities supporting process hazard identification are governed by the project Risk Management Procedure; refer [INSERT: Project Document Number] for HAZOP as a risk assessment tool and the risk matrix applied to HAZOP findings.</w:t>
      </w:r>
    </w:p>
    <w:p>
      <w:pPr>
        <w:pStyle w:val="NormalNumberedtext"/>
      </w:pPr>
    </w:p>
    <w:p>
      <w:pPr>
        <w:pStyle w:val="Heading2Numbered"/>
        <w:numPr>
          <w:ilvl w:val="1"/>
          <w:numId w:val="1"/>
        </w:numPr>
      </w:pPr>
      <w:r>
        <w:rPr>
          <w:rFonts w:ascii="Arial" w:hAnsi="Arial" w:cs="Arial" w:eastAsia="Arial"/>
        </w:rPr>
        <w:t>HAZOP Requirements</w:t>
      </w:r>
    </w:p>
    <w:p>
      <w:pPr>
        <w:pStyle w:val="NormalNumberedtext"/>
      </w:pPr>
      <w:r>
        <w:t>A process hazard analysis using HAZOP or an equivalent structured method is required for all in-scope process and systems.</w:t>
      </w:r>
    </w:p>
    <w:p>
      <w:pPr>
        <w:pStyle w:val="NormalNumberedtext"/>
      </w:pPr>
      <w:r>
        <w:t>The Project Engineer ensures a HAZOP study or equivalent process hazard analysis is completed for all processes and systems involving hazardous materials above threshold quantities or with significant energy content. The methodology selected must be documented, fit for the complexity of the process, and capable of systematically identifying deviation scenarios and their consequences.</w:t>
      </w:r>
    </w:p>
    <w:p>
      <w:pPr>
        <w:pStyle w:val="NormalNumberedtext"/>
      </w:pPr>
      <w:r>
        <w:t>HAZOP studies are required at the trigger points listed below. For brownfield scope, the Project Engineer confirms whether existing HAZOP studies are current or require revalidation before execution activities commence.</w:t>
      </w:r>
    </w:p>
    <w:p>
      <w:pPr>
        <w:pStyle w:val="NormalNumberedtext"/>
      </w:pPr>
      <w:r>
        <w:t>HAZOP studies are required at the following project lifecycle trigger points:</w:t>
      </w:r>
    </w:p>
    <w:p>
      <w:pPr>
        <w:pStyle w:val="NumberedBulletL1"/>
      </w:pPr>
      <w:r>
        <w:t>New design: HAZOP completed at detailed design stage before construction commences</w:t>
      </w:r>
    </w:p>
    <w:p>
      <w:pPr>
        <w:pStyle w:val="NumberedBulletL1"/>
      </w:pPr>
      <w:r>
        <w:t>Modifications: HAZOP or equivalent triggered through the Management of Change process; refer [INSERT: Project Document Number]</w:t>
      </w:r>
    </w:p>
    <w:p>
      <w:pPr>
        <w:pStyle w:val="NumberedBulletL1"/>
      </w:pPr>
      <w:r>
        <w:rPr>
          <w:color w:val="C55A11"/>
        </w:rPr>
        <w:t>Lifecycle milestone: HAZOP revalidation completed at pre-commissioning stage and at intervals not exceeding ten years during operations</w:t>
      </w:r>
    </w:p>
    <w:p>
      <w:pPr>
        <w:pStyle w:val="NormalNumberedtext"/>
      </w:pPr>
      <w:r>
        <w:rPr>
          <w:b/>
          <w:bCs/>
          <w:color w:val="0059D1"/>
        </w:rPr>
        <w:t>[INSERT: additional_hazop_triggers]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1]</w:t>
            </w:r>
            <w:r>
              <w:rPr>
                <w:rFonts w:ascii="Arial" w:hAnsi="Arial" w:cs="Arial" w:eastAsia="Arial"/>
                <w:b/>
                <w:bCs/>
                <w:color w:val="C55A11"/>
                <w:sz w:val="16"/>
                <w:szCs w:val="16"/>
              </w:rPr>
              <w:t xml:space="preserve"> Define which systems on this project require HAZOP analysis, and at what project stage each HAZOP must be completed. For brownfield projects, confirm whether existing HAZOP studies are current or require revalidation.</w:t>
            </w:r>
          </w:p>
        </w:tc>
      </w:tr>
    </w:tbl>
    <w:p>
      <w:pPr>
        <w:pStyle w:val="NormalNumberedtext"/>
      </w:pPr>
    </w:p>
    <w:p>
      <w:pPr>
        <w:pStyle w:val="NormalNumberedtext"/>
      </w:pPr>
      <w:r>
        <w:t>Table: Project HAZOP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Process Unit / System</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HAZOP 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Required Completion Stage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Lead Discipline</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Status</w:t>
            </w:r>
          </w:p>
        </w:tc>
      </w:tr>
      <w:tr>
        <w:tc>
          <w:tcPr>
            <w:tcW w:type="dxa" w:w="1805"/>
          </w:tcPr>
          <w:p>
            <w:pPr>
              <w:pStyle w:val="TableContents"/>
              <w:spacing w:before="0" w:after="0" w:line="240" w:lineRule="atLeast"/>
            </w:pPr>
            <w:r>
              <w:rPr>
                <w:rFonts w:ascii="Arial" w:hAnsi="Arial" w:cs="Arial" w:eastAsia="Arial"/>
                <w:b/>
                <w:bCs/>
                <w:color w:val="0059D1"/>
                <w:sz w:val="16"/>
                <w:szCs w:val="16"/>
              </w:rPr>
              <w:t>[INSERT: process unit or system name]</w:t>
            </w:r>
          </w:p>
        </w:tc>
        <w:tc>
          <w:tcPr>
            <w:tcW w:type="dxa" w:w="1805"/>
          </w:tcPr>
          <w:p>
            <w:pPr>
              <w:pStyle w:val="TableContents"/>
              <w:spacing w:before="0" w:after="0" w:line="240" w:lineRule="atLeast"/>
            </w:pPr>
            <w:r>
              <w:rPr>
                <w:rFonts w:ascii="Arial" w:hAnsi="Arial" w:cs="Arial" w:eastAsia="Arial"/>
                <w:b/>
                <w:bCs/>
                <w:color w:val="0059D1"/>
                <w:sz w:val="16"/>
                <w:szCs w:val="16"/>
              </w:rPr>
              <w:t>[INSERT: HAZOP / What-If / LOPA]</w:t>
            </w:r>
          </w:p>
        </w:tc>
        <w:tc>
          <w:tcPr>
            <w:tcW w:type="dxa" w:w="1805"/>
          </w:tcPr>
          <w:p>
            <w:pPr>
              <w:pStyle w:val="TableContents"/>
              <w:spacing w:before="0" w:after="0" w:line="240" w:lineRule="atLeast"/>
            </w:pPr>
            <w:r>
              <w:rPr>
                <w:rFonts w:ascii="Arial" w:hAnsi="Arial" w:cs="Arial" w:eastAsia="Arial"/>
                <w:b/>
                <w:bCs/>
                <w:color w:val="0059D1"/>
                <w:sz w:val="16"/>
                <w:szCs w:val="16"/>
              </w:rPr>
              <w:t>[INSERT: e.g. detailed design completion]</w:t>
            </w:r>
          </w:p>
        </w:tc>
        <w:tc>
          <w:tcPr>
            <w:tcW w:type="dxa" w:w="1805"/>
          </w:tcPr>
          <w:p>
            <w:pPr>
              <w:pStyle w:val="TableContents"/>
              <w:spacing w:before="0" w:after="0" w:line="240" w:lineRule="atLeast"/>
            </w:pPr>
            <w:r>
              <w:rPr>
                <w:rFonts w:ascii="Arial" w:hAnsi="Arial" w:cs="Arial" w:eastAsia="Arial"/>
                <w:b/>
                <w:bCs/>
                <w:color w:val="0059D1"/>
                <w:sz w:val="16"/>
                <w:szCs w:val="16"/>
              </w:rPr>
              <w:t>[INSERT: discipline lead]</w:t>
            </w:r>
          </w:p>
        </w:tc>
        <w:tc>
          <w:tcPr>
            <w:tcW w:type="dxa" w:w="1806"/>
          </w:tcPr>
          <w:p>
            <w:pPr>
              <w:pStyle w:val="TableContents"/>
              <w:spacing w:before="0" w:after="0" w:line="240" w:lineRule="atLeast"/>
            </w:pPr>
            <w:r>
              <w:rPr>
                <w:rFonts w:ascii="Arial" w:hAnsi="Arial" w:cs="Arial" w:eastAsia="Arial"/>
                <w:b/>
                <w:bCs/>
                <w:color w:val="0059D1"/>
                <w:sz w:val="16"/>
                <w:szCs w:val="16"/>
              </w:rPr>
              <w:t>[INSERT: planned / complete / overdue]</w:t>
            </w:r>
          </w:p>
        </w:tc>
      </w:tr>
      <w:tr>
        <w:tc>
          <w:tcPr>
            <w:tcW w:type="dxa" w:w="1805"/>
          </w:tcPr>
          <w:p>
            <w:pPr>
              <w:pStyle w:val="TableContents"/>
              <w:spacing w:before="0" w:after="0" w:line="240" w:lineRule="atLeast"/>
            </w:pPr>
            <w:r>
              <w:rPr>
                <w:rFonts w:ascii="Arial" w:hAnsi="Arial" w:cs="Arial" w:eastAsia="Arial"/>
                <w:b/>
                <w:bCs/>
                <w:color w:val="0059D1"/>
                <w:sz w:val="16"/>
                <w:szCs w:val="16"/>
              </w:rPr>
              <w:t>[INSERT: process unit or system name]</w:t>
            </w:r>
          </w:p>
        </w:tc>
        <w:tc>
          <w:tcPr>
            <w:tcW w:type="dxa" w:w="1805"/>
          </w:tcPr>
          <w:p>
            <w:pPr>
              <w:pStyle w:val="TableContents"/>
              <w:spacing w:before="0" w:after="0" w:line="240" w:lineRule="atLeast"/>
            </w:pPr>
            <w:r>
              <w:rPr>
                <w:rFonts w:ascii="Arial" w:hAnsi="Arial" w:cs="Arial" w:eastAsia="Arial"/>
                <w:b/>
                <w:bCs/>
                <w:color w:val="0059D1"/>
                <w:sz w:val="16"/>
                <w:szCs w:val="16"/>
              </w:rPr>
              <w:t>[INSERT: HAZOP / What-If / LOPA]</w:t>
            </w:r>
          </w:p>
        </w:tc>
        <w:tc>
          <w:tcPr>
            <w:tcW w:type="dxa" w:w="1805"/>
          </w:tcPr>
          <w:p>
            <w:pPr>
              <w:pStyle w:val="TableContents"/>
              <w:spacing w:before="0" w:after="0" w:line="240" w:lineRule="atLeast"/>
            </w:pPr>
            <w:r>
              <w:rPr>
                <w:rFonts w:ascii="Arial" w:hAnsi="Arial" w:cs="Arial" w:eastAsia="Arial"/>
                <w:b/>
                <w:bCs/>
                <w:color w:val="0059D1"/>
                <w:sz w:val="16"/>
                <w:szCs w:val="16"/>
              </w:rPr>
              <w:t>[INSERT: e.g. pre-commissioning]</w:t>
            </w:r>
          </w:p>
        </w:tc>
        <w:tc>
          <w:tcPr>
            <w:tcW w:type="dxa" w:w="1805"/>
          </w:tcPr>
          <w:p>
            <w:pPr>
              <w:pStyle w:val="TableContents"/>
              <w:spacing w:before="0" w:after="0" w:line="240" w:lineRule="atLeast"/>
            </w:pPr>
            <w:r>
              <w:rPr>
                <w:rFonts w:ascii="Arial" w:hAnsi="Arial" w:cs="Arial" w:eastAsia="Arial"/>
                <w:b/>
                <w:bCs/>
                <w:color w:val="0059D1"/>
                <w:sz w:val="16"/>
                <w:szCs w:val="16"/>
              </w:rPr>
              <w:t>[INSERT: discipline lead]</w:t>
            </w:r>
          </w:p>
        </w:tc>
        <w:tc>
          <w:tcPr>
            <w:tcW w:type="dxa" w:w="1806"/>
          </w:tcPr>
          <w:p>
            <w:pPr>
              <w:pStyle w:val="TableContents"/>
              <w:spacing w:before="0" w:after="0" w:line="240" w:lineRule="atLeast"/>
            </w:pPr>
            <w:r>
              <w:rPr>
                <w:rFonts w:ascii="Arial" w:hAnsi="Arial" w:cs="Arial" w:eastAsia="Arial"/>
                <w:b/>
                <w:bCs/>
                <w:color w:val="0059D1"/>
                <w:sz w:val="16"/>
                <w:szCs w:val="16"/>
              </w:rPr>
              <w:t>[INSERT: planned / complete / overdue]</w:t>
            </w:r>
          </w:p>
        </w:tc>
      </w:tr>
    </w:tbl>
    <w:p>
      <w:pPr>
        <w:pStyle w:val="NormalNumberedtext"/>
      </w:pPr>
    </w:p>
    <w:p>
      <w:pPr>
        <w:pStyle w:val="NormalNumberedtext"/>
      </w:pPr>
      <w:r>
        <w:t>HAZOP action items are recorded in the project risk register and tracked to close-out before the relevant process is brought into service. Outstanding HAZOP actions are reported to the HSESC Manager at each project governance review.</w:t>
      </w:r>
    </w:p>
    <w:p>
      <w:pPr>
        <w:pStyle w:val="NormalNumberedtext"/>
      </w:pPr>
    </w:p>
    <w:p>
      <w:pPr>
        <w:pStyle w:val="Heading1Numbered"/>
        <w:numPr>
          <w:ilvl w:val="0"/>
          <w:numId w:val="1"/>
        </w:numPr>
      </w:pPr>
      <w:r>
        <w:rPr>
          <w:rFonts w:ascii="Arial" w:hAnsi="Arial" w:cs="Arial" w:eastAsia="Arial"/>
        </w:rPr>
        <w:t>Critical Safety Systems</w:t>
      </w:r>
    </w:p>
    <w:p>
      <w:pPr>
        <w:pStyle w:val="NormalNumberedtext"/>
      </w:pPr>
      <w:r>
        <w:t>This section defines the identification, classification, and verification requirements for all critical safety systems and controls on this project.</w:t>
      </w:r>
    </w:p>
    <w:p>
      <w:pPr>
        <w:pStyle w:val="NormalNumberedtext"/>
      </w:pPr>
    </w:p>
    <w:p>
      <w:pPr>
        <w:pStyle w:val="Heading2Numbered"/>
        <w:numPr>
          <w:ilvl w:val="1"/>
          <w:numId w:val="1"/>
        </w:numPr>
      </w:pPr>
      <w:r>
        <w:rPr>
          <w:rFonts w:ascii="Arial" w:hAnsi="Arial" w:cs="Arial" w:eastAsia="Arial"/>
        </w:rPr>
        <w:t>Safety-Critical Systems Identification</w:t>
      </w:r>
    </w:p>
    <w:p>
      <w:pPr>
        <w:pStyle w:val="NormalNumberedtext"/>
      </w:pPr>
      <w:r>
        <w:t>All critical safety systems and controls are identified, documented, and verified before any process is brought into service.</w:t>
      </w:r>
    </w:p>
    <w:p>
      <w:pPr>
        <w:pStyle w:val="NormalNumberedtext"/>
      </w:pPr>
      <w:r>
        <w:t>The Project Engineer identifies all critical safety systems and controls, including Safety Instrumented Systems, pressure relief devices, rupture discs, and process containment systems. Each identified system is recorded in the Safety-Critical Systems Register before commissioning activities commence, consistent with the Rio Tinto Process Safety Standard.</w:t>
      </w:r>
    </w:p>
    <w:p>
      <w:pPr>
        <w:pStyle w:val="NormalNumberedtext"/>
      </w:pPr>
      <w:r>
        <w:t>All pressure relief devices, rupture discs, and containment systems included in the Safety-Critical Systems Register are also included in the project mechanical integrity and inspection programme, consistent with the RT Control of Energy Standard. The inspection programme for these items is defined in Section 4 of this procedure.</w:t>
      </w:r>
    </w:p>
    <w:p>
      <w:pPr>
        <w:pStyle w:val="NormalNumberedtext"/>
      </w:pPr>
      <w:r>
        <w:t>Safety system commissioning verification activities are governed by the project Commissioning Procedure; refer [INSERT: Project Document Number] for requirements relating to the commissioning and validation of safety systems.</w:t>
      </w:r>
    </w:p>
    <w:p>
      <w:pPr>
        <w:pStyle w:val="NormalNumberedtext"/>
      </w:pPr>
    </w:p>
    <w:p>
      <w:pPr>
        <w:pStyle w:val="Heading2Numbered"/>
        <w:numPr>
          <w:ilvl w:val="1"/>
          <w:numId w:val="1"/>
        </w:numPr>
      </w:pPr>
      <w:r>
        <w:rPr>
          <w:rFonts w:ascii="Arial" w:hAnsi="Arial" w:cs="Arial" w:eastAsia="Arial"/>
        </w:rPr>
        <w:t>SIL Classification and Safety-Critical Systems Register</w:t>
      </w:r>
    </w:p>
    <w:p>
      <w:pPr>
        <w:pStyle w:val="NormalNumberedtext"/>
      </w:pPr>
      <w:r>
        <w:t>Each critical safety system is assigned a Safety Integrity Level or equivalent risk-based classification before commissioning begins.</w:t>
      </w:r>
    </w:p>
    <w:p>
      <w:pPr>
        <w:pStyle w:val="NormalNumberedtext"/>
      </w:pPr>
      <w:r>
        <w:t>The Project Engineer assigns a Safety Integrity Level or equivalent risk-based classification to each critical safety system and documents the basis for that classification. The classification is determined using a Layer of Protection Analysis or equivalent methodology applied to the HAZOP deviation scenarios for which the system is a safeguard.</w:t>
      </w:r>
    </w:p>
    <w:p>
      <w:pPr>
        <w:pStyle w:val="NormalNumberedtext"/>
      </w:pPr>
      <w:r>
        <w:t>The Safety-Critical Systems Register is a pre-commissioning deliverable. No process is brought into service until the register is complete, reviewed by the HSESC Manager, and approved by the Project Director. Testing and maintenance requirements for Safety Instrumented Systems following commissioning are governed by the Functional Safety Procedure; refer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2]</w:t>
            </w:r>
            <w:r>
              <w:rPr>
                <w:rFonts w:ascii="Arial" w:hAnsi="Arial" w:cs="Arial" w:eastAsia="Arial"/>
                <w:b/>
                <w:bCs/>
                <w:color w:val="C55A11"/>
                <w:sz w:val="16"/>
                <w:szCs w:val="16"/>
              </w:rPr>
              <w:t xml:space="preserve"> Develop the Safety-Critical Systems Register for this project: list each system, its classification (SIL or equivalent), the basis for the classification, and the proof test interval. This is a pre-commissioning deliverable.</w:t>
            </w:r>
          </w:p>
        </w:tc>
      </w:tr>
    </w:tbl>
    <w:p>
      <w:pPr>
        <w:pStyle w:val="NormalNumberedtext"/>
      </w:pPr>
    </w:p>
    <w:p>
      <w:pPr>
        <w:pStyle w:val="NormalNumberedtext"/>
      </w:pPr>
      <w:r>
        <w:t>Table: Safety-Critical Systems Register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System / Device Tag</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System Type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SIL or Equivalent Classification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Basis for Classification</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Proof Test Interval</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Pre-Commissioning Verification Status</w:t>
            </w:r>
          </w:p>
        </w:tc>
      </w:tr>
      <w:tr>
        <w:tc>
          <w:tcPr>
            <w:tcW w:type="dxa" w:w="1504"/>
          </w:tcPr>
          <w:p>
            <w:pPr>
              <w:pStyle w:val="TableContents"/>
              <w:spacing w:before="0" w:after="0" w:line="240" w:lineRule="atLeast"/>
            </w:pPr>
            <w:r>
              <w:rPr>
                <w:rFonts w:ascii="Arial" w:hAnsi="Arial" w:cs="Arial" w:eastAsia="Arial"/>
                <w:b/>
                <w:bCs/>
                <w:color w:val="0059D1"/>
                <w:sz w:val="16"/>
                <w:szCs w:val="16"/>
              </w:rPr>
              <w:t>[INSERT: tag number]</w:t>
            </w:r>
          </w:p>
        </w:tc>
        <w:tc>
          <w:tcPr>
            <w:tcW w:type="dxa" w:w="1504"/>
          </w:tcPr>
          <w:p>
            <w:pPr>
              <w:pStyle w:val="TableContents"/>
              <w:spacing w:before="0" w:after="0" w:line="240" w:lineRule="atLeast"/>
            </w:pPr>
            <w:r>
              <w:rPr>
                <w:rFonts w:ascii="Arial" w:hAnsi="Arial" w:cs="Arial" w:eastAsia="Arial"/>
                <w:b/>
                <w:bCs/>
                <w:color w:val="0059D1"/>
                <w:sz w:val="16"/>
                <w:szCs w:val="16"/>
              </w:rPr>
              <w:t>[INSERT: e.g. SIS / PRD / containment]</w:t>
            </w:r>
          </w:p>
        </w:tc>
        <w:tc>
          <w:tcPr>
            <w:tcW w:type="dxa" w:w="1504"/>
          </w:tcPr>
          <w:p>
            <w:pPr>
              <w:pStyle w:val="TableContents"/>
              <w:spacing w:before="0" w:after="0" w:line="240" w:lineRule="atLeast"/>
            </w:pPr>
            <w:r>
              <w:rPr>
                <w:rFonts w:ascii="Arial" w:hAnsi="Arial" w:cs="Arial" w:eastAsia="Arial"/>
                <w:b/>
                <w:bCs/>
                <w:color w:val="0059D1"/>
                <w:sz w:val="16"/>
                <w:szCs w:val="16"/>
              </w:rPr>
              <w:t>[INSERT: e.g. SIL 2 / Risk-based Category A]</w:t>
            </w:r>
          </w:p>
        </w:tc>
        <w:tc>
          <w:tcPr>
            <w:tcW w:type="dxa" w:w="1504"/>
          </w:tcPr>
          <w:p>
            <w:pPr>
              <w:pStyle w:val="TableContents"/>
              <w:spacing w:before="0" w:after="0" w:line="240" w:lineRule="atLeast"/>
            </w:pPr>
            <w:r>
              <w:rPr>
                <w:rFonts w:ascii="Arial" w:hAnsi="Arial" w:cs="Arial" w:eastAsia="Arial"/>
                <w:b/>
                <w:bCs/>
                <w:color w:val="0059D1"/>
                <w:sz w:val="16"/>
                <w:szCs w:val="16"/>
              </w:rPr>
              <w:t>[INSERT: e.g. LOPA scenario reference]</w:t>
            </w:r>
          </w:p>
        </w:tc>
        <w:tc>
          <w:tcPr>
            <w:tcW w:type="dxa" w:w="1504"/>
          </w:tcPr>
          <w:p>
            <w:pPr>
              <w:pStyle w:val="TableContents"/>
              <w:spacing w:before="0" w:after="0" w:line="240" w:lineRule="atLeast"/>
            </w:pPr>
            <w:r>
              <w:rPr>
                <w:rFonts w:ascii="Arial" w:hAnsi="Arial" w:cs="Arial" w:eastAsia="Arial"/>
                <w:b/>
                <w:bCs/>
                <w:color w:val="0059D1"/>
                <w:sz w:val="16"/>
                <w:szCs w:val="16"/>
              </w:rPr>
              <w:t>[INSERT: e.g. 12 months]</w:t>
            </w:r>
          </w:p>
        </w:tc>
        <w:tc>
          <w:tcPr>
            <w:tcW w:type="dxa" w:w="1506"/>
          </w:tcPr>
          <w:p>
            <w:pPr>
              <w:pStyle w:val="TableContents"/>
              <w:spacing w:before="0" w:after="0" w:line="240" w:lineRule="atLeast"/>
            </w:pPr>
            <w:r>
              <w:rPr>
                <w:rFonts w:ascii="Arial" w:hAnsi="Arial" w:cs="Arial" w:eastAsia="Arial"/>
                <w:b/>
                <w:bCs/>
                <w:color w:val="0059D1"/>
                <w:sz w:val="16"/>
                <w:szCs w:val="16"/>
              </w:rPr>
              <w:t>[INSERT: pending / verified]</w:t>
            </w:r>
          </w:p>
        </w:tc>
      </w:tr>
      <w:tr>
        <w:tc>
          <w:tcPr>
            <w:tcW w:type="dxa" w:w="1504"/>
          </w:tcPr>
          <w:p>
            <w:pPr>
              <w:pStyle w:val="TableContents"/>
              <w:spacing w:before="0" w:after="0" w:line="240" w:lineRule="atLeast"/>
            </w:pPr>
            <w:r>
              <w:rPr>
                <w:rFonts w:ascii="Arial" w:hAnsi="Arial" w:cs="Arial" w:eastAsia="Arial"/>
                <w:b/>
                <w:bCs/>
                <w:color w:val="0059D1"/>
                <w:sz w:val="16"/>
                <w:szCs w:val="16"/>
              </w:rPr>
              <w:t>[INSERT: tag number]</w:t>
            </w:r>
          </w:p>
        </w:tc>
        <w:tc>
          <w:tcPr>
            <w:tcW w:type="dxa" w:w="1504"/>
          </w:tcPr>
          <w:p>
            <w:pPr>
              <w:pStyle w:val="TableContents"/>
              <w:spacing w:before="0" w:after="0" w:line="240" w:lineRule="atLeast"/>
            </w:pPr>
            <w:r>
              <w:rPr>
                <w:rFonts w:ascii="Arial" w:hAnsi="Arial" w:cs="Arial" w:eastAsia="Arial"/>
                <w:b/>
                <w:bCs/>
                <w:color w:val="0059D1"/>
                <w:sz w:val="16"/>
                <w:szCs w:val="16"/>
              </w:rPr>
              <w:t>[INSERT: e.g. SIS / PRD / containment]</w:t>
            </w:r>
          </w:p>
        </w:tc>
        <w:tc>
          <w:tcPr>
            <w:tcW w:type="dxa" w:w="1504"/>
          </w:tcPr>
          <w:p>
            <w:pPr>
              <w:pStyle w:val="TableContents"/>
              <w:spacing w:before="0" w:after="0" w:line="240" w:lineRule="atLeast"/>
            </w:pPr>
            <w:r>
              <w:rPr>
                <w:rFonts w:ascii="Arial" w:hAnsi="Arial" w:cs="Arial" w:eastAsia="Arial"/>
                <w:b/>
                <w:bCs/>
                <w:color w:val="0059D1"/>
                <w:sz w:val="16"/>
                <w:szCs w:val="16"/>
              </w:rPr>
              <w:t>[INSERT: e.g. SIL 1 / Risk-based Category B]</w:t>
            </w:r>
          </w:p>
        </w:tc>
        <w:tc>
          <w:tcPr>
            <w:tcW w:type="dxa" w:w="1504"/>
          </w:tcPr>
          <w:p>
            <w:pPr>
              <w:pStyle w:val="TableContents"/>
              <w:spacing w:before="0" w:after="0" w:line="240" w:lineRule="atLeast"/>
            </w:pPr>
            <w:r>
              <w:rPr>
                <w:rFonts w:ascii="Arial" w:hAnsi="Arial" w:cs="Arial" w:eastAsia="Arial"/>
                <w:b/>
                <w:bCs/>
                <w:color w:val="0059D1"/>
                <w:sz w:val="16"/>
                <w:szCs w:val="16"/>
              </w:rPr>
              <w:t>[INSERT: e.g. HAZOP action ref]</w:t>
            </w:r>
          </w:p>
        </w:tc>
        <w:tc>
          <w:tcPr>
            <w:tcW w:type="dxa" w:w="1504"/>
          </w:tcPr>
          <w:p>
            <w:pPr>
              <w:pStyle w:val="TableContents"/>
              <w:spacing w:before="0" w:after="0" w:line="240" w:lineRule="atLeast"/>
            </w:pPr>
            <w:r>
              <w:rPr>
                <w:rFonts w:ascii="Arial" w:hAnsi="Arial" w:cs="Arial" w:eastAsia="Arial"/>
                <w:b/>
                <w:bCs/>
                <w:color w:val="0059D1"/>
                <w:sz w:val="16"/>
                <w:szCs w:val="16"/>
              </w:rPr>
              <w:t>[INSERT: e.g. 24 months]</w:t>
            </w:r>
          </w:p>
        </w:tc>
        <w:tc>
          <w:tcPr>
            <w:tcW w:type="dxa" w:w="1506"/>
          </w:tcPr>
          <w:p>
            <w:pPr>
              <w:pStyle w:val="TableContents"/>
              <w:spacing w:before="0" w:after="0" w:line="240" w:lineRule="atLeast"/>
            </w:pPr>
            <w:r>
              <w:rPr>
                <w:rFonts w:ascii="Arial" w:hAnsi="Arial" w:cs="Arial" w:eastAsia="Arial"/>
                <w:b/>
                <w:bCs/>
                <w:color w:val="0059D1"/>
                <w:sz w:val="16"/>
                <w:szCs w:val="16"/>
              </w:rPr>
              <w:t>[INSERT: pending / verified]</w:t>
            </w:r>
          </w:p>
        </w:tc>
      </w:tr>
    </w:tbl>
    <w:p>
      <w:pPr>
        <w:pStyle w:val="NormalNumberedtext"/>
      </w:pPr>
    </w:p>
    <w:p>
      <w:pPr>
        <w:pStyle w:val="NormalNumberedtext"/>
      </w:pPr>
      <w:r>
        <w:t>The Project Engineer validates and verifies that each critical safety system is designed, installed, and functioning as intended before the relevant process is brought into service. Validation and verification records are retained in the project document management system and are available for audit at any time.</w:t>
      </w:r>
    </w:p>
    <w:p>
      <w:pPr>
        <w:pStyle w:val="NormalNumberedtext"/>
      </w:pPr>
    </w:p>
    <w:p>
      <w:pPr>
        <w:pStyle w:val="Heading1Numbered"/>
        <w:numPr>
          <w:ilvl w:val="0"/>
          <w:numId w:val="1"/>
        </w:numPr>
      </w:pPr>
      <w:r>
        <w:rPr>
          <w:rFonts w:ascii="Arial" w:hAnsi="Arial" w:cs="Arial" w:eastAsia="Arial"/>
        </w:rPr>
        <w:t>Safeguard Bypass Management</w:t>
      </w:r>
    </w:p>
    <w:p>
      <w:pPr>
        <w:pStyle w:val="NormalNumberedtext"/>
      </w:pPr>
      <w:r>
        <w:t>This section defines the formal authorisation process for defeating or bypassing any process safety device or safeguard on this project.</w:t>
      </w:r>
    </w:p>
    <w:p>
      <w:pPr>
        <w:pStyle w:val="NormalNumberedtext"/>
      </w:pPr>
    </w:p>
    <w:p>
      <w:pPr>
        <w:pStyle w:val="Heading2Numbered"/>
        <w:numPr>
          <w:ilvl w:val="1"/>
          <w:numId w:val="1"/>
        </w:numPr>
      </w:pPr>
      <w:r>
        <w:rPr>
          <w:rFonts w:ascii="Arial" w:hAnsi="Arial" w:cs="Arial" w:eastAsia="Arial"/>
        </w:rPr>
        <w:t>Bypass Authorisation Process</w:t>
      </w:r>
    </w:p>
    <w:p>
      <w:pPr>
        <w:pStyle w:val="NormalNumberedtext"/>
      </w:pPr>
      <w:r>
        <w:t>A bypass of any process safety device requires a documented risk assessment, compensating controls, and approval at the appropriate authority level.</w:t>
      </w:r>
    </w:p>
    <w:p>
      <w:pPr>
        <w:pStyle w:val="NormalNumberedtext"/>
      </w:pPr>
      <w:r>
        <w:t>The supervising engineer ensures that no process safety device is defeated or bypassed without completing the bypass authorisation process defined in this section. Any bypass of a safety-critical control is also managed through the project Management of Change process and communicated to all affected personnel before the bypass is initiated; refer [INSERT: Project Document Number].</w:t>
      </w:r>
    </w:p>
    <w:p>
      <w:pPr>
        <w:pStyle w:val="NormalNumberedtext"/>
      </w:pPr>
      <w:r>
        <w:t>The bypass authorisation process requires the following steps to be completed before any safety device is defeated:</w:t>
      </w:r>
    </w:p>
    <w:p>
      <w:pPr>
        <w:pStyle w:val="NumberedBulletL1"/>
      </w:pPr>
      <w:r>
        <w:t>A risk assessment documenting the specific hazard created by the bypass, the likelihood and consequence of a process safety event during the bypass period, and the residual risk level</w:t>
      </w:r>
    </w:p>
    <w:p>
      <w:pPr>
        <w:pStyle w:val="NumberedBulletL1"/>
      </w:pPr>
      <w:r>
        <w:t>Documented compensating controls sufficient to reduce residual risk to an acceptable level for the duration of the bypass</w:t>
      </w:r>
    </w:p>
    <w:p>
      <w:pPr>
        <w:pStyle w:val="NumberedBulletL1"/>
      </w:pPr>
      <w:r>
        <w:rPr>
          <w:color w:val="C55A11"/>
        </w:rPr>
        <w:t>A maximum bypass duration of 72 hours for SIL-classified systems, unless a formal extension is approved by the HSESC Manager with documented justification</w:t>
      </w:r>
    </w:p>
    <w:p>
      <w:pPr>
        <w:pStyle w:val="NumberedBulletL1"/>
      </w:pPr>
      <w:r>
        <w:t>Approval at the authority level defined in the project bypass authority matrix before the bypass commences</w:t>
      </w:r>
    </w:p>
    <w:p>
      <w:pPr>
        <w:pStyle w:val="NumberedBulletL1"/>
      </w:pPr>
      <w:r>
        <w:t>Active tracking of all bypass states in the Bypass Register, with open bypasses reported at each daily operations review</w:t>
      </w:r>
    </w:p>
    <w:p>
      <w:pPr>
        <w:pStyle w:val="NormalNumberedtext"/>
      </w:pPr>
      <w:r>
        <w:t>Work on process systems requiring energy isolation during bypass activities is controlled via the site permit to work system; raise a permit via the site PTW system before commencing work, refer [INSERT: Project Document Number]. Energy isolation requirements for process systems are governed by refer [INSERT: Project Document Number].</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3]</w:t>
            </w:r>
            <w:r>
              <w:rPr>
                <w:rFonts w:ascii="Arial" w:hAnsi="Arial" w:cs="Arial" w:eastAsia="Arial"/>
                <w:b/>
                <w:bCs/>
                <w:color w:val="C55A11"/>
                <w:sz w:val="16"/>
                <w:szCs w:val="16"/>
              </w:rPr>
              <w:t xml:space="preserve"> Define the bypass authority matrix for this project: which safety devices can be bypassed with supervisor approval; which require HSESC Manager approval; which require project director approval. Insert as a table.</w:t>
            </w:r>
          </w:p>
        </w:tc>
      </w:tr>
    </w:tbl>
    <w:p>
      <w:pPr>
        <w:pStyle w:val="NormalNumberedtext"/>
      </w:pPr>
    </w:p>
    <w:p>
      <w:pPr>
        <w:pStyle w:val="NormalNumberedtext"/>
      </w:pPr>
      <w:r>
        <w:t>Table: Bypass Authority Matrix</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Safety Device Category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Examples</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Maximum Bypass Duration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Minimum Approving Authority</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Compensating Control Requirement</w:t>
            </w:r>
          </w:p>
        </w:tc>
      </w:tr>
      <w:tr>
        <w:tc>
          <w:tcPr>
            <w:tcW w:type="dxa" w:w="1805"/>
          </w:tcPr>
          <w:p>
            <w:pPr>
              <w:pStyle w:val="TableContents"/>
              <w:spacing w:before="0" w:after="0" w:line="240" w:lineRule="atLeast"/>
            </w:pPr>
            <w:r>
              <w:rPr>
                <w:rFonts w:ascii="Arial" w:hAnsi="Arial" w:cs="Arial" w:eastAsia="Arial"/>
                <w:sz w:val="16"/>
                <w:szCs w:val="16"/>
              </w:rPr>
              <w:t>Non-SIL-classified process alarm</w:t>
            </w:r>
          </w:p>
        </w:tc>
        <w:tc>
          <w:tcPr>
            <w:tcW w:type="dxa" w:w="1805"/>
          </w:tcPr>
          <w:p>
            <w:pPr>
              <w:pStyle w:val="TableContents"/>
              <w:spacing w:before="0" w:after="0" w:line="240" w:lineRule="atLeast"/>
            </w:pPr>
            <w:r>
              <w:rPr>
                <w:rFonts w:ascii="Arial" w:hAnsi="Arial" w:cs="Arial" w:eastAsia="Arial"/>
                <w:b/>
                <w:bCs/>
                <w:color w:val="0059D1"/>
                <w:sz w:val="16"/>
                <w:szCs w:val="16"/>
              </w:rPr>
              <w:t>[INSERT: e.g. high-level alarm on non-critical vessel]</w:t>
            </w:r>
          </w:p>
        </w:tc>
        <w:tc>
          <w:tcPr>
            <w:tcW w:type="dxa" w:w="1805"/>
          </w:tcPr>
          <w:p>
            <w:pPr>
              <w:pStyle w:val="TableContents"/>
              <w:spacing w:before="0" w:after="0" w:line="240" w:lineRule="atLeast"/>
            </w:pPr>
            <w:r>
              <w:rPr>
                <w:rFonts w:ascii="Arial" w:hAnsi="Arial" w:cs="Arial" w:eastAsia="Arial"/>
                <w:b/>
                <w:bCs/>
                <w:color w:val="0059D1"/>
                <w:sz w:val="16"/>
                <w:szCs w:val="16"/>
              </w:rPr>
              <w:t>[INSERT: e.g. 24 hours]</w:t>
            </w:r>
          </w:p>
        </w:tc>
        <w:tc>
          <w:tcPr>
            <w:tcW w:type="dxa" w:w="1805"/>
          </w:tcPr>
          <w:p>
            <w:pPr>
              <w:pStyle w:val="TableContents"/>
              <w:spacing w:before="0" w:after="0" w:line="240" w:lineRule="atLeast"/>
            </w:pPr>
            <w:r>
              <w:rPr>
                <w:rFonts w:ascii="Arial" w:hAnsi="Arial" w:cs="Arial" w:eastAsia="Arial"/>
                <w:sz w:val="16"/>
                <w:szCs w:val="16"/>
              </w:rPr>
              <w:t>Supervisor</w:t>
            </w:r>
          </w:p>
        </w:tc>
        <w:tc>
          <w:tcPr>
            <w:tcW w:type="dxa" w:w="1806"/>
          </w:tcPr>
          <w:p>
            <w:pPr>
              <w:pStyle w:val="TableContents"/>
              <w:spacing w:before="0" w:after="0" w:line="240" w:lineRule="atLeast"/>
            </w:pPr>
            <w:r>
              <w:rPr>
                <w:rFonts w:ascii="Arial" w:hAnsi="Arial" w:cs="Arial" w:eastAsia="Arial"/>
                <w:b/>
                <w:bCs/>
                <w:color w:val="0059D1"/>
                <w:sz w:val="16"/>
                <w:szCs w:val="16"/>
              </w:rPr>
              <w:t>[INSERT: e.g. increased manual monitoring frequency]</w:t>
            </w:r>
          </w:p>
        </w:tc>
      </w:tr>
      <w:tr>
        <w:tc>
          <w:tcPr>
            <w:tcW w:type="dxa" w:w="1805"/>
          </w:tcPr>
          <w:p>
            <w:pPr>
              <w:pStyle w:val="TableContents"/>
              <w:spacing w:before="0" w:after="0" w:line="240" w:lineRule="atLeast"/>
            </w:pPr>
            <w:r>
              <w:rPr>
                <w:rFonts w:ascii="Arial" w:hAnsi="Arial" w:cs="Arial" w:eastAsia="Arial"/>
                <w:sz w:val="16"/>
                <w:szCs w:val="16"/>
              </w:rPr>
              <w:t>SIL 1 Safety Instrumented Function</w:t>
            </w:r>
          </w:p>
        </w:tc>
        <w:tc>
          <w:tcPr>
            <w:tcW w:type="dxa" w:w="1805"/>
          </w:tcPr>
          <w:p>
            <w:pPr>
              <w:pStyle w:val="TableContents"/>
              <w:spacing w:before="0" w:after="0" w:line="240" w:lineRule="atLeast"/>
            </w:pPr>
            <w:r>
              <w:rPr>
                <w:rFonts w:ascii="Arial" w:hAnsi="Arial" w:cs="Arial" w:eastAsia="Arial"/>
                <w:b/>
                <w:bCs/>
                <w:color w:val="0059D1"/>
                <w:sz w:val="16"/>
                <w:szCs w:val="16"/>
              </w:rPr>
              <w:t>[INSERT: e.g. process shutdown initiator]</w:t>
            </w:r>
          </w:p>
        </w:tc>
        <w:tc>
          <w:tcPr>
            <w:tcW w:type="dxa" w:w="1805"/>
          </w:tcPr>
          <w:p>
            <w:pPr>
              <w:pStyle w:val="TableContents"/>
              <w:spacing w:before="0" w:after="0" w:line="240" w:lineRule="atLeast"/>
            </w:pPr>
            <w:r>
              <w:rPr>
                <w:rFonts w:ascii="Arial" w:hAnsi="Arial" w:cs="Arial" w:eastAsia="Arial"/>
                <w:b/>
                <w:bCs/>
                <w:color w:val="0059D1"/>
                <w:sz w:val="16"/>
                <w:szCs w:val="16"/>
              </w:rPr>
              <w:t>[INSERT: e.g. 72 hours]</w:t>
            </w:r>
          </w:p>
        </w:tc>
        <w:tc>
          <w:tcPr>
            <w:tcW w:type="dxa" w:w="1805"/>
          </w:tcPr>
          <w:p>
            <w:pPr>
              <w:pStyle w:val="TableContents"/>
              <w:spacing w:before="0" w:after="0" w:line="240" w:lineRule="atLeast"/>
            </w:pPr>
            <w:r>
              <w:rPr>
                <w:rFonts w:ascii="Arial" w:hAnsi="Arial" w:cs="Arial" w:eastAsia="Arial"/>
                <w:sz w:val="16"/>
                <w:szCs w:val="16"/>
              </w:rPr>
              <w:t>HSESC Manager</w:t>
            </w:r>
          </w:p>
        </w:tc>
        <w:tc>
          <w:tcPr>
            <w:tcW w:type="dxa" w:w="1806"/>
          </w:tcPr>
          <w:p>
            <w:pPr>
              <w:pStyle w:val="TableContents"/>
              <w:spacing w:before="0" w:after="0" w:line="240" w:lineRule="atLeast"/>
            </w:pPr>
            <w:r>
              <w:rPr>
                <w:rFonts w:ascii="Arial" w:hAnsi="Arial" w:cs="Arial" w:eastAsia="Arial"/>
                <w:b/>
                <w:bCs/>
                <w:color w:val="0059D1"/>
                <w:sz w:val="16"/>
                <w:szCs w:val="16"/>
              </w:rPr>
              <w:t>[INSERT: e.g. standby protection and continuous monitoring]</w:t>
            </w:r>
          </w:p>
        </w:tc>
      </w:tr>
      <w:tr>
        <w:tc>
          <w:tcPr>
            <w:tcW w:type="dxa" w:w="1805"/>
          </w:tcPr>
          <w:p>
            <w:pPr>
              <w:pStyle w:val="TableContents"/>
              <w:spacing w:before="0" w:after="0" w:line="240" w:lineRule="atLeast"/>
            </w:pPr>
            <w:r>
              <w:rPr>
                <w:rFonts w:ascii="Arial" w:hAnsi="Arial" w:cs="Arial" w:eastAsia="Arial"/>
                <w:sz w:val="16"/>
                <w:szCs w:val="16"/>
              </w:rPr>
              <w:t>SIL 2 or above Safety Instrumented Function</w:t>
            </w:r>
          </w:p>
        </w:tc>
        <w:tc>
          <w:tcPr>
            <w:tcW w:type="dxa" w:w="1805"/>
          </w:tcPr>
          <w:p>
            <w:pPr>
              <w:pStyle w:val="TableContents"/>
              <w:spacing w:before="0" w:after="0" w:line="240" w:lineRule="atLeast"/>
            </w:pPr>
            <w:r>
              <w:rPr>
                <w:rFonts w:ascii="Arial" w:hAnsi="Arial" w:cs="Arial" w:eastAsia="Arial"/>
                <w:b/>
                <w:bCs/>
                <w:color w:val="0059D1"/>
                <w:sz w:val="16"/>
                <w:szCs w:val="16"/>
              </w:rPr>
              <w:t>[INSERT: e.g. emergency shutdown system]</w:t>
            </w:r>
          </w:p>
        </w:tc>
        <w:tc>
          <w:tcPr>
            <w:tcW w:type="dxa" w:w="1805"/>
          </w:tcPr>
          <w:p>
            <w:pPr>
              <w:pStyle w:val="TableContents"/>
              <w:spacing w:before="0" w:after="0" w:line="240" w:lineRule="atLeast"/>
            </w:pPr>
            <w:r>
              <w:rPr>
                <w:rFonts w:ascii="Arial" w:hAnsi="Arial" w:cs="Arial" w:eastAsia="Arial"/>
                <w:b/>
                <w:bCs/>
                <w:color w:val="0059D1"/>
                <w:sz w:val="16"/>
                <w:szCs w:val="16"/>
              </w:rPr>
              <w:t>[INSERT: e.g. 8 hours]</w:t>
            </w:r>
          </w:p>
        </w:tc>
        <w:tc>
          <w:tcPr>
            <w:tcW w:type="dxa" w:w="1805"/>
          </w:tcPr>
          <w:p>
            <w:pPr>
              <w:pStyle w:val="TableContents"/>
              <w:spacing w:before="0" w:after="0" w:line="240" w:lineRule="atLeast"/>
            </w:pPr>
            <w:r>
              <w:rPr>
                <w:rFonts w:ascii="Arial" w:hAnsi="Arial" w:cs="Arial" w:eastAsia="Arial"/>
                <w:sz w:val="16"/>
                <w:szCs w:val="16"/>
              </w:rPr>
              <w:t>Project Director</w:t>
            </w:r>
          </w:p>
        </w:tc>
        <w:tc>
          <w:tcPr>
            <w:tcW w:type="dxa" w:w="1806"/>
          </w:tcPr>
          <w:p>
            <w:pPr>
              <w:pStyle w:val="TableContents"/>
              <w:spacing w:before="0" w:after="0" w:line="240" w:lineRule="atLeast"/>
            </w:pPr>
            <w:r>
              <w:rPr>
                <w:rFonts w:ascii="Arial" w:hAnsi="Arial" w:cs="Arial" w:eastAsia="Arial"/>
                <w:b/>
                <w:bCs/>
                <w:color w:val="0059D1"/>
                <w:sz w:val="16"/>
                <w:szCs w:val="16"/>
              </w:rPr>
              <w:t>[INSERT: e.g. process shutdown to safe state pending restoration]</w:t>
            </w:r>
          </w:p>
        </w:tc>
      </w:tr>
      <w:tr>
        <w:tc>
          <w:tcPr>
            <w:tcW w:type="dxa" w:w="1805"/>
          </w:tcPr>
          <w:p>
            <w:pPr>
              <w:pStyle w:val="TableContents"/>
              <w:spacing w:before="0" w:after="0" w:line="240" w:lineRule="atLeast"/>
            </w:pPr>
            <w:r>
              <w:rPr>
                <w:rFonts w:ascii="Arial" w:hAnsi="Arial" w:cs="Arial" w:eastAsia="Arial"/>
                <w:sz w:val="16"/>
                <w:szCs w:val="16"/>
              </w:rPr>
              <w:t>Pressure relief device</w:t>
            </w:r>
          </w:p>
        </w:tc>
        <w:tc>
          <w:tcPr>
            <w:tcW w:type="dxa" w:w="1805"/>
          </w:tcPr>
          <w:p>
            <w:pPr>
              <w:pStyle w:val="TableContents"/>
              <w:spacing w:before="0" w:after="0" w:line="240" w:lineRule="atLeast"/>
            </w:pPr>
            <w:r>
              <w:rPr>
                <w:rFonts w:ascii="Arial" w:hAnsi="Arial" w:cs="Arial" w:eastAsia="Arial"/>
                <w:b/>
                <w:bCs/>
                <w:color w:val="0059D1"/>
                <w:sz w:val="16"/>
                <w:szCs w:val="16"/>
              </w:rPr>
              <w:t>[INSERT: e.g. PRD on pressure vessel]</w:t>
            </w:r>
          </w:p>
        </w:tc>
        <w:tc>
          <w:tcPr>
            <w:tcW w:type="dxa" w:w="1805"/>
          </w:tcPr>
          <w:p>
            <w:pPr>
              <w:pStyle w:val="TableContents"/>
              <w:spacing w:before="0" w:after="0" w:line="240" w:lineRule="atLeast"/>
            </w:pPr>
            <w:r>
              <w:rPr>
                <w:rFonts w:ascii="Arial" w:hAnsi="Arial" w:cs="Arial" w:eastAsia="Arial"/>
                <w:b/>
                <w:bCs/>
                <w:color w:val="0059D1"/>
                <w:sz w:val="16"/>
                <w:szCs w:val="16"/>
              </w:rPr>
              <w:t>[INSERT: e.g. duration of maintenance activity only]</w:t>
            </w:r>
          </w:p>
        </w:tc>
        <w:tc>
          <w:tcPr>
            <w:tcW w:type="dxa" w:w="1805"/>
          </w:tcPr>
          <w:p>
            <w:pPr>
              <w:pStyle w:val="TableContents"/>
              <w:spacing w:before="0" w:after="0" w:line="240" w:lineRule="atLeast"/>
            </w:pPr>
            <w:r>
              <w:rPr>
                <w:rFonts w:ascii="Arial" w:hAnsi="Arial" w:cs="Arial" w:eastAsia="Arial"/>
                <w:sz w:val="16"/>
                <w:szCs w:val="16"/>
              </w:rPr>
              <w:t>HSESC Manager</w:t>
            </w:r>
          </w:p>
        </w:tc>
        <w:tc>
          <w:tcPr>
            <w:tcW w:type="dxa" w:w="1806"/>
          </w:tcPr>
          <w:p>
            <w:pPr>
              <w:pStyle w:val="TableContents"/>
              <w:spacing w:before="0" w:after="0" w:line="240" w:lineRule="atLeast"/>
            </w:pPr>
            <w:r>
              <w:rPr>
                <w:rFonts w:ascii="Arial" w:hAnsi="Arial" w:cs="Arial" w:eastAsia="Arial"/>
                <w:b/>
                <w:bCs/>
                <w:color w:val="0059D1"/>
                <w:sz w:val="16"/>
                <w:szCs w:val="16"/>
              </w:rPr>
              <w:t>[INSERT: e.g. reduce operating pressure, install temporary relief]</w:t>
            </w:r>
          </w:p>
        </w:tc>
      </w:tr>
    </w:tbl>
    <w:p>
      <w:pPr>
        <w:pStyle w:val="NormalNumberedtext"/>
      </w:pPr>
    </w:p>
    <w:p>
      <w:pPr>
        <w:pStyle w:val="NormalNumberedtext"/>
      </w:pPr>
      <w:r>
        <w:t>The HSESC Manager reviews all active bypasses at least weekly and escalates any bypass exceeding its approved duration to the Project Director for review. A summary of open bypasses is included in the project HSESC performance report each reporting period.</w:t>
      </w:r>
    </w:p>
    <w:p>
      <w:pPr>
        <w:pStyle w:val="NormalNumberedtext"/>
      </w:pPr>
    </w:p>
    <w:p>
      <w:pPr>
        <w:pStyle w:val="Heading1Numbered"/>
        <w:numPr>
          <w:ilvl w:val="0"/>
          <w:numId w:val="1"/>
        </w:numPr>
      </w:pPr>
      <w:r>
        <w:rPr>
          <w:rFonts w:ascii="Arial" w:hAnsi="Arial" w:cs="Arial" w:eastAsia="Arial"/>
        </w:rPr>
        <w:t>Mechanical Integrity</w:t>
      </w:r>
    </w:p>
    <w:p>
      <w:pPr>
        <w:pStyle w:val="NormalNumberedtext"/>
      </w:pPr>
      <w:r>
        <w:t>This section defines the mechanical integrity requirements for process vessels, piping, pressure relief systems, and safety-critical equipment on this project.</w:t>
      </w:r>
    </w:p>
    <w:p>
      <w:pPr>
        <w:pStyle w:val="NormalNumberedtext"/>
      </w:pPr>
    </w:p>
    <w:p>
      <w:pPr>
        <w:pStyle w:val="Heading2Numbered"/>
        <w:numPr>
          <w:ilvl w:val="1"/>
          <w:numId w:val="1"/>
        </w:numPr>
      </w:pPr>
      <w:r>
        <w:rPr>
          <w:rFonts w:ascii="Arial" w:hAnsi="Arial" w:cs="Arial" w:eastAsia="Arial"/>
        </w:rPr>
        <w:t>Mechanical Integrity Programme Requirements</w:t>
      </w:r>
    </w:p>
    <w:p>
      <w:pPr>
        <w:pStyle w:val="NormalNumberedtext"/>
      </w:pPr>
      <w:r>
        <w:t>The mechanical integrity programme applies risk-based inspection criteria aligned to equipment criticality and operating conditions.</w:t>
      </w:r>
    </w:p>
    <w:p>
      <w:pPr>
        <w:pStyle w:val="NormalNumberedtext"/>
      </w:pPr>
      <w:r>
        <w:t>The Project Engineer defines mechanical integrity requirements for all process vessels, piping systems, pressure relief systems, and safety-critical equipment, consistent with the RT Control of Energy Standard. The inspection programme is risk-based, with inspection frequency and method determined by equipment criticality, operating conditions, corrosion allowance, and consequence of failure.</w:t>
      </w:r>
    </w:p>
    <w:p>
      <w:pPr>
        <w:pStyle w:val="NormalNumberedtext"/>
      </w:pPr>
      <w:r>
        <w:t>The mechanical integrity programme covers the following equipment categories at minimum:</w:t>
      </w:r>
    </w:p>
    <w:p>
      <w:pPr>
        <w:pStyle w:val="NumberedBulletL1"/>
      </w:pPr>
      <w:r>
        <w:t>Pressure vessels and heat exchangers</w:t>
      </w:r>
    </w:p>
    <w:p>
      <w:pPr>
        <w:pStyle w:val="NumberedBulletL1"/>
      </w:pPr>
      <w:r>
        <w:t>Process piping systems including flanges, valves, and fittings</w:t>
      </w:r>
    </w:p>
    <w:p>
      <w:pPr>
        <w:pStyle w:val="NumberedBulletL1"/>
      </w:pPr>
      <w:r>
        <w:t>Pressure relief devices and rupture discs</w:t>
      </w:r>
    </w:p>
    <w:p>
      <w:pPr>
        <w:pStyle w:val="NumberedBulletL1"/>
      </w:pPr>
      <w:r>
        <w:t>Safety-critical containment systems and bunds</w:t>
      </w:r>
    </w:p>
    <w:p>
      <w:pPr>
        <w:pStyle w:val="NumberedBulletL1"/>
      </w:pPr>
      <w:r>
        <w:rPr>
          <w:color w:val="C55A11"/>
        </w:rPr>
        <w:t>Rotating equipment where failure could result in loss of containment, including pumps and compressors on hazardous service</w:t>
      </w:r>
    </w:p>
    <w:p>
      <w:pPr>
        <w:pStyle w:val="NormalNumberedtext"/>
      </w:pPr>
      <w:r>
        <w:rPr>
          <w:b/>
          <w:bCs/>
          <w:color w:val="0059D1"/>
        </w:rPr>
        <w:t>[INSERT: additional_mi_equipment_categories]</w:t>
      </w:r>
    </w:p>
    <w:p>
      <w:pPr>
        <w:pStyle w:val="NormalNumberedtext"/>
      </w:pPr>
      <w:r>
        <w:t>All equipment covered by the mechanical integrity programme is listed in the Pressure Equipment Register; refer</w:t>
      </w:r>
    </w:p>
    <w:p>
      <w:pPr>
        <w:pStyle w:val="NormalNumberedtext"/>
      </w:pPr>
      <w:r>
        <w:rPr>
          <w:b/>
          <w:bCs/>
          <w:color w:val="0059D1"/>
        </w:rPr>
        <w:t>[INSERT: pressure_equipment_register_reference] — Insert document reference for RTPR-HSE-REG-0013 Pressure Equipment Register</w:t>
      </w:r>
    </w:p>
    <w:p>
      <w:pPr>
        <w:pStyle w:val="NormalNumberedtext"/>
      </w:pPr>
      <w:r>
        <w:t>The inspection programme schedule is defined for each equipment item in the register and reviewed when operating conditions change, when a defect is identified, or when a management of change outcome affects the equipment.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4]</w:t>
            </w:r>
            <w:r>
              <w:rPr>
                <w:rFonts w:ascii="Arial" w:hAnsi="Arial" w:cs="Arial" w:eastAsia="Arial"/>
                <w:b/>
                <w:bCs/>
                <w:color w:val="C55A11"/>
                <w:sz w:val="16"/>
                <w:szCs w:val="16"/>
              </w:rPr>
              <w:t xml:space="preserve"> Define the project mechanical integrity inspection programme schedule for all pressure equipment and safety-critical systems. Link to the Pressure Equipment Register </w:t>
            </w:r>
            <w:r>
              <w:rPr>
                <w:rFonts w:ascii="Arial" w:hAnsi="Arial" w:cs="Arial" w:eastAsia="Arial"/>
                <w:b/>
                <w:bCs/>
                <w:color w:val="0059D1"/>
                <w:sz w:val="16"/>
                <w:szCs w:val="16"/>
              </w:rPr>
              <w:t>[INSERT: Project Document Number]</w:t>
            </w:r>
            <w:r>
              <w:rPr>
                <w:rFonts w:ascii="Arial" w:hAnsi="Arial" w:cs="Arial" w:eastAsia="Arial"/>
                <w:b/>
                <w:bCs/>
                <w:color w:val="C55A11"/>
                <w:sz w:val="16"/>
                <w:szCs w:val="16"/>
              </w:rPr>
              <w:t>.</w:t>
            </w:r>
          </w:p>
        </w:tc>
      </w:tr>
    </w:tbl>
    <w:p>
      <w:pPr>
        <w:pStyle w:val="NormalNumberedtext"/>
      </w:pPr>
    </w:p>
    <w:p>
      <w:pPr>
        <w:pStyle w:val="NormalNumberedtext"/>
      </w:pPr>
      <w:r>
        <w:t>Table: Mechanical Integrity Inspection Programme Schedule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Equipment Tag / Description</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Equipment Category</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Criticality Rating</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Inspection Method</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Inspection Frequency</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Next Due Date</w:t>
            </w:r>
          </w:p>
        </w:tc>
        <w:tc>
          <w:tcPr>
            <w:shd w:val="clear" w:color="auto" w:fill="1F3864"/>
            <w:tcW w:type="dxa" w:w="1292"/>
          </w:tcPr>
          <w:p>
            <w:pPr>
              <w:pStyle w:val="TableContents"/>
              <w:spacing w:before="0" w:after="0" w:line="240" w:lineRule="atLeast"/>
            </w:pPr>
            <w:r>
              <w:rPr>
                <w:rFonts w:ascii="Arial" w:hAnsi="Arial" w:cs="Arial" w:eastAsia="Arial"/>
                <w:b/>
                <w:bCs/>
                <w:color w:val="FFFFFF"/>
                <w:sz w:val="16"/>
                <w:szCs w:val="16"/>
              </w:rPr>
              <w:t>Register Reference</w:t>
            </w:r>
          </w:p>
        </w:tc>
      </w:tr>
      <w:tr>
        <w:tc>
          <w:tcPr>
            <w:tcW w:type="dxa" w:w="1289"/>
          </w:tcPr>
          <w:p>
            <w:pPr>
              <w:pStyle w:val="TableContents"/>
              <w:spacing w:before="0" w:after="0" w:line="240" w:lineRule="atLeast"/>
            </w:pPr>
            <w:r>
              <w:rPr>
                <w:rFonts w:ascii="Arial" w:hAnsi="Arial" w:cs="Arial" w:eastAsia="Arial"/>
                <w:b/>
                <w:bCs/>
                <w:color w:val="0059D1"/>
                <w:sz w:val="16"/>
                <w:szCs w:val="16"/>
              </w:rPr>
              <w:t>[INSERT: tag / description]</w:t>
            </w:r>
          </w:p>
        </w:tc>
        <w:tc>
          <w:tcPr>
            <w:tcW w:type="dxa" w:w="1289"/>
          </w:tcPr>
          <w:p>
            <w:pPr>
              <w:pStyle w:val="TableContents"/>
              <w:spacing w:before="0" w:after="0" w:line="240" w:lineRule="atLeast"/>
            </w:pPr>
            <w:r>
              <w:rPr>
                <w:rFonts w:ascii="Arial" w:hAnsi="Arial" w:cs="Arial" w:eastAsia="Arial"/>
                <w:b/>
                <w:bCs/>
                <w:color w:val="0059D1"/>
                <w:sz w:val="16"/>
                <w:szCs w:val="16"/>
              </w:rPr>
              <w:t>[INSERT: e.g. pressure vessel]</w:t>
            </w:r>
          </w:p>
        </w:tc>
        <w:tc>
          <w:tcPr>
            <w:tcW w:type="dxa" w:w="1289"/>
          </w:tcPr>
          <w:p>
            <w:pPr>
              <w:pStyle w:val="TableContents"/>
              <w:spacing w:before="0" w:after="0" w:line="240" w:lineRule="atLeast"/>
            </w:pPr>
            <w:r>
              <w:rPr>
                <w:rFonts w:ascii="Arial" w:hAnsi="Arial" w:cs="Arial" w:eastAsia="Arial"/>
                <w:b/>
                <w:bCs/>
                <w:color w:val="0059D1"/>
                <w:sz w:val="16"/>
                <w:szCs w:val="16"/>
              </w:rPr>
              <w:t>[INSERT: e.g. high / medium / low]</w:t>
            </w:r>
          </w:p>
        </w:tc>
        <w:tc>
          <w:tcPr>
            <w:tcW w:type="dxa" w:w="1289"/>
          </w:tcPr>
          <w:p>
            <w:pPr>
              <w:pStyle w:val="TableContents"/>
              <w:spacing w:before="0" w:after="0" w:line="240" w:lineRule="atLeast"/>
            </w:pPr>
            <w:r>
              <w:rPr>
                <w:rFonts w:ascii="Arial" w:hAnsi="Arial" w:cs="Arial" w:eastAsia="Arial"/>
                <w:b/>
                <w:bCs/>
                <w:color w:val="0059D1"/>
                <w:sz w:val="16"/>
                <w:szCs w:val="16"/>
              </w:rPr>
              <w:t>[INSERT: e.g. external visual / UT thickness / RT]</w:t>
            </w:r>
          </w:p>
        </w:tc>
        <w:tc>
          <w:tcPr>
            <w:tcW w:type="dxa" w:w="1289"/>
          </w:tcPr>
          <w:p>
            <w:pPr>
              <w:pStyle w:val="TableContents"/>
              <w:spacing w:before="0" w:after="0" w:line="240" w:lineRule="atLeast"/>
            </w:pPr>
            <w:r>
              <w:rPr>
                <w:rFonts w:ascii="Arial" w:hAnsi="Arial" w:cs="Arial" w:eastAsia="Arial"/>
                <w:b/>
                <w:bCs/>
                <w:color w:val="0059D1"/>
                <w:sz w:val="16"/>
                <w:szCs w:val="16"/>
              </w:rPr>
              <w:t>[INSERT: e.g. 12 months]</w:t>
            </w:r>
          </w:p>
        </w:tc>
        <w:tc>
          <w:tcPr>
            <w:tcW w:type="dxa" w:w="1289"/>
          </w:tcPr>
          <w:p>
            <w:pPr>
              <w:pStyle w:val="TableContents"/>
              <w:spacing w:before="0" w:after="0" w:line="240" w:lineRule="atLeast"/>
            </w:pPr>
            <w:r>
              <w:rPr>
                <w:rFonts w:ascii="Arial" w:hAnsi="Arial" w:cs="Arial" w:eastAsia="Arial"/>
                <w:b/>
                <w:bCs/>
                <w:color w:val="0059D1"/>
                <w:sz w:val="16"/>
                <w:szCs w:val="16"/>
              </w:rPr>
              <w:t>[INSERT: date]</w:t>
            </w:r>
          </w:p>
        </w:tc>
        <w:tc>
          <w:tcPr>
            <w:tcW w:type="dxa" w:w="1292"/>
          </w:tcPr>
          <w:p>
            <w:pPr>
              <w:pStyle w:val="TableContents"/>
              <w:spacing w:before="0" w:after="0" w:line="240" w:lineRule="atLeast"/>
            </w:pPr>
            <w:r>
              <w:rPr>
                <w:rFonts w:ascii="Arial" w:hAnsi="Arial" w:cs="Arial" w:eastAsia="Arial"/>
                <w:b/>
                <w:bCs/>
                <w:color w:val="0059D1"/>
                <w:sz w:val="16"/>
                <w:szCs w:val="16"/>
              </w:rPr>
              <w:t>[INSERT: Project Document Number]</w:t>
            </w:r>
          </w:p>
        </w:tc>
      </w:tr>
      <w:tr>
        <w:tc>
          <w:tcPr>
            <w:tcW w:type="dxa" w:w="1289"/>
          </w:tcPr>
          <w:p>
            <w:pPr>
              <w:pStyle w:val="TableContents"/>
              <w:spacing w:before="0" w:after="0" w:line="240" w:lineRule="atLeast"/>
            </w:pPr>
            <w:r>
              <w:rPr>
                <w:rFonts w:ascii="Arial" w:hAnsi="Arial" w:cs="Arial" w:eastAsia="Arial"/>
                <w:b/>
                <w:bCs/>
                <w:color w:val="0059D1"/>
                <w:sz w:val="16"/>
                <w:szCs w:val="16"/>
              </w:rPr>
              <w:t>[INSERT: tag / description]</w:t>
            </w:r>
          </w:p>
        </w:tc>
        <w:tc>
          <w:tcPr>
            <w:tcW w:type="dxa" w:w="1289"/>
          </w:tcPr>
          <w:p>
            <w:pPr>
              <w:pStyle w:val="TableContents"/>
              <w:spacing w:before="0" w:after="0" w:line="240" w:lineRule="atLeast"/>
            </w:pPr>
            <w:r>
              <w:rPr>
                <w:rFonts w:ascii="Arial" w:hAnsi="Arial" w:cs="Arial" w:eastAsia="Arial"/>
                <w:b/>
                <w:bCs/>
                <w:color w:val="0059D1"/>
                <w:sz w:val="16"/>
                <w:szCs w:val="16"/>
              </w:rPr>
              <w:t>[INSERT: e.g. pressure relief device]</w:t>
            </w:r>
          </w:p>
        </w:tc>
        <w:tc>
          <w:tcPr>
            <w:tcW w:type="dxa" w:w="1289"/>
          </w:tcPr>
          <w:p>
            <w:pPr>
              <w:pStyle w:val="TableContents"/>
              <w:spacing w:before="0" w:after="0" w:line="240" w:lineRule="atLeast"/>
            </w:pPr>
            <w:r>
              <w:rPr>
                <w:rFonts w:ascii="Arial" w:hAnsi="Arial" w:cs="Arial" w:eastAsia="Arial"/>
                <w:b/>
                <w:bCs/>
                <w:color w:val="0059D1"/>
                <w:sz w:val="16"/>
                <w:szCs w:val="16"/>
              </w:rPr>
              <w:t>[INSERT: e.g. high]</w:t>
            </w:r>
          </w:p>
        </w:tc>
        <w:tc>
          <w:tcPr>
            <w:tcW w:type="dxa" w:w="1289"/>
          </w:tcPr>
          <w:p>
            <w:pPr>
              <w:pStyle w:val="TableContents"/>
              <w:spacing w:before="0" w:after="0" w:line="240" w:lineRule="atLeast"/>
            </w:pPr>
            <w:r>
              <w:rPr>
                <w:rFonts w:ascii="Arial" w:hAnsi="Arial" w:cs="Arial" w:eastAsia="Arial"/>
                <w:b/>
                <w:bCs/>
                <w:color w:val="0059D1"/>
                <w:sz w:val="16"/>
                <w:szCs w:val="16"/>
              </w:rPr>
              <w:t>[INSERT: e.g. bench test / replacement]</w:t>
            </w:r>
          </w:p>
        </w:tc>
        <w:tc>
          <w:tcPr>
            <w:tcW w:type="dxa" w:w="1289"/>
          </w:tcPr>
          <w:p>
            <w:pPr>
              <w:pStyle w:val="TableContents"/>
              <w:spacing w:before="0" w:after="0" w:line="240" w:lineRule="atLeast"/>
            </w:pPr>
            <w:r>
              <w:rPr>
                <w:rFonts w:ascii="Arial" w:hAnsi="Arial" w:cs="Arial" w:eastAsia="Arial"/>
                <w:b/>
                <w:bCs/>
                <w:color w:val="0059D1"/>
                <w:sz w:val="16"/>
                <w:szCs w:val="16"/>
              </w:rPr>
              <w:t>[INSERT: e.g. 24 months]</w:t>
            </w:r>
          </w:p>
        </w:tc>
        <w:tc>
          <w:tcPr>
            <w:tcW w:type="dxa" w:w="1289"/>
          </w:tcPr>
          <w:p>
            <w:pPr>
              <w:pStyle w:val="TableContents"/>
              <w:spacing w:before="0" w:after="0" w:line="240" w:lineRule="atLeast"/>
            </w:pPr>
            <w:r>
              <w:rPr>
                <w:rFonts w:ascii="Arial" w:hAnsi="Arial" w:cs="Arial" w:eastAsia="Arial"/>
                <w:b/>
                <w:bCs/>
                <w:color w:val="0059D1"/>
                <w:sz w:val="16"/>
                <w:szCs w:val="16"/>
              </w:rPr>
              <w:t>[INSERT: date]</w:t>
            </w:r>
          </w:p>
        </w:tc>
        <w:tc>
          <w:tcPr>
            <w:tcW w:type="dxa" w:w="1292"/>
          </w:tcPr>
          <w:p>
            <w:pPr>
              <w:pStyle w:val="TableContents"/>
              <w:spacing w:before="0" w:after="0" w:line="240" w:lineRule="atLeast"/>
            </w:pPr>
            <w:r>
              <w:rPr>
                <w:rFonts w:ascii="Arial" w:hAnsi="Arial" w:cs="Arial" w:eastAsia="Arial"/>
                <w:b/>
                <w:bCs/>
                <w:color w:val="0059D1"/>
                <w:sz w:val="16"/>
                <w:szCs w:val="16"/>
              </w:rPr>
              <w:t>[INSERT: Project Document Number]</w:t>
            </w:r>
          </w:p>
        </w:tc>
      </w:tr>
    </w:tbl>
    <w:p>
      <w:pPr>
        <w:pStyle w:val="NormalNumberedtext"/>
      </w:pPr>
    </w:p>
    <w:p>
      <w:pPr>
        <w:pStyle w:val="Heading2Numbered"/>
        <w:numPr>
          <w:ilvl w:val="1"/>
          <w:numId w:val="1"/>
        </w:numPr>
      </w:pPr>
      <w:r>
        <w:rPr>
          <w:rFonts w:ascii="Arial" w:hAnsi="Arial" w:cs="Arial" w:eastAsia="Arial"/>
        </w:rPr>
        <w:t>Defect Management and Fitness for Service</w:t>
      </w:r>
    </w:p>
    <w:p>
      <w:pPr>
        <w:pStyle w:val="NormalNumberedtext"/>
      </w:pPr>
      <w:r>
        <w:t>Inspection results and defect management decisions are documented and assessed against defined fitness-for-service criteria.</w:t>
      </w:r>
    </w:p>
    <w:p>
      <w:pPr>
        <w:pStyle w:val="NormalNumberedtext"/>
      </w:pPr>
      <w:r>
        <w:t>The Project Engineer documents all inspection results in the Pressure Equipment Register and initiates defect management actions when an inspection finding exceeds the defined acceptance criteria. Defect management procedures define the assessment method, the repair or replacement standard, and the approval authority for returning equipment to service.</w:t>
      </w:r>
    </w:p>
    <w:p>
      <w:pPr>
        <w:pStyle w:val="NormalNumberedtext"/>
      </w:pPr>
      <w:r>
        <w:t>The criteria for removing defective equipment from service or requiring repair before continued operation are defined for each equipment category in the inspection programme. Equipment that does not meet fitness-for-service criteria is removed from service immediately and is not returned to service until the repair or replacement has been verified by a competent person.</w:t>
      </w:r>
    </w:p>
    <w:p>
      <w:pPr>
        <w:pStyle w:val="NormalNumberedtext"/>
      </w:pPr>
      <w:r>
        <w:t>The defect management record for each equipment item documents the following:</w:t>
      </w:r>
    </w:p>
    <w:p>
      <w:pPr>
        <w:pStyle w:val="NumberedBulletL1"/>
      </w:pPr>
      <w:r>
        <w:t>Date and method of inspection</w:t>
      </w:r>
    </w:p>
    <w:p>
      <w:pPr>
        <w:pStyle w:val="NumberedBulletL1"/>
      </w:pPr>
      <w:r>
        <w:t>Inspector name and competency</w:t>
      </w:r>
    </w:p>
    <w:p>
      <w:pPr>
        <w:pStyle w:val="NumberedBulletL1"/>
      </w:pPr>
      <w:r>
        <w:t>Finding description and measured dimensions against acceptance criteria</w:t>
      </w:r>
    </w:p>
    <w:p>
      <w:pPr>
        <w:pStyle w:val="NumberedBulletL1"/>
      </w:pPr>
      <w:r>
        <w:t>Fitness-for-service assessment outcome</w:t>
      </w:r>
    </w:p>
    <w:p>
      <w:pPr>
        <w:pStyle w:val="NumberedBulletL1"/>
      </w:pPr>
      <w:r>
        <w:rPr>
          <w:color w:val="C55A11"/>
        </w:rPr>
        <w:t>Remaining life calculation where applicable, with the next inspection date set to not more than half the calculated remaining life</w:t>
      </w:r>
    </w:p>
    <w:p>
      <w:pPr>
        <w:pStyle w:val="NumberedBulletL1"/>
      </w:pPr>
      <w:r>
        <w:t>Approving authority sign-off for return to service</w:t>
      </w:r>
    </w:p>
    <w:p>
      <w:pPr>
        <w:pStyle w:val="NormalNumberedtext"/>
      </w:pPr>
      <w:r>
        <w:t>Work on process systems requiring isolation for inspection or repair activities is controlled via the site PTW system; raise a permit via the site PTW system before commencing work, refer [INSERT: Project Document Number].</w:t>
      </w:r>
    </w:p>
    <w:p>
      <w:pPr>
        <w:pStyle w:val="NormalNumberedtext"/>
      </w:pPr>
    </w:p>
    <w:p>
      <w:pPr>
        <w:pStyle w:val="Heading1Numbered"/>
        <w:numPr>
          <w:ilvl w:val="0"/>
          <w:numId w:val="1"/>
        </w:numPr>
      </w:pPr>
      <w:r>
        <w:rPr>
          <w:rFonts w:ascii="Arial" w:hAnsi="Arial" w:cs="Arial" w:eastAsia="Arial"/>
        </w:rPr>
        <w:t>Process Safety Incident Management</w:t>
      </w:r>
    </w:p>
    <w:p>
      <w:pPr>
        <w:pStyle w:val="NormalNumberedtext"/>
      </w:pPr>
      <w:r>
        <w:t>This section defines process safety incident classifications, reporting requirements, investigation obligations, and performance reporting for this project.</w:t>
      </w:r>
    </w:p>
    <w:p>
      <w:pPr>
        <w:pStyle w:val="NormalNumberedtext"/>
      </w:pPr>
    </w:p>
    <w:p>
      <w:pPr>
        <w:pStyle w:val="Heading2Numbered"/>
        <w:numPr>
          <w:ilvl w:val="1"/>
          <w:numId w:val="1"/>
        </w:numPr>
      </w:pPr>
      <w:r>
        <w:rPr>
          <w:rFonts w:ascii="Arial" w:hAnsi="Arial" w:cs="Arial" w:eastAsia="Arial"/>
        </w:rPr>
        <w:t>Incident Classification</w:t>
      </w:r>
    </w:p>
    <w:p>
      <w:pPr>
        <w:pStyle w:val="NormalNumberedtext"/>
      </w:pPr>
      <w:r>
        <w:t>Process safety incidents are classified using a three-tier system aligned to API RP 754 or an equivalent recognised standard.</w:t>
      </w:r>
    </w:p>
    <w:p>
      <w:pPr>
        <w:pStyle w:val="NormalNumberedtext"/>
      </w:pPr>
      <w:r>
        <w:t>The HSESC Manager ensures all process safety events are classified at the time of reporting using the tier definitions below, consistent with the Rio Tinto Process Safety Standard. Classification determines the investigation requirement, reporting pathway, and escalation obligation.</w:t>
      </w:r>
    </w:p>
    <w:p>
      <w:pPr>
        <w:pStyle w:val="NormalNumberedtext"/>
      </w:pPr>
      <w:r>
        <w:t>Table: Process Safety Incident Tier Definitions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Tier</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Definition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Threshold Criteria</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Investigation Requirement</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Reporting Requirement</w:t>
            </w:r>
          </w:p>
        </w:tc>
      </w:tr>
      <w:tr>
        <w:tc>
          <w:tcPr>
            <w:tcW w:type="dxa" w:w="1805"/>
          </w:tcPr>
          <w:p>
            <w:pPr>
              <w:pStyle w:val="TableContents"/>
              <w:spacing w:before="0" w:after="0" w:line="240" w:lineRule="atLeast"/>
            </w:pPr>
            <w:r>
              <w:rPr>
                <w:rFonts w:ascii="Arial" w:hAnsi="Arial" w:cs="Arial" w:eastAsia="Arial"/>
                <w:sz w:val="16"/>
                <w:szCs w:val="16"/>
              </w:rPr>
              <w:t>Tier 1</w:t>
            </w:r>
          </w:p>
        </w:tc>
        <w:tc>
          <w:tcPr>
            <w:tcW w:type="dxa" w:w="1805"/>
          </w:tcPr>
          <w:p>
            <w:pPr>
              <w:pStyle w:val="TableContents"/>
              <w:spacing w:before="0" w:after="0" w:line="240" w:lineRule="atLeast"/>
            </w:pPr>
            <w:r>
              <w:rPr>
                <w:rFonts w:ascii="Arial" w:hAnsi="Arial" w:cs="Arial" w:eastAsia="Arial"/>
                <w:sz w:val="16"/>
                <w:szCs w:val="16"/>
              </w:rPr>
              <w:t>Loss of primary containment of a threshold quantity or greater, with serious consequence</w:t>
            </w:r>
          </w:p>
        </w:tc>
        <w:tc>
          <w:tcPr>
            <w:tcW w:type="dxa" w:w="1805"/>
          </w:tcPr>
          <w:p>
            <w:pPr>
              <w:pStyle w:val="TableContents"/>
              <w:spacing w:before="0" w:after="0" w:line="240" w:lineRule="atLeast"/>
            </w:pPr>
            <w:r>
              <w:rPr>
                <w:rFonts w:ascii="Arial" w:hAnsi="Arial" w:cs="Arial" w:eastAsia="Arial"/>
                <w:sz w:val="16"/>
                <w:szCs w:val="16"/>
              </w:rPr>
              <w:t>Injury requiring hospitalisation, fire or explosion, or release above API RP 754 threshold quantity</w:t>
            </w:r>
          </w:p>
        </w:tc>
        <w:tc>
          <w:tcPr>
            <w:tcW w:type="dxa" w:w="1805"/>
          </w:tcPr>
          <w:p>
            <w:pPr>
              <w:pStyle w:val="TableContents"/>
              <w:spacing w:before="0" w:after="0" w:line="240" w:lineRule="atLeast"/>
            </w:pPr>
            <w:r>
              <w:rPr>
                <w:rFonts w:ascii="Arial" w:hAnsi="Arial" w:cs="Arial" w:eastAsia="Arial"/>
                <w:sz w:val="16"/>
                <w:szCs w:val="16"/>
              </w:rPr>
              <w:t>Root cause analysis led by HSESC Manager with Project Director oversight</w:t>
            </w:r>
          </w:p>
        </w:tc>
        <w:tc>
          <w:tcPr>
            <w:tcW w:type="dxa" w:w="1806"/>
          </w:tcPr>
          <w:p>
            <w:pPr>
              <w:pStyle w:val="TableContents"/>
              <w:spacing w:before="0" w:after="0" w:line="240" w:lineRule="atLeast"/>
            </w:pPr>
            <w:r>
              <w:rPr>
                <w:rFonts w:ascii="Arial" w:hAnsi="Arial" w:cs="Arial" w:eastAsia="Arial"/>
                <w:sz w:val="16"/>
                <w:szCs w:val="16"/>
              </w:rPr>
              <w:t xml:space="preserve">Immediate notification to Project Director and Rio Tinto HSESC function; report per </w:t>
            </w:r>
            <w:r>
              <w:rPr>
                <w:rFonts w:ascii="Arial" w:hAnsi="Arial" w:cs="Arial" w:eastAsia="Arial"/>
                <w:b/>
                <w:bCs/>
                <w:color w:val="0059D1"/>
                <w:sz w:val="16"/>
                <w:szCs w:val="16"/>
              </w:rPr>
              <w:t>[INSERT: Project Document Number]</w:t>
            </w:r>
          </w:p>
        </w:tc>
      </w:tr>
      <w:tr>
        <w:tc>
          <w:tcPr>
            <w:tcW w:type="dxa" w:w="1805"/>
          </w:tcPr>
          <w:p>
            <w:pPr>
              <w:pStyle w:val="TableContents"/>
              <w:spacing w:before="0" w:after="0" w:line="240" w:lineRule="atLeast"/>
            </w:pPr>
            <w:r>
              <w:rPr>
                <w:rFonts w:ascii="Arial" w:hAnsi="Arial" w:cs="Arial" w:eastAsia="Arial"/>
                <w:sz w:val="16"/>
                <w:szCs w:val="16"/>
              </w:rPr>
              <w:t>Tier 2</w:t>
            </w:r>
          </w:p>
        </w:tc>
        <w:tc>
          <w:tcPr>
            <w:tcW w:type="dxa" w:w="1805"/>
          </w:tcPr>
          <w:p>
            <w:pPr>
              <w:pStyle w:val="TableContents"/>
              <w:spacing w:before="0" w:after="0" w:line="240" w:lineRule="atLeast"/>
            </w:pPr>
            <w:r>
              <w:rPr>
                <w:rFonts w:ascii="Arial" w:hAnsi="Arial" w:cs="Arial" w:eastAsia="Arial"/>
                <w:sz w:val="16"/>
                <w:szCs w:val="16"/>
              </w:rPr>
              <w:t>Loss of primary containment of a threshold quantity or greater, with limited consequence</w:t>
            </w:r>
          </w:p>
        </w:tc>
        <w:tc>
          <w:tcPr>
            <w:tcW w:type="dxa" w:w="1805"/>
          </w:tcPr>
          <w:p>
            <w:pPr>
              <w:pStyle w:val="TableContents"/>
              <w:spacing w:before="0" w:after="0" w:line="240" w:lineRule="atLeast"/>
            </w:pPr>
            <w:r>
              <w:rPr>
                <w:rFonts w:ascii="Arial" w:hAnsi="Arial" w:cs="Arial" w:eastAsia="Arial"/>
                <w:sz w:val="16"/>
                <w:szCs w:val="16"/>
              </w:rPr>
              <w:t>Containment within secondary system, minor injury, or release below Tier 1 threshold</w:t>
            </w:r>
          </w:p>
        </w:tc>
        <w:tc>
          <w:tcPr>
            <w:tcW w:type="dxa" w:w="1805"/>
          </w:tcPr>
          <w:p>
            <w:pPr>
              <w:pStyle w:val="TableContents"/>
              <w:spacing w:before="0" w:after="0" w:line="240" w:lineRule="atLeast"/>
            </w:pPr>
            <w:r>
              <w:rPr>
                <w:rFonts w:ascii="Arial" w:hAnsi="Arial" w:cs="Arial" w:eastAsia="Arial"/>
                <w:sz w:val="16"/>
                <w:szCs w:val="16"/>
              </w:rPr>
              <w:t>Root cause analysis led by HSESC Manager</w:t>
            </w:r>
          </w:p>
        </w:tc>
        <w:tc>
          <w:tcPr>
            <w:tcW w:type="dxa" w:w="1806"/>
          </w:tcPr>
          <w:p>
            <w:pPr>
              <w:pStyle w:val="TableContents"/>
              <w:spacing w:before="0" w:after="0" w:line="240" w:lineRule="atLeast"/>
            </w:pPr>
            <w:r>
              <w:rPr>
                <w:rFonts w:ascii="Arial" w:hAnsi="Arial" w:cs="Arial" w:eastAsia="Arial"/>
                <w:sz w:val="16"/>
                <w:szCs w:val="16"/>
              </w:rPr>
              <w:t xml:space="preserve">Notification to Project Director within 24 hours; report per </w:t>
            </w:r>
            <w:r>
              <w:rPr>
                <w:rFonts w:ascii="Arial" w:hAnsi="Arial" w:cs="Arial" w:eastAsia="Arial"/>
                <w:b/>
                <w:bCs/>
                <w:color w:val="0059D1"/>
                <w:sz w:val="16"/>
                <w:szCs w:val="16"/>
              </w:rPr>
              <w:t>[INSERT: Project Document Number]</w:t>
            </w:r>
          </w:p>
        </w:tc>
      </w:tr>
      <w:tr>
        <w:tc>
          <w:tcPr>
            <w:tcW w:type="dxa" w:w="1805"/>
          </w:tcPr>
          <w:p>
            <w:pPr>
              <w:pStyle w:val="TableContents"/>
              <w:spacing w:before="0" w:after="0" w:line="240" w:lineRule="atLeast"/>
            </w:pPr>
            <w:r>
              <w:rPr>
                <w:rFonts w:ascii="Arial" w:hAnsi="Arial" w:cs="Arial" w:eastAsia="Arial"/>
                <w:sz w:val="16"/>
                <w:szCs w:val="16"/>
              </w:rPr>
              <w:t>Tier 3</w:t>
            </w:r>
          </w:p>
        </w:tc>
        <w:tc>
          <w:tcPr>
            <w:tcW w:type="dxa" w:w="1805"/>
          </w:tcPr>
          <w:p>
            <w:pPr>
              <w:pStyle w:val="TableContents"/>
              <w:spacing w:before="0" w:after="0" w:line="240" w:lineRule="atLeast"/>
            </w:pPr>
            <w:r>
              <w:rPr>
                <w:rFonts w:ascii="Arial" w:hAnsi="Arial" w:cs="Arial" w:eastAsia="Arial"/>
                <w:sz w:val="16"/>
                <w:szCs w:val="16"/>
              </w:rPr>
              <w:t>Demand on a safety system, process exceedance, or near miss with potential for Tier 1 or 2 outcome</w:t>
            </w:r>
          </w:p>
        </w:tc>
        <w:tc>
          <w:tcPr>
            <w:tcW w:type="dxa" w:w="1805"/>
          </w:tcPr>
          <w:p>
            <w:pPr>
              <w:pStyle w:val="TableContents"/>
              <w:spacing w:before="0" w:after="0" w:line="240" w:lineRule="atLeast"/>
            </w:pPr>
            <w:r>
              <w:rPr>
                <w:rFonts w:ascii="Arial" w:hAnsi="Arial" w:cs="Arial" w:eastAsia="Arial"/>
                <w:sz w:val="16"/>
                <w:szCs w:val="16"/>
              </w:rPr>
              <w:t>Activation of safety instrumented function, relief device operation, or process parameter exceedance</w:t>
            </w:r>
          </w:p>
        </w:tc>
        <w:tc>
          <w:tcPr>
            <w:tcW w:type="dxa" w:w="1805"/>
          </w:tcPr>
          <w:p>
            <w:pPr>
              <w:pStyle w:val="TableContents"/>
              <w:spacing w:before="0" w:after="0" w:line="240" w:lineRule="atLeast"/>
            </w:pPr>
            <w:r>
              <w:rPr>
                <w:rFonts w:ascii="Arial" w:hAnsi="Arial" w:cs="Arial" w:eastAsia="Arial"/>
                <w:sz w:val="16"/>
                <w:szCs w:val="16"/>
              </w:rPr>
              <w:t>Causal analysis led by supervising engineer</w:t>
            </w:r>
          </w:p>
        </w:tc>
        <w:tc>
          <w:tcPr>
            <w:tcW w:type="dxa" w:w="1806"/>
          </w:tcPr>
          <w:p>
            <w:pPr>
              <w:pStyle w:val="TableContents"/>
              <w:spacing w:before="0" w:after="0" w:line="240" w:lineRule="atLeast"/>
            </w:pPr>
            <w:r>
              <w:rPr>
                <w:rFonts w:ascii="Arial" w:hAnsi="Arial" w:cs="Arial" w:eastAsia="Arial"/>
                <w:sz w:val="16"/>
                <w:szCs w:val="16"/>
              </w:rPr>
              <w:t xml:space="preserve">Recorded in incident management system within 48 hours; report per </w:t>
            </w:r>
            <w:r>
              <w:rPr>
                <w:rFonts w:ascii="Arial" w:hAnsi="Arial" w:cs="Arial" w:eastAsia="Arial"/>
                <w:b/>
                <w:bCs/>
                <w:color w:val="0059D1"/>
                <w:sz w:val="16"/>
                <w:szCs w:val="16"/>
              </w:rPr>
              <w:t>[INSERT: Project Document Number]</w:t>
            </w:r>
          </w:p>
        </w:tc>
      </w:tr>
    </w:tbl>
    <w:p>
      <w:pPr>
        <w:pStyle w:val="NormalNumberedtext"/>
      </w:pPr>
    </w:p>
    <w:p>
      <w:pPr>
        <w:pStyle w:val="NormalNumberedtext"/>
      </w:pPr>
      <w:r>
        <w:t>All process safety incidents and near misses are reported and managed through the project incident management system; report all incidents and near misses per project requirements, refer [INSERT: Project Document Number].</w:t>
      </w:r>
    </w:p>
    <w:p>
      <w:pPr>
        <w:pStyle w:val="NormalNumberedtext"/>
      </w:pPr>
    </w:p>
    <w:p>
      <w:pPr>
        <w:pStyle w:val="Heading2Numbered"/>
        <w:numPr>
          <w:ilvl w:val="1"/>
          <w:numId w:val="1"/>
        </w:numPr>
      </w:pPr>
      <w:r>
        <w:rPr>
          <w:rFonts w:ascii="Arial" w:hAnsi="Arial" w:cs="Arial" w:eastAsia="Arial"/>
        </w:rPr>
        <w:t>Investigation and Performance Reporting</w:t>
      </w:r>
    </w:p>
    <w:p>
      <w:pPr>
        <w:pStyle w:val="NormalNumberedtext"/>
      </w:pPr>
      <w:r>
        <w:t>Root cause analysis is required for all Tier 1 and Tier 2 events, and process safety performance data is trended and reported each period.</w:t>
      </w:r>
    </w:p>
    <w:p>
      <w:pPr>
        <w:pStyle w:val="NormalNumberedtext"/>
      </w:pPr>
      <w:r>
        <w:t>The HSESC Manager initiates a root cause analysis for every Tier 1 and Tier 2 process safety event within 24 hours of classification. The investigation applies a structured root cause methodology and produces findings and corrective actions within the timeframes defined in the project incident management requirements; refer [INSERT: Project Document Number].</w:t>
      </w:r>
    </w:p>
    <w:p>
      <w:pPr>
        <w:pStyle w:val="NormalNumberedtext"/>
      </w:pPr>
      <w:r>
        <w:t>Process safety event data is captured in the incident management system, trended by the HSESC Manager across Tier 1, Tier 2, and Tier 3 classifications, and reported as part of the project HSESC performance report each reporting period. Trend analysis identifies precursor patterns and drives preventive action before a higher-tier event occurs.</w:t>
      </w:r>
    </w:p>
    <w:p>
      <w:pPr>
        <w:pStyle w:val="NormalNumberedtext"/>
      </w:pPr>
      <w:r>
        <w:t>Where a process safety event involves or has potential to involve a release that could affect communities or the environment, the HSESC Manager initiates a review of the project environmental and social impact assessment to determine whether an update is required, consistent with IFC PS3 §8. The outcome of that review is documented and retained in the project management system.</w:t>
      </w:r>
    </w:p>
    <w:p>
      <w:pPr>
        <w:pStyle w:val="NormalNumberedtext"/>
      </w:pPr>
      <w:r>
        <w:t>The process safety performance report submitted each reporting period includes the following minimum data:</w:t>
      </w:r>
    </w:p>
    <w:p>
      <w:pPr>
        <w:pStyle w:val="NumberedBulletL1"/>
      </w:pPr>
      <w:r>
        <w:t>Count of Tier 1, Tier 2, and Tier 3 events for the period and cumulative year to date</w:t>
      </w:r>
    </w:p>
    <w:p>
      <w:pPr>
        <w:pStyle w:val="NumberedBulletL1"/>
      </w:pPr>
      <w:r>
        <w:t>Status of all open investigation actions from Tier 1 and Tier 2 events</w:t>
      </w:r>
    </w:p>
    <w:p>
      <w:pPr>
        <w:pStyle w:val="NumberedBulletL1"/>
      </w:pPr>
      <w:r>
        <w:t>Number and duration of active safety device bypasses</w:t>
      </w:r>
    </w:p>
    <w:p>
      <w:pPr>
        <w:pStyle w:val="NumberedBulletL1"/>
      </w:pPr>
      <w:r>
        <w:rPr>
          <w:color w:val="C55A11"/>
        </w:rPr>
        <w:t>Number of overdue mechanical integrity inspections as a leading indicator of programme health</w:t>
      </w:r>
    </w:p>
    <w:p>
      <w:pPr>
        <w:pStyle w:val="NumberedBulletL1"/>
      </w:pPr>
      <w:r>
        <w:t>Number of HAZOP actions closed versus outstanding</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ALARP</w:t>
            </w:r>
          </w:p>
        </w:tc>
        <w:tc>
          <w:tcPr>
            <w:tcW w:type="dxa" w:w="4889"/>
          </w:tcPr>
          <w:p>
            <w:pPr>
              <w:pStyle w:val="TableContents"/>
              <w:spacing w:before="0" w:after="0" w:line="240" w:lineRule="atLeast"/>
            </w:pPr>
            <w:r>
              <w:rPr>
                <w:rFonts w:ascii="Arial" w:hAnsi="Arial" w:cs="Arial" w:eastAsia="Arial"/>
                <w:sz w:val="16"/>
                <w:szCs w:val="16"/>
              </w:rPr>
              <w:t>As Low As Reasonably Practicable - a principle requiring that risks are reduced to a level where the cost of further reduction is grossly disproportionate to the benefit gained.</w:t>
            </w:r>
          </w:p>
        </w:tc>
      </w:tr>
      <w:tr>
        <w:tc>
          <w:tcPr>
            <w:tcW w:type="dxa" w:w="4888"/>
          </w:tcPr>
          <w:p>
            <w:pPr>
              <w:pStyle w:val="TableContents"/>
              <w:spacing w:before="0" w:after="0" w:line="240" w:lineRule="atLeast"/>
            </w:pPr>
            <w:r>
              <w:rPr>
                <w:rFonts w:ascii="Arial" w:hAnsi="Arial" w:cs="Arial" w:eastAsia="Arial"/>
                <w:sz w:val="16"/>
                <w:szCs w:val="16"/>
              </w:rPr>
              <w:t>BPCS</w:t>
            </w:r>
          </w:p>
        </w:tc>
        <w:tc>
          <w:tcPr>
            <w:tcW w:type="dxa" w:w="4889"/>
          </w:tcPr>
          <w:p>
            <w:pPr>
              <w:pStyle w:val="TableContents"/>
              <w:spacing w:before="0" w:after="0" w:line="240" w:lineRule="atLeast"/>
            </w:pPr>
            <w:r>
              <w:rPr>
                <w:rFonts w:ascii="Arial" w:hAnsi="Arial" w:cs="Arial" w:eastAsia="Arial"/>
                <w:sz w:val="16"/>
                <w:szCs w:val="16"/>
              </w:rPr>
              <w:t>Basic Process Control System - the primary control system used to maintain normal process operating conditions, distinct from safety instrumented systems.</w:t>
            </w:r>
          </w:p>
        </w:tc>
      </w:tr>
      <w:tr>
        <w:tc>
          <w:tcPr>
            <w:tcW w:type="dxa" w:w="4888"/>
          </w:tcPr>
          <w:p>
            <w:pPr>
              <w:pStyle w:val="TableContents"/>
              <w:spacing w:before="0" w:after="0" w:line="240" w:lineRule="atLeast"/>
            </w:pPr>
            <w:r>
              <w:rPr>
                <w:rFonts w:ascii="Arial" w:hAnsi="Arial" w:cs="Arial" w:eastAsia="Arial"/>
                <w:sz w:val="16"/>
                <w:szCs w:val="16"/>
              </w:rPr>
              <w:t>BOW-TIE</w:t>
            </w:r>
          </w:p>
        </w:tc>
        <w:tc>
          <w:tcPr>
            <w:tcW w:type="dxa" w:w="4889"/>
          </w:tcPr>
          <w:p>
            <w:pPr>
              <w:pStyle w:val="TableContents"/>
              <w:spacing w:before="0" w:after="0" w:line="240" w:lineRule="atLeast"/>
            </w:pPr>
            <w:r>
              <w:rPr>
                <w:rFonts w:ascii="Arial" w:hAnsi="Arial" w:cs="Arial" w:eastAsia="Arial"/>
                <w:sz w:val="16"/>
                <w:szCs w:val="16"/>
              </w:rPr>
              <w:t>A risk analysis diagram that visually maps the relationship between hazard causes, the top event, consequences, preventive barriers, and mitigative barriers.</w:t>
            </w:r>
          </w:p>
        </w:tc>
      </w:tr>
      <w:tr>
        <w:tc>
          <w:tcPr>
            <w:tcW w:type="dxa" w:w="4888"/>
          </w:tcPr>
          <w:p>
            <w:pPr>
              <w:pStyle w:val="TableContents"/>
              <w:spacing w:before="0" w:after="0" w:line="240" w:lineRule="atLeast"/>
            </w:pPr>
            <w:r>
              <w:rPr>
                <w:rFonts w:ascii="Arial" w:hAnsi="Arial" w:cs="Arial" w:eastAsia="Arial"/>
                <w:sz w:val="16"/>
                <w:szCs w:val="16"/>
              </w:rPr>
              <w:t>CCPS</w:t>
            </w:r>
          </w:p>
        </w:tc>
        <w:tc>
          <w:tcPr>
            <w:tcW w:type="dxa" w:w="4889"/>
          </w:tcPr>
          <w:p>
            <w:pPr>
              <w:pStyle w:val="TableContents"/>
              <w:spacing w:before="0" w:after="0" w:line="240" w:lineRule="atLeast"/>
            </w:pPr>
            <w:r>
              <w:rPr>
                <w:rFonts w:ascii="Arial" w:hAnsi="Arial" w:cs="Arial" w:eastAsia="Arial"/>
                <w:sz w:val="16"/>
                <w:szCs w:val="16"/>
              </w:rPr>
              <w:t>Center for Chemical Process Safety - an organisation that develops and disseminates technical information for use in the prevention of major chemical accidents.</w:t>
            </w:r>
          </w:p>
        </w:tc>
      </w:tr>
      <w:tr>
        <w:tc>
          <w:tcPr>
            <w:tcW w:type="dxa" w:w="4888"/>
          </w:tcPr>
          <w:p>
            <w:pPr>
              <w:pStyle w:val="TableContents"/>
              <w:spacing w:before="0" w:after="0" w:line="240" w:lineRule="atLeast"/>
            </w:pPr>
            <w:r>
              <w:rPr>
                <w:rFonts w:ascii="Arial" w:hAnsi="Arial" w:cs="Arial" w:eastAsia="Arial"/>
                <w:sz w:val="16"/>
                <w:szCs w:val="16"/>
              </w:rPr>
              <w:t>CFR</w:t>
            </w:r>
          </w:p>
        </w:tc>
        <w:tc>
          <w:tcPr>
            <w:tcW w:type="dxa" w:w="4889"/>
          </w:tcPr>
          <w:p>
            <w:pPr>
              <w:pStyle w:val="TableContents"/>
              <w:spacing w:before="0" w:after="0" w:line="240" w:lineRule="atLeast"/>
            </w:pPr>
            <w:r>
              <w:rPr>
                <w:rFonts w:ascii="Arial" w:hAnsi="Arial" w:cs="Arial" w:eastAsia="Arial"/>
                <w:sz w:val="16"/>
                <w:szCs w:val="16"/>
              </w:rPr>
              <w:t>Critical Failure Rate - the frequency at which a safety-critical component or system fails in a manner that could lead to a loss of containment or other process safety event.</w:t>
            </w:r>
          </w:p>
        </w:tc>
      </w:tr>
      <w:tr>
        <w:tc>
          <w:tcPr>
            <w:tcW w:type="dxa" w:w="4888"/>
          </w:tcPr>
          <w:p>
            <w:pPr>
              <w:pStyle w:val="TableContents"/>
              <w:spacing w:before="0" w:after="0" w:line="240" w:lineRule="atLeast"/>
            </w:pPr>
            <w:r>
              <w:rPr>
                <w:rFonts w:ascii="Arial" w:hAnsi="Arial" w:cs="Arial" w:eastAsia="Arial"/>
                <w:sz w:val="16"/>
                <w:szCs w:val="16"/>
              </w:rPr>
              <w:t>CSS</w:t>
            </w:r>
          </w:p>
        </w:tc>
        <w:tc>
          <w:tcPr>
            <w:tcW w:type="dxa" w:w="4889"/>
          </w:tcPr>
          <w:p>
            <w:pPr>
              <w:pStyle w:val="TableContents"/>
              <w:spacing w:before="0" w:after="0" w:line="240" w:lineRule="atLeast"/>
            </w:pPr>
            <w:r>
              <w:rPr>
                <w:rFonts w:ascii="Arial" w:hAnsi="Arial" w:cs="Arial" w:eastAsia="Arial"/>
                <w:sz w:val="16"/>
                <w:szCs w:val="16"/>
              </w:rPr>
              <w:t>Critical Safety System - any system, component, or assembly whose failure or bypass could directly lead to a major accident event or loss of primary containment.</w:t>
            </w:r>
          </w:p>
        </w:tc>
      </w:tr>
      <w:tr>
        <w:tc>
          <w:tcPr>
            <w:tcW w:type="dxa" w:w="4888"/>
          </w:tcPr>
          <w:p>
            <w:pPr>
              <w:pStyle w:val="TableContents"/>
              <w:spacing w:before="0" w:after="0" w:line="240" w:lineRule="atLeast"/>
            </w:pPr>
            <w:r>
              <w:rPr>
                <w:rFonts w:ascii="Arial" w:hAnsi="Arial" w:cs="Arial" w:eastAsia="Arial"/>
                <w:sz w:val="16"/>
                <w:szCs w:val="16"/>
              </w:rPr>
              <w:t>ESD</w:t>
            </w:r>
          </w:p>
        </w:tc>
        <w:tc>
          <w:tcPr>
            <w:tcW w:type="dxa" w:w="4889"/>
          </w:tcPr>
          <w:p>
            <w:pPr>
              <w:pStyle w:val="TableContents"/>
              <w:spacing w:before="0" w:after="0" w:line="240" w:lineRule="atLeast"/>
            </w:pPr>
            <w:r>
              <w:rPr>
                <w:rFonts w:ascii="Arial" w:hAnsi="Arial" w:cs="Arial" w:eastAsia="Arial"/>
                <w:sz w:val="16"/>
                <w:szCs w:val="16"/>
              </w:rPr>
              <w:t>Emergency Shutdown - a system or action designed to bring a process to a safe state in response to a detected hazardous condition.</w:t>
            </w:r>
          </w:p>
        </w:tc>
      </w:tr>
      <w:tr>
        <w:tc>
          <w:tcPr>
            <w:tcW w:type="dxa" w:w="4888"/>
          </w:tcPr>
          <w:p>
            <w:pPr>
              <w:pStyle w:val="TableContents"/>
              <w:spacing w:before="0" w:after="0" w:line="240" w:lineRule="atLeast"/>
            </w:pPr>
            <w:r>
              <w:rPr>
                <w:rFonts w:ascii="Arial" w:hAnsi="Arial" w:cs="Arial" w:eastAsia="Arial"/>
                <w:sz w:val="16"/>
                <w:szCs w:val="16"/>
              </w:rPr>
              <w:t>FERA</w:t>
            </w:r>
          </w:p>
        </w:tc>
        <w:tc>
          <w:tcPr>
            <w:tcW w:type="dxa" w:w="4889"/>
          </w:tcPr>
          <w:p>
            <w:pPr>
              <w:pStyle w:val="TableContents"/>
              <w:spacing w:before="0" w:after="0" w:line="240" w:lineRule="atLeast"/>
            </w:pPr>
            <w:r>
              <w:rPr>
                <w:rFonts w:ascii="Arial" w:hAnsi="Arial" w:cs="Arial" w:eastAsia="Arial"/>
                <w:sz w:val="16"/>
                <w:szCs w:val="16"/>
              </w:rPr>
              <w:t>Fire and Explosion Risk Assessment - a quantitative or qualitative assessment of the risks arising from fire and explosion hazards within a process facility.</w:t>
            </w:r>
          </w:p>
        </w:tc>
      </w:tr>
      <w:tr>
        <w:tc>
          <w:tcPr>
            <w:tcW w:type="dxa" w:w="4888"/>
          </w:tcPr>
          <w:p>
            <w:pPr>
              <w:pStyle w:val="TableContents"/>
              <w:spacing w:before="0" w:after="0" w:line="240" w:lineRule="atLeast"/>
            </w:pPr>
            <w:r>
              <w:rPr>
                <w:rFonts w:ascii="Arial" w:hAnsi="Arial" w:cs="Arial" w:eastAsia="Arial"/>
                <w:sz w:val="16"/>
                <w:szCs w:val="16"/>
              </w:rPr>
              <w:t>HAZID</w:t>
            </w:r>
          </w:p>
        </w:tc>
        <w:tc>
          <w:tcPr>
            <w:tcW w:type="dxa" w:w="4889"/>
          </w:tcPr>
          <w:p>
            <w:pPr>
              <w:pStyle w:val="TableContents"/>
              <w:spacing w:before="0" w:after="0" w:line="240" w:lineRule="atLeast"/>
            </w:pPr>
            <w:r>
              <w:rPr>
                <w:rFonts w:ascii="Arial" w:hAnsi="Arial" w:cs="Arial" w:eastAsia="Arial"/>
                <w:sz w:val="16"/>
                <w:szCs w:val="16"/>
              </w:rPr>
              <w:t>Hazard Identification - a structured technique used to identify hazards and their potential consequences associated with a process, facility, or activity.</w:t>
            </w:r>
          </w:p>
        </w:tc>
      </w:tr>
      <w:tr>
        <w:tc>
          <w:tcPr>
            <w:tcW w:type="dxa" w:w="4888"/>
          </w:tcPr>
          <w:p>
            <w:pPr>
              <w:pStyle w:val="TableContents"/>
              <w:spacing w:before="0" w:after="0" w:line="240" w:lineRule="atLeast"/>
            </w:pPr>
            <w:r>
              <w:rPr>
                <w:rFonts w:ascii="Arial" w:hAnsi="Arial" w:cs="Arial" w:eastAsia="Arial"/>
                <w:sz w:val="16"/>
                <w:szCs w:val="16"/>
              </w:rPr>
              <w:t>HAZOP</w:t>
            </w:r>
          </w:p>
        </w:tc>
        <w:tc>
          <w:tcPr>
            <w:tcW w:type="dxa" w:w="4889"/>
          </w:tcPr>
          <w:p>
            <w:pPr>
              <w:pStyle w:val="TableContents"/>
              <w:spacing w:before="0" w:after="0" w:line="240" w:lineRule="atLeast"/>
            </w:pPr>
            <w:r>
              <w:rPr>
                <w:rFonts w:ascii="Arial" w:hAnsi="Arial" w:cs="Arial" w:eastAsia="Arial"/>
                <w:sz w:val="16"/>
                <w:szCs w:val="16"/>
              </w:rPr>
              <w:t>Hazard and Operability Study - a structured and systematic examination of a planned or existing process or operation in order to identify and evaluate problems that may represent risks to personnel, equipment, or the environment.</w:t>
            </w:r>
          </w:p>
        </w:tc>
      </w:tr>
      <w:tr>
        <w:tc>
          <w:tcPr>
            <w:tcW w:type="dxa" w:w="4888"/>
          </w:tcPr>
          <w:p>
            <w:pPr>
              <w:pStyle w:val="TableContents"/>
              <w:spacing w:before="0" w:after="0" w:line="240" w:lineRule="atLeast"/>
            </w:pPr>
            <w:r>
              <w:rPr>
                <w:rFonts w:ascii="Arial" w:hAnsi="Arial" w:cs="Arial" w:eastAsia="Arial"/>
                <w:sz w:val="16"/>
                <w:szCs w:val="16"/>
              </w:rPr>
              <w:t>HEMP</w:t>
            </w:r>
          </w:p>
        </w:tc>
        <w:tc>
          <w:tcPr>
            <w:tcW w:type="dxa" w:w="4889"/>
          </w:tcPr>
          <w:p>
            <w:pPr>
              <w:pStyle w:val="TableContents"/>
              <w:spacing w:before="0" w:after="0" w:line="240" w:lineRule="atLeast"/>
            </w:pPr>
            <w:r>
              <w:rPr>
                <w:rFonts w:ascii="Arial" w:hAnsi="Arial" w:cs="Arial" w:eastAsia="Arial"/>
                <w:sz w:val="16"/>
                <w:szCs w:val="16"/>
              </w:rPr>
              <w:t>Hazard and Effects Management Process - Rio Tinto's structured framework for identifying hazards, assessing effects, and implementing controls to manage risk.</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organisational function and set of practices concerned with protecting the health and safety of workers and preventing environmental harm.</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Socio-Cultural - the integrated management framework applied across Rio Tinto owner-led projects addressing health, safety, environmental, and socio-cultural risks.</w:t>
            </w:r>
          </w:p>
        </w:tc>
      </w:tr>
      <w:tr>
        <w:tc>
          <w:tcPr>
            <w:tcW w:type="dxa" w:w="4888"/>
          </w:tcPr>
          <w:p>
            <w:pPr>
              <w:pStyle w:val="TableContents"/>
              <w:spacing w:before="0" w:after="0" w:line="240" w:lineRule="atLeast"/>
            </w:pPr>
            <w:r>
              <w:rPr>
                <w:rFonts w:ascii="Arial" w:hAnsi="Arial" w:cs="Arial" w:eastAsia="Arial"/>
                <w:sz w:val="16"/>
                <w:szCs w:val="16"/>
              </w:rPr>
              <w:t>IEC</w:t>
            </w:r>
          </w:p>
        </w:tc>
        <w:tc>
          <w:tcPr>
            <w:tcW w:type="dxa" w:w="4889"/>
          </w:tcPr>
          <w:p>
            <w:pPr>
              <w:pStyle w:val="TableContents"/>
              <w:spacing w:before="0" w:after="0" w:line="240" w:lineRule="atLeast"/>
            </w:pPr>
            <w:r>
              <w:rPr>
                <w:rFonts w:ascii="Arial" w:hAnsi="Arial" w:cs="Arial" w:eastAsia="Arial"/>
                <w:sz w:val="16"/>
                <w:szCs w:val="16"/>
              </w:rPr>
              <w:t>International Electrotechnical Commission - an international standards body that publishes standards for electrical, electronic, and related technologies, including IEC 61508 and IEC 61511 for functional safety.</w:t>
            </w:r>
          </w:p>
        </w:tc>
      </w:tr>
      <w:tr>
        <w:tc>
          <w:tcPr>
            <w:tcW w:type="dxa" w:w="4888"/>
          </w:tcPr>
          <w:p>
            <w:pPr>
              <w:pStyle w:val="TableContents"/>
              <w:spacing w:before="0" w:after="0" w:line="240" w:lineRule="atLeast"/>
            </w:pPr>
            <w:r>
              <w:rPr>
                <w:rFonts w:ascii="Arial" w:hAnsi="Arial" w:cs="Arial" w:eastAsia="Arial"/>
                <w:sz w:val="16"/>
                <w:szCs w:val="16"/>
              </w:rPr>
              <w:t>IPL</w:t>
            </w:r>
          </w:p>
        </w:tc>
        <w:tc>
          <w:tcPr>
            <w:tcW w:type="dxa" w:w="4889"/>
          </w:tcPr>
          <w:p>
            <w:pPr>
              <w:pStyle w:val="TableContents"/>
              <w:spacing w:before="0" w:after="0" w:line="240" w:lineRule="atLeast"/>
            </w:pPr>
            <w:r>
              <w:rPr>
                <w:rFonts w:ascii="Arial" w:hAnsi="Arial" w:cs="Arial" w:eastAsia="Arial"/>
                <w:sz w:val="16"/>
                <w:szCs w:val="16"/>
              </w:rPr>
              <w:t>Independent Protection Layer - a safeguard, device, system, or action that is capable of preventing a scenario from proceeding to an undesired consequence, independent of the initiating cause and other protection layers.</w:t>
            </w:r>
          </w:p>
        </w:tc>
      </w:tr>
      <w:tr>
        <w:tc>
          <w:tcPr>
            <w:tcW w:type="dxa" w:w="4888"/>
          </w:tcPr>
          <w:p>
            <w:pPr>
              <w:pStyle w:val="TableContents"/>
              <w:spacing w:before="0" w:after="0" w:line="240" w:lineRule="atLeast"/>
            </w:pPr>
            <w:r>
              <w:rPr>
                <w:rFonts w:ascii="Arial" w:hAnsi="Arial" w:cs="Arial" w:eastAsia="Arial"/>
                <w:sz w:val="16"/>
                <w:szCs w:val="16"/>
              </w:rPr>
              <w:t>LOPA</w:t>
            </w:r>
          </w:p>
        </w:tc>
        <w:tc>
          <w:tcPr>
            <w:tcW w:type="dxa" w:w="4889"/>
          </w:tcPr>
          <w:p>
            <w:pPr>
              <w:pStyle w:val="TableContents"/>
              <w:spacing w:before="0" w:after="0" w:line="240" w:lineRule="atLeast"/>
            </w:pPr>
            <w:r>
              <w:rPr>
                <w:rFonts w:ascii="Arial" w:hAnsi="Arial" w:cs="Arial" w:eastAsia="Arial"/>
                <w:sz w:val="16"/>
                <w:szCs w:val="16"/>
              </w:rPr>
              <w:t>Layer of Protection Analysis - a semi-quantitative risk assessment method used to evaluate whether the existing or proposed independent protection layers are sufficient to reduce the risk of a hazardous scenario to a tolerable level.</w:t>
            </w:r>
          </w:p>
        </w:tc>
      </w:tr>
      <w:tr>
        <w:tc>
          <w:tcPr>
            <w:tcW w:type="dxa" w:w="4888"/>
          </w:tcPr>
          <w:p>
            <w:pPr>
              <w:pStyle w:val="TableContents"/>
              <w:spacing w:before="0" w:after="0" w:line="240" w:lineRule="atLeast"/>
            </w:pPr>
            <w:r>
              <w:rPr>
                <w:rFonts w:ascii="Arial" w:hAnsi="Arial" w:cs="Arial" w:eastAsia="Arial"/>
                <w:sz w:val="16"/>
                <w:szCs w:val="16"/>
              </w:rPr>
              <w:t>LOPC</w:t>
            </w:r>
          </w:p>
        </w:tc>
        <w:tc>
          <w:tcPr>
            <w:tcW w:type="dxa" w:w="4889"/>
          </w:tcPr>
          <w:p>
            <w:pPr>
              <w:pStyle w:val="TableContents"/>
              <w:spacing w:before="0" w:after="0" w:line="240" w:lineRule="atLeast"/>
            </w:pPr>
            <w:r>
              <w:rPr>
                <w:rFonts w:ascii="Arial" w:hAnsi="Arial" w:cs="Arial" w:eastAsia="Arial"/>
                <w:sz w:val="16"/>
                <w:szCs w:val="16"/>
              </w:rPr>
              <w:t>Loss of Primary Containment - an unplanned or uncontrolled release of material from its intended containment, including gases, liquids, or solids.</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Management of Change - a formal process for reviewing, approving, and documenting changes to process design, equipment, procedures, or organisational factors to ensure that risks introduced by change are identified and controlled.</w:t>
            </w:r>
          </w:p>
        </w:tc>
      </w:tr>
      <w:tr>
        <w:tc>
          <w:tcPr>
            <w:tcW w:type="dxa" w:w="4888"/>
          </w:tcPr>
          <w:p>
            <w:pPr>
              <w:pStyle w:val="TableContents"/>
              <w:spacing w:before="0" w:after="0" w:line="240" w:lineRule="atLeast"/>
            </w:pPr>
            <w:r>
              <w:rPr>
                <w:rFonts w:ascii="Arial" w:hAnsi="Arial" w:cs="Arial" w:eastAsia="Arial"/>
                <w:sz w:val="16"/>
                <w:szCs w:val="16"/>
              </w:rPr>
              <w:t>MRB</w:t>
            </w:r>
          </w:p>
        </w:tc>
        <w:tc>
          <w:tcPr>
            <w:tcW w:type="dxa" w:w="4889"/>
          </w:tcPr>
          <w:p>
            <w:pPr>
              <w:pStyle w:val="TableContents"/>
              <w:spacing w:before="0" w:after="0" w:line="240" w:lineRule="atLeast"/>
            </w:pPr>
            <w:r>
              <w:rPr>
                <w:rFonts w:ascii="Arial" w:hAnsi="Arial" w:cs="Arial" w:eastAsia="Arial"/>
                <w:sz w:val="16"/>
                <w:szCs w:val="16"/>
              </w:rPr>
              <w:t>Major Risk Bow-Tie - a bowtie risk model used by Rio Tinto to document and manage the controls for major hazard scenarios at the asset level.</w:t>
            </w:r>
          </w:p>
        </w:tc>
      </w:tr>
      <w:tr>
        <w:tc>
          <w:tcPr>
            <w:tcW w:type="dxa" w:w="4888"/>
          </w:tcPr>
          <w:p>
            <w:pPr>
              <w:pStyle w:val="TableContents"/>
              <w:spacing w:before="0" w:after="0" w:line="240" w:lineRule="atLeast"/>
            </w:pPr>
            <w:r>
              <w:rPr>
                <w:rFonts w:ascii="Arial" w:hAnsi="Arial" w:cs="Arial" w:eastAsia="Arial"/>
                <w:sz w:val="16"/>
                <w:szCs w:val="16"/>
              </w:rPr>
              <w:t>P&amp;ID</w:t>
            </w:r>
          </w:p>
        </w:tc>
        <w:tc>
          <w:tcPr>
            <w:tcW w:type="dxa" w:w="4889"/>
          </w:tcPr>
          <w:p>
            <w:pPr>
              <w:pStyle w:val="TableContents"/>
              <w:spacing w:before="0" w:after="0" w:line="240" w:lineRule="atLeast"/>
            </w:pPr>
            <w:r>
              <w:rPr>
                <w:rFonts w:ascii="Arial" w:hAnsi="Arial" w:cs="Arial" w:eastAsia="Arial"/>
                <w:sz w:val="16"/>
                <w:szCs w:val="16"/>
              </w:rPr>
              <w:t>Piping and Instrumentation Diagram - a detailed diagram that shows the piping and related components of a physical process flow, including instrumentation and control devices.</w:t>
            </w:r>
          </w:p>
        </w:tc>
      </w:tr>
      <w:tr>
        <w:tc>
          <w:tcPr>
            <w:tcW w:type="dxa" w:w="4888"/>
          </w:tcPr>
          <w:p>
            <w:pPr>
              <w:pStyle w:val="TableContents"/>
              <w:spacing w:before="0" w:after="0" w:line="240" w:lineRule="atLeast"/>
            </w:pPr>
            <w:r>
              <w:rPr>
                <w:rFonts w:ascii="Arial" w:hAnsi="Arial" w:cs="Arial" w:eastAsia="Arial"/>
                <w:sz w:val="16"/>
                <w:szCs w:val="16"/>
              </w:rPr>
              <w:t>PFD</w:t>
            </w:r>
          </w:p>
        </w:tc>
        <w:tc>
          <w:tcPr>
            <w:tcW w:type="dxa" w:w="4889"/>
          </w:tcPr>
          <w:p>
            <w:pPr>
              <w:pStyle w:val="TableContents"/>
              <w:spacing w:before="0" w:after="0" w:line="240" w:lineRule="atLeast"/>
            </w:pPr>
            <w:r>
              <w:rPr>
                <w:rFonts w:ascii="Arial" w:hAnsi="Arial" w:cs="Arial" w:eastAsia="Arial"/>
                <w:sz w:val="16"/>
                <w:szCs w:val="16"/>
              </w:rPr>
              <w:t>Probability of Failure on Demand - a measure of the likelihood that a safety instrumented function will fail to respond correctly when a demand is placed upon it.</w:t>
            </w:r>
          </w:p>
        </w:tc>
      </w:tr>
      <w:tr>
        <w:tc>
          <w:tcPr>
            <w:tcW w:type="dxa" w:w="4888"/>
          </w:tcPr>
          <w:p>
            <w:pPr>
              <w:pStyle w:val="TableContents"/>
              <w:spacing w:before="0" w:after="0" w:line="240" w:lineRule="atLeast"/>
            </w:pPr>
            <w:r>
              <w:rPr>
                <w:rFonts w:ascii="Arial" w:hAnsi="Arial" w:cs="Arial" w:eastAsia="Arial"/>
                <w:sz w:val="16"/>
                <w:szCs w:val="16"/>
              </w:rPr>
              <w:t>PHA</w:t>
            </w:r>
          </w:p>
        </w:tc>
        <w:tc>
          <w:tcPr>
            <w:tcW w:type="dxa" w:w="4889"/>
          </w:tcPr>
          <w:p>
            <w:pPr>
              <w:pStyle w:val="TableContents"/>
              <w:spacing w:before="0" w:after="0" w:line="240" w:lineRule="atLeast"/>
            </w:pPr>
            <w:r>
              <w:rPr>
                <w:rFonts w:ascii="Arial" w:hAnsi="Arial" w:cs="Arial" w:eastAsia="Arial"/>
                <w:sz w:val="16"/>
                <w:szCs w:val="16"/>
              </w:rPr>
              <w:t>Process Hazard Analysis - a systematic assessment of the potential hazards associated with an industrial process, used to identify scenarios that could result in accidents, injuries, or environmental harm.</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instructions specifying the approved method for carrying out an activity within the Rio Tinto project management system.</w:t>
            </w:r>
          </w:p>
        </w:tc>
      </w:tr>
      <w:tr>
        <w:tc>
          <w:tcPr>
            <w:tcW w:type="dxa" w:w="4888"/>
          </w:tcPr>
          <w:p>
            <w:pPr>
              <w:pStyle w:val="TableContents"/>
              <w:spacing w:before="0" w:after="0" w:line="240" w:lineRule="atLeast"/>
            </w:pPr>
            <w:r>
              <w:rPr>
                <w:rFonts w:ascii="Arial" w:hAnsi="Arial" w:cs="Arial" w:eastAsia="Arial"/>
                <w:sz w:val="16"/>
                <w:szCs w:val="16"/>
              </w:rPr>
              <w:t>PSE</w:t>
            </w:r>
          </w:p>
        </w:tc>
        <w:tc>
          <w:tcPr>
            <w:tcW w:type="dxa" w:w="4889"/>
          </w:tcPr>
          <w:p>
            <w:pPr>
              <w:pStyle w:val="TableContents"/>
              <w:spacing w:before="0" w:after="0" w:line="240" w:lineRule="atLeast"/>
            </w:pPr>
            <w:r>
              <w:rPr>
                <w:rFonts w:ascii="Arial" w:hAnsi="Arial" w:cs="Arial" w:eastAsia="Arial"/>
                <w:sz w:val="16"/>
                <w:szCs w:val="16"/>
              </w:rPr>
              <w:t>Process Safety Event - an unplanned or uncontrolled release of any material, including non-toxic and non-flammable materials, from a process or an undesired event involving a safety system failure.</w:t>
            </w:r>
          </w:p>
        </w:tc>
      </w:tr>
      <w:tr>
        <w:tc>
          <w:tcPr>
            <w:tcW w:type="dxa" w:w="4888"/>
          </w:tcPr>
          <w:p>
            <w:pPr>
              <w:pStyle w:val="TableContents"/>
              <w:spacing w:before="0" w:after="0" w:line="240" w:lineRule="atLeast"/>
            </w:pPr>
            <w:r>
              <w:rPr>
                <w:rFonts w:ascii="Arial" w:hAnsi="Arial" w:cs="Arial" w:eastAsia="Arial"/>
                <w:sz w:val="16"/>
                <w:szCs w:val="16"/>
              </w:rPr>
              <w:t>PSI</w:t>
            </w:r>
          </w:p>
        </w:tc>
        <w:tc>
          <w:tcPr>
            <w:tcW w:type="dxa" w:w="4889"/>
          </w:tcPr>
          <w:p>
            <w:pPr>
              <w:pStyle w:val="TableContents"/>
              <w:spacing w:before="0" w:after="0" w:line="240" w:lineRule="atLeast"/>
            </w:pPr>
            <w:r>
              <w:rPr>
                <w:rFonts w:ascii="Arial" w:hAnsi="Arial" w:cs="Arial" w:eastAsia="Arial"/>
                <w:sz w:val="16"/>
                <w:szCs w:val="16"/>
              </w:rPr>
              <w:t>Process Safety Information - the compilation of written documents describing the hazards of the chemicals used or produced, the technology of the process, and the equipment used in the process.</w:t>
            </w:r>
          </w:p>
        </w:tc>
      </w:tr>
      <w:tr>
        <w:tc>
          <w:tcPr>
            <w:tcW w:type="dxa" w:w="4888"/>
          </w:tcPr>
          <w:p>
            <w:pPr>
              <w:pStyle w:val="TableContents"/>
              <w:spacing w:before="0" w:after="0" w:line="240" w:lineRule="atLeast"/>
            </w:pPr>
            <w:r>
              <w:rPr>
                <w:rFonts w:ascii="Arial" w:hAnsi="Arial" w:cs="Arial" w:eastAsia="Arial"/>
                <w:sz w:val="16"/>
                <w:szCs w:val="16"/>
              </w:rPr>
              <w:t>PSM</w:t>
            </w:r>
          </w:p>
        </w:tc>
        <w:tc>
          <w:tcPr>
            <w:tcW w:type="dxa" w:w="4889"/>
          </w:tcPr>
          <w:p>
            <w:pPr>
              <w:pStyle w:val="TableContents"/>
              <w:spacing w:before="0" w:after="0" w:line="240" w:lineRule="atLeast"/>
            </w:pPr>
            <w:r>
              <w:rPr>
                <w:rFonts w:ascii="Arial" w:hAnsi="Arial" w:cs="Arial" w:eastAsia="Arial"/>
                <w:sz w:val="16"/>
                <w:szCs w:val="16"/>
              </w:rPr>
              <w:t>Process Safety Management - the application of management systems, standards, and practices to identify, understand, and control process hazards to prevent process-related injuries and incidents.</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written system used to control work on process systems and other potentially hazardous activities, ensuring that authorisation, risk assessment, and control measures are in place before work commences.</w:t>
            </w:r>
          </w:p>
        </w:tc>
      </w:tr>
      <w:tr>
        <w:tc>
          <w:tcPr>
            <w:tcW w:type="dxa" w:w="4888"/>
          </w:tcPr>
          <w:p>
            <w:pPr>
              <w:pStyle w:val="TableContents"/>
              <w:spacing w:before="0" w:after="0" w:line="240" w:lineRule="atLeast"/>
            </w:pPr>
            <w:r>
              <w:rPr>
                <w:rFonts w:ascii="Arial" w:hAnsi="Arial" w:cs="Arial" w:eastAsia="Arial"/>
                <w:sz w:val="16"/>
                <w:szCs w:val="16"/>
              </w:rPr>
              <w:t>QRA</w:t>
            </w:r>
          </w:p>
        </w:tc>
        <w:tc>
          <w:tcPr>
            <w:tcW w:type="dxa" w:w="4889"/>
          </w:tcPr>
          <w:p>
            <w:pPr>
              <w:pStyle w:val="TableContents"/>
              <w:spacing w:before="0" w:after="0" w:line="240" w:lineRule="atLeast"/>
            </w:pPr>
            <w:r>
              <w:rPr>
                <w:rFonts w:ascii="Arial" w:hAnsi="Arial" w:cs="Arial" w:eastAsia="Arial"/>
                <w:sz w:val="16"/>
                <w:szCs w:val="16"/>
              </w:rPr>
              <w:t>Quantitative Risk Assessment - a formal and systematic approach to quantifying the risks of hazardous scenarios using numerical probability and consequence data.</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metals company under whose standards and procedures this management system document is issued.</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Rio Tinto owner-led project environment for which the HSESC management system procedures are developed and applied.</w:t>
            </w:r>
          </w:p>
        </w:tc>
      </w:tr>
      <w:tr>
        <w:tc>
          <w:tcPr>
            <w:tcW w:type="dxa" w:w="4888"/>
          </w:tcPr>
          <w:p>
            <w:pPr>
              <w:pStyle w:val="TableContents"/>
              <w:spacing w:before="0" w:after="0" w:line="240" w:lineRule="atLeast"/>
            </w:pPr>
            <w:r>
              <w:rPr>
                <w:rFonts w:ascii="Arial" w:hAnsi="Arial" w:cs="Arial" w:eastAsia="Arial"/>
                <w:sz w:val="16"/>
                <w:szCs w:val="16"/>
              </w:rPr>
              <w:t>SIF</w:t>
            </w:r>
          </w:p>
        </w:tc>
        <w:tc>
          <w:tcPr>
            <w:tcW w:type="dxa" w:w="4889"/>
          </w:tcPr>
          <w:p>
            <w:pPr>
              <w:pStyle w:val="TableContents"/>
              <w:spacing w:before="0" w:after="0" w:line="240" w:lineRule="atLeast"/>
            </w:pPr>
            <w:r>
              <w:rPr>
                <w:rFonts w:ascii="Arial" w:hAnsi="Arial" w:cs="Arial" w:eastAsia="Arial"/>
                <w:sz w:val="16"/>
                <w:szCs w:val="16"/>
              </w:rPr>
              <w:t>Safety Instrumented Function - a specific function implemented by a safety instrumented system that is intended to achieve or maintain a safe state of the process in respect of a specific hazardous event.</w:t>
            </w:r>
          </w:p>
        </w:tc>
      </w:tr>
      <w:tr>
        <w:tc>
          <w:tcPr>
            <w:tcW w:type="dxa" w:w="4888"/>
          </w:tcPr>
          <w:p>
            <w:pPr>
              <w:pStyle w:val="TableContents"/>
              <w:spacing w:before="0" w:after="0" w:line="240" w:lineRule="atLeast"/>
            </w:pPr>
            <w:r>
              <w:rPr>
                <w:rFonts w:ascii="Arial" w:hAnsi="Arial" w:cs="Arial" w:eastAsia="Arial"/>
                <w:sz w:val="16"/>
                <w:szCs w:val="16"/>
              </w:rPr>
              <w:t>SIL</w:t>
            </w:r>
          </w:p>
        </w:tc>
        <w:tc>
          <w:tcPr>
            <w:tcW w:type="dxa" w:w="4889"/>
          </w:tcPr>
          <w:p>
            <w:pPr>
              <w:pStyle w:val="TableContents"/>
              <w:spacing w:before="0" w:after="0" w:line="240" w:lineRule="atLeast"/>
            </w:pPr>
            <w:r>
              <w:rPr>
                <w:rFonts w:ascii="Arial" w:hAnsi="Arial" w:cs="Arial" w:eastAsia="Arial"/>
                <w:sz w:val="16"/>
                <w:szCs w:val="16"/>
              </w:rPr>
              <w:t>Safety Integrity Level - a discrete level corresponding to a range of safety integrity values, used to specify the required risk-reduction performance of a safety instrumented function. Levels range from SIL 1 (lowest) to SIL 4 (highest).</w:t>
            </w:r>
          </w:p>
        </w:tc>
      </w:tr>
      <w:tr>
        <w:tc>
          <w:tcPr>
            <w:tcW w:type="dxa" w:w="4888"/>
          </w:tcPr>
          <w:p>
            <w:pPr>
              <w:pStyle w:val="TableContents"/>
              <w:spacing w:before="0" w:after="0" w:line="240" w:lineRule="atLeast"/>
            </w:pPr>
            <w:r>
              <w:rPr>
                <w:rFonts w:ascii="Arial" w:hAnsi="Arial" w:cs="Arial" w:eastAsia="Arial"/>
                <w:sz w:val="16"/>
                <w:szCs w:val="16"/>
              </w:rPr>
              <w:t>SIS</w:t>
            </w:r>
          </w:p>
        </w:tc>
        <w:tc>
          <w:tcPr>
            <w:tcW w:type="dxa" w:w="4889"/>
          </w:tcPr>
          <w:p>
            <w:pPr>
              <w:pStyle w:val="TableContents"/>
              <w:spacing w:before="0" w:after="0" w:line="240" w:lineRule="atLeast"/>
            </w:pPr>
            <w:r>
              <w:rPr>
                <w:rFonts w:ascii="Arial" w:hAnsi="Arial" w:cs="Arial" w:eastAsia="Arial"/>
                <w:sz w:val="16"/>
                <w:szCs w:val="16"/>
              </w:rPr>
              <w:t>Safety Instrumented System - an instrumented system used to implement one or more safety instrumented functions, composed of sensors, logic solvers, and final elements.</w:t>
            </w:r>
          </w:p>
        </w:tc>
      </w:tr>
      <w:tr>
        <w:tc>
          <w:tcPr>
            <w:tcW w:type="dxa" w:w="4888"/>
          </w:tcPr>
          <w:p>
            <w:pPr>
              <w:pStyle w:val="TableContents"/>
              <w:spacing w:before="0" w:after="0" w:line="240" w:lineRule="atLeast"/>
            </w:pPr>
            <w:r>
              <w:rPr>
                <w:rFonts w:ascii="Arial" w:hAnsi="Arial" w:cs="Arial" w:eastAsia="Arial"/>
                <w:sz w:val="16"/>
                <w:szCs w:val="16"/>
              </w:rPr>
              <w:t>SOP</w:t>
            </w:r>
          </w:p>
        </w:tc>
        <w:tc>
          <w:tcPr>
            <w:tcW w:type="dxa" w:w="4889"/>
          </w:tcPr>
          <w:p>
            <w:pPr>
              <w:pStyle w:val="TableContents"/>
              <w:spacing w:before="0" w:after="0" w:line="240" w:lineRule="atLeast"/>
            </w:pPr>
            <w:r>
              <w:rPr>
                <w:rFonts w:ascii="Arial" w:hAnsi="Arial" w:cs="Arial" w:eastAsia="Arial"/>
                <w:sz w:val="16"/>
                <w:szCs w:val="16"/>
              </w:rPr>
              <w:t>Standard Operating Procedure - a documented procedure that describes the approved method for performing a routine operational task within a process facility.</w:t>
            </w:r>
          </w:p>
        </w:tc>
      </w:tr>
      <w:tr>
        <w:tc>
          <w:tcPr>
            <w:tcW w:type="dxa" w:w="4888"/>
          </w:tcPr>
          <w:p>
            <w:pPr>
              <w:pStyle w:val="TableContents"/>
              <w:spacing w:before="0" w:after="0" w:line="240" w:lineRule="atLeast"/>
            </w:pPr>
            <w:r>
              <w:rPr>
                <w:rFonts w:ascii="Arial" w:hAnsi="Arial" w:cs="Arial" w:eastAsia="Arial"/>
                <w:sz w:val="16"/>
                <w:szCs w:val="16"/>
              </w:rPr>
              <w:t>SSOW</w:t>
            </w:r>
          </w:p>
        </w:tc>
        <w:tc>
          <w:tcPr>
            <w:tcW w:type="dxa" w:w="4889"/>
          </w:tcPr>
          <w:p>
            <w:pPr>
              <w:pStyle w:val="TableContents"/>
              <w:spacing w:before="0" w:after="0" w:line="240" w:lineRule="atLeast"/>
            </w:pPr>
            <w:r>
              <w:rPr>
                <w:rFonts w:ascii="Arial" w:hAnsi="Arial" w:cs="Arial" w:eastAsia="Arial"/>
                <w:sz w:val="16"/>
                <w:szCs w:val="16"/>
              </w:rPr>
              <w:t>Safe System of Work - an integrated set of procedural, engineering, and administrative controls that together ensure a task can be performed with risks reduced to an acceptable level.</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Functional Safety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Isolation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Management of Change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Commissioning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Major Hazard Risk Assessment Requirements</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Functional Safety of Electrical/Electronic/Programmable Electronic Safety-related Systems</w:t>
            </w:r>
          </w:p>
        </w:tc>
        <w:tc>
          <w:tcPr>
            <w:tcW w:type="dxa" w:w="3259"/>
          </w:tcPr>
          <w:p>
            <w:pPr>
              <w:pStyle w:val="TableContents"/>
              <w:spacing w:before="0" w:after="0" w:line="240" w:lineRule="atLeast"/>
            </w:pPr>
            <w:r>
              <w:rPr>
                <w:rFonts w:ascii="Arial" w:hAnsi="Arial" w:cs="Arial" w:eastAsia="Arial"/>
                <w:sz w:val="16"/>
                <w:szCs w:val="16"/>
              </w:rPr>
              <w:t>IEC 61508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Functional Safety: Safety Instrumented Systems for the Process Industry Sector</w:t>
            </w:r>
          </w:p>
        </w:tc>
        <w:tc>
          <w:tcPr>
            <w:tcW w:type="dxa" w:w="3259"/>
          </w:tcPr>
          <w:p>
            <w:pPr>
              <w:pStyle w:val="TableContents"/>
              <w:spacing w:before="0" w:after="0" w:line="240" w:lineRule="atLeast"/>
            </w:pPr>
            <w:r>
              <w:rPr>
                <w:rFonts w:ascii="Arial" w:hAnsi="Arial" w:cs="Arial" w:eastAsia="Arial"/>
                <w:sz w:val="16"/>
                <w:szCs w:val="16"/>
              </w:rPr>
              <w:t>IEC 61511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Process Safety Management of Highly Hazardous Chemicals</w:t>
            </w:r>
          </w:p>
        </w:tc>
        <w:tc>
          <w:tcPr>
            <w:tcW w:type="dxa" w:w="3259"/>
          </w:tcPr>
          <w:p>
            <w:pPr>
              <w:pStyle w:val="TableContents"/>
              <w:spacing w:before="0" w:after="0" w:line="240" w:lineRule="atLeast"/>
            </w:pPr>
            <w:r>
              <w:rPr>
                <w:rFonts w:ascii="Arial" w:hAnsi="Arial" w:cs="Arial" w:eastAsia="Arial"/>
                <w:sz w:val="16"/>
                <w:szCs w:val="16"/>
              </w:rPr>
              <w:t>OSHA 29 CFR 1910.119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Guidelines for Hazard Evaluation Procedures - Center for Chemical Process Safety</w:t>
            </w:r>
          </w:p>
        </w:tc>
        <w:tc>
          <w:tcPr>
            <w:tcW w:type="dxa" w:w="3259"/>
          </w:tcPr>
          <w:p>
            <w:pPr>
              <w:pStyle w:val="TableContents"/>
              <w:spacing w:before="0" w:after="0" w:line="240" w:lineRule="atLeast"/>
            </w:pPr>
            <w:r>
              <w:rPr>
                <w:rFonts w:ascii="Arial" w:hAnsi="Arial" w:cs="Arial" w:eastAsia="Arial"/>
                <w:sz w:val="16"/>
                <w:szCs w:val="16"/>
              </w:rPr>
              <w:t>CCPS Guidelines for Hazard Evaluation Procedures (3rd Edition)</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Guidelines for Initiating Events and Independent Protection Layers in Layer of Protection Analysis - Center for Chemical Process Safety</w:t>
            </w:r>
          </w:p>
        </w:tc>
        <w:tc>
          <w:tcPr>
            <w:tcW w:type="dxa" w:w="3259"/>
          </w:tcPr>
          <w:p>
            <w:pPr>
              <w:pStyle w:val="TableContents"/>
              <w:spacing w:before="0" w:after="0" w:line="240" w:lineRule="atLeast"/>
            </w:pPr>
            <w:r>
              <w:rPr>
                <w:rFonts w:ascii="Arial" w:hAnsi="Arial" w:cs="Arial" w:eastAsia="Arial"/>
                <w:sz w:val="16"/>
                <w:szCs w:val="16"/>
              </w:rPr>
              <w:t>CCPS Guidelines for LOPA</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Process Safety Performance Indicators for the Refining and Petrochemical Industries</w:t>
            </w:r>
          </w:p>
        </w:tc>
        <w:tc>
          <w:tcPr>
            <w:tcW w:type="dxa" w:w="3259"/>
          </w:tcPr>
          <w:p>
            <w:pPr>
              <w:pStyle w:val="TableContents"/>
              <w:spacing w:before="0" w:after="0" w:line="240" w:lineRule="atLeast"/>
            </w:pPr>
            <w:r>
              <w:rPr>
                <w:rFonts w:ascii="Arial" w:hAnsi="Arial" w:cs="Arial" w:eastAsia="Arial"/>
                <w:sz w:val="16"/>
                <w:szCs w:val="16"/>
              </w:rPr>
              <w:t>API RP 754</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Risk Management - Guidelines</w:t>
            </w:r>
          </w:p>
        </w:tc>
        <w:tc>
          <w:tcPr>
            <w:tcW w:type="dxa" w:w="3259"/>
          </w:tcPr>
          <w:p>
            <w:pPr>
              <w:pStyle w:val="TableContents"/>
              <w:spacing w:before="0" w:after="0" w:line="240" w:lineRule="atLeast"/>
            </w:pPr>
            <w:r>
              <w:rPr>
                <w:rFonts w:ascii="Arial" w:hAnsi="Arial" w:cs="Arial" w:eastAsia="Arial"/>
                <w:sz w:val="16"/>
                <w:szCs w:val="16"/>
              </w:rPr>
              <w:t>ISO 31000:2018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 Process Safety Standard</w:t>
            </w:r>
          </w:p>
        </w:tc>
        <w:tc>
          <w:tcPr>
            <w:tcW w:type="dxa" w:w="2256"/>
          </w:tcPr>
          <w:p>
            <w:pPr>
              <w:pStyle w:val="TableContents"/>
              <w:spacing w:before="0" w:after="0" w:line="240" w:lineRule="atLeast"/>
            </w:pPr>
            <w:r>
              <w:rPr>
                <w:rFonts w:ascii="Arial" w:hAnsi="Arial" w:cs="Arial" w:eastAsia="Arial"/>
                <w:sz w:val="16"/>
                <w:szCs w:val="16"/>
              </w:rPr>
              <w:t>Requires process hazard analysis, identification and validation of critical safety systems, a formal safeguard bypass authorisation process, and process safety incident classification and reporting per API RP 754 or equivalent.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C1 - Control of Energy Standard</w:t>
            </w:r>
          </w:p>
        </w:tc>
        <w:tc>
          <w:tcPr>
            <w:tcW w:type="dxa" w:w="2256"/>
          </w:tcPr>
          <w:p>
            <w:pPr>
              <w:pStyle w:val="TableContents"/>
              <w:spacing w:before="0" w:after="0" w:line="240" w:lineRule="atLeast"/>
            </w:pPr>
            <w:r>
              <w:rPr>
                <w:rFonts w:ascii="Arial" w:hAnsi="Arial" w:cs="Arial" w:eastAsia="Arial"/>
                <w:sz w:val="16"/>
                <w:szCs w:val="16"/>
              </w:rPr>
              <w:t>Requires inclusion of safety-critical pressure relief devices and containment systems in the mechanical integrity programme, and defines mechanical integrity requirements for process vessels, piping, and safety-critical equipment.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PS3 IFC PS3 §8</w:t>
            </w:r>
          </w:p>
        </w:tc>
        <w:tc>
          <w:tcPr>
            <w:tcW w:type="dxa" w:w="2256"/>
          </w:tcPr>
          <w:p>
            <w:pPr>
              <w:pStyle w:val="TableContents"/>
              <w:spacing w:before="0" w:after="0" w:line="240" w:lineRule="atLeast"/>
            </w:pPr>
            <w:r>
              <w:rPr>
                <w:rFonts w:ascii="Arial" w:hAnsi="Arial" w:cs="Arial" w:eastAsia="Arial"/>
                <w:sz w:val="16"/>
                <w:szCs w:val="16"/>
              </w:rPr>
              <w:t>Requires identification of all process units with potential for hazardous releases, documentation of hazard identification methodology, and an environmental and social impact assessment update following process safety incidents that may affect communities or the environment.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PS1 IFC PS1 §9</w:t>
            </w:r>
          </w:p>
        </w:tc>
        <w:tc>
          <w:tcPr>
            <w:tcW w:type="dxa" w:w="2256"/>
          </w:tcPr>
          <w:p>
            <w:pPr>
              <w:pStyle w:val="TableContents"/>
              <w:spacing w:before="0" w:after="0" w:line="240" w:lineRule="atLeast"/>
            </w:pPr>
            <w:r>
              <w:rPr>
                <w:rFonts w:ascii="Arial" w:hAnsi="Arial" w:cs="Arial" w:eastAsia="Arial"/>
                <w:sz w:val="16"/>
                <w:szCs w:val="16"/>
              </w:rPr>
              <w:t>Requires that any bypassing of safety-critical controls is managed through the Management of Change process and communicated to all affected personnel.</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IFC EHS General Guidelines §2.8</w:t>
            </w:r>
          </w:p>
        </w:tc>
        <w:tc>
          <w:tcPr>
            <w:tcW w:type="dxa" w:w="2256"/>
          </w:tcPr>
          <w:p>
            <w:pPr>
              <w:pStyle w:val="TableContents"/>
              <w:spacing w:before="0" w:after="0" w:line="240" w:lineRule="atLeast"/>
            </w:pPr>
            <w:r>
              <w:rPr>
                <w:rFonts w:ascii="Arial" w:hAnsi="Arial" w:cs="Arial" w:eastAsia="Arial"/>
                <w:sz w:val="16"/>
                <w:szCs w:val="16"/>
              </w:rPr>
              <w:t>Requires documentation of inspection results, defect management procedures, and criteria for removing defective equipment from service or repairing it before continued operation.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ICMM Principle 4 - Risk Management</w:t>
            </w:r>
          </w:p>
        </w:tc>
        <w:tc>
          <w:tcPr>
            <w:tcW w:type="dxa" w:w="2256"/>
          </w:tcPr>
          <w:p>
            <w:pPr>
              <w:pStyle w:val="TableContents"/>
              <w:spacing w:before="0" w:after="0" w:line="240" w:lineRule="atLeast"/>
            </w:pPr>
            <w:r>
              <w:rPr>
                <w:rFonts w:ascii="Arial" w:hAnsi="Arial" w:cs="Arial" w:eastAsia="Arial"/>
                <w:sz w:val="16"/>
                <w:szCs w:val="16"/>
              </w:rPr>
              <w:t>Requires implementation of risk-based controls to prevent and mitigate process-related incidents, applying the hierarchy of controls with engineering safeguards as the primary means of risk reduction.</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