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Hazardous Materials and Non-Mineral Waste Control</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pPr>
        <w:pStyle w:val="NormalNumberedtext"/>
      </w:pPr>
    </w:p>
    <w:tbl>
      <w:tblPr>
        <w:tblStyle w:val="Holdingtable"/>
        <w:tblW w:w="9026" w:type="dxa"/>
        <w:tblLayout w:type="fixed"/>
        <w:tblCellMar>
          <w:left w:w="108" w:type="dxa"/>
          <w:right w:w="108" w:type="dxa"/>
          <w:top w:type="dxa" w:w="36"/>
          <w:bottom w:type="dxa" w:w="36"/>
        </w:tblCellMar>
        <w:tblLook w:val="04A0" w:firstRow="1" w:lastRow="0" w:firstColumn="1" w:lastColumn="0" w:noHBand="0" w:noVBand="1"/>
        <w:tblInd w:type="dxa" w:w="704"/>
      </w:tblPr>
      <w:tblGrid>
        <w:gridCol w:w="3207"/>
        <w:gridCol w:w="1895"/>
        <w:gridCol w:w="4520"/>
      </w:tblGrid>
      <w:tr w:rsidR="00FC1013" w14:paraId="6E9D92D4" w14:textId="77777777">
        <w:tc>
          <w:tcPr>
            <w:tcW w:w="3008" w:type="dxa"/>
          </w:tcPr>
          <w:p w14:paraId="3495AB40" w14:textId="77777777" w:rsidR="00FC1013" w:rsidRDefault="004C465B">
            <w:pPr>
              <w:rPr>
                <w:rFonts w:ascii="Arial" w:eastAsia="Arial" w:hAnsi="Arial"/>
              </w:rPr>
              <w:spacing w:before="0" w:after="0" w:line="240" w:lineRule="atLeast"/>
            </w:pPr>
            <w:r>
              <w:rPr>
                <w:rFonts w:eastAsia="Arial" w:ascii="Arial" w:hAnsi="Arial" w:cs="Arial"/>
                <w:b/>
                <w:bCs/>
                <w:sz w:val="16"/>
                <w:szCs w:val="16"/>
              </w:rPr>
              <w:t>Document Number</w:t>
            </w:r>
          </w:p>
        </w:tc>
        <w:tc>
          <w:tcPr>
            <w:tcW w:w="3008" w:type="dxa"/>
          </w:tcPr>
          <w:p w14:paraId="6CD78A18" w14:textId="77777777" w:rsidR="00FC1013" w:rsidRDefault="004C465B">
            <w:pPr>
              <w:rPr>
                <w:b/>
                <w:bCs/>
              </w:rPr>
              <w:spacing w:before="0" w:after="0" w:line="240" w:lineRule="atLeast"/>
            </w:pPr>
            <w:r>
              <w:rPr>
                <w:rFonts w:eastAsia="Arial" w:ascii="Arial" w:hAnsi="Arial" w:cs="Arial"/>
                <w:b/>
                <w:bCs/>
                <w:sz w:val="16"/>
                <w:szCs w:val="16"/>
              </w:rPr>
              <w:t>Revision</w:t>
            </w:r>
          </w:p>
        </w:tc>
        <w:tc>
          <w:tcPr>
            <w:tcW w:w="3010" w:type="dxa"/>
          </w:tcPr>
          <w:p w14:paraId="23D99E60" w14:textId="77777777" w:rsidR="00FC1013" w:rsidRDefault="004C465B">
            <w:pPr>
              <w:rPr>
                <w:b/>
                <w:bCs/>
              </w:rPr>
              <w:spacing w:before="0" w:after="0" w:line="240" w:lineRule="atLeast"/>
            </w:pPr>
            <w:r>
              <w:rPr>
                <w:rFonts w:eastAsia="Arial" w:ascii="Arial" w:hAnsi="Arial" w:cs="Arial"/>
                <w:b/>
                <w:bCs/>
                <w:sz w:val="16"/>
                <w:szCs w:val="16"/>
              </w:rPr>
              <w:t>Date</w:t>
            </w:r>
          </w:p>
        </w:tc>
      </w:tr>
      <w:tr w:rsidR="00FC1013" w14:paraId="153840A8" w14:textId="77777777">
        <w:trPr>
          <w:trHeight w:val="466"/>
        </w:trPr>
        <w:tc>
          <w:tcPr>
            <w:tcW w:w="3008" w:type="dxa"/>
          </w:tcPr>
          <w:p w14:paraId="2E16B392" w14:textId="77777777" w:rsidR="00FC1013" w:rsidRDefault="004C465B">
            <w:pPr>
              <w:rPr>
                <w:rFonts w:ascii="Arial" w:eastAsia="Arial" w:hAnsi="Arial"/>
              </w:rPr>
              <w:spacing w:before="0" w:after="0" w:line="240" w:lineRule="atLeast"/>
            </w:pPr>
            <w:r>
              <w:rPr>
                <w:rFonts w:eastAsia="Arial" w:ascii="Arial" w:hAnsi="Arial" w:cs="Arial"/>
                <w:sz w:val="16"/>
                <w:szCs w:val="16"/>
              </w:rPr>
              <w:t>RTPR-HSE-PRO-XXXX</w:t>
            </w:r>
          </w:p>
        </w:tc>
        <w:tc>
          <w:tcPr>
            <w:tcW w:w="3008" w:type="dxa"/>
          </w:tcPr>
          <w:p w14:paraId="37F3B8E3" w14:textId="77777777" w:rsidR="00FC1013" w:rsidRDefault="004C465B">
            <w:pPr>
              <w:rPr>
                <w:rFonts w:ascii="Arial" w:eastAsia="Arial" w:hAnsi="Arial"/>
              </w:rPr>
              <w:spacing w:before="0" w:after="0" w:line="240" w:lineRule="atLeast"/>
            </w:pPr>
            <w:r>
              <w:rPr>
                <w:rFonts w:eastAsia="Arial" w:ascii="Arial" w:hAnsi="Arial" w:cs="Arial"/>
                <w:sz w:val="16"/>
                <w:szCs w:val="16"/>
              </w:rPr>
              <w:t>Rev 0</w:t>
            </w:r>
          </w:p>
        </w:tc>
        <w:tc>
          <w:tcPr>
            <w:tcW w:w="3010" w:type="dxa"/>
          </w:tcPr>
          <w:p w14:paraId="1C08B5EF" w14:textId="77777777" w:rsidR="00FC1013" w:rsidRDefault="00C46050">
            <w:pPr>
              <w:rPr>
                <w:rFonts w:ascii="Arial" w:eastAsia="Arial" w:hAnsi="Arial"/>
              </w:rPr>
              <w:spacing w:before="0" w:after="0" w:line="240" w:lineRule="atLeast"/>
            </w:pPr>
            <w:r>
              <w:rPr>
                <w:rFonts w:eastAsia="Arial" w:ascii="Arial" w:hAnsi="Arial" w:cs="Arial"/>
                <w:sz w:val="16"/>
                <w:szCs w:val="16"/>
              </w:rPr>
              <w:t>30/06/2026</w:t>
            </w:r>
          </w:p>
        </w:tc>
      </w:tr>
    </w:tbl>
    <w:p>
      <w:pPr>
        <w:pStyle w:val="NormalNumberedtext"/>
      </w:pPr>
    </w:p>
    <w:tbl>
      <w:tblPr>
        <w:tblStyle w:val="TableGrid"/>
        <w:tblW w:w="9026" w:type="dxa"/>
        <w:tblInd w:w="704" w:type="dxa"/>
        <w:tblLayout w:type="fixed"/>
        <w:tblLook w:val="04A0" w:firstRow="1" w:lastRow="0" w:firstColumn="1" w:lastColumn="0" w:noHBand="0" w:noVBand="1"/>
        <w:tblCellMar>
          <w:top w:type="dxa" w:w="36"/>
          <w:bottom w:type="dxa" w:w="36"/>
          <w:left w:type="dxa" w:w="108"/>
          <w:right w:type="dxa" w:w="108"/>
        </w:tblCellMar>
      </w:tblPr>
      <w:tblGrid>
        <w:gridCol w:w="1419"/>
        <w:gridCol w:w="1847"/>
        <w:gridCol w:w="3260"/>
        <w:gridCol w:w="3071"/>
      </w:tblGrid>
      <w:tr w:rsidR="00FC1013" w14:paraId="42A4BE91" w14:textId="77777777">
        <w:trPr>
          <w:trHeight w:val="340"/>
        </w:trPr>
        <w:tc>
          <w:tcPr>
            <w:tcW w:w="2256" w:type="dxa"/>
            <w:shd w:val="clear" w:color="auto" w:fill="F2F2F2" w:themeFill="background1" w:themeFillShade="F2"/>
          </w:tcPr>
          <w:p w14:paraId="24665189" w14:textId="77777777" w:rsidR="00FC1013" w:rsidRDefault="004C465B">
            <w:pPr>
              <w:rPr>
                <w:b/>
                <w:bCs/>
              </w:rPr>
              <w:spacing w:before="0" w:after="0" w:line="240" w:lineRule="atLeast"/>
            </w:pPr>
            <w:r>
              <w:rPr>
                <w:rFonts w:eastAsia="Arial" w:ascii="Arial" w:hAnsi="Arial" w:cs="Arial"/>
                <w:b/>
                <w:bCs/>
                <w:sz w:val="16"/>
                <w:szCs w:val="16"/>
              </w:rPr>
              <w:t xml:space="preserve"> Status</w:t>
            </w:r>
          </w:p>
        </w:tc>
        <w:tc>
          <w:tcPr>
            <w:tcW w:w="2256" w:type="dxa"/>
            <w:shd w:val="clear" w:color="auto" w:fill="F2F2F2" w:themeFill="background1" w:themeFillShade="F2"/>
          </w:tcPr>
          <w:p w14:paraId="0452B4B0" w14:textId="77777777" w:rsidR="00FC1013" w:rsidRDefault="004C465B">
            <w:pPr>
              <w:rPr>
                <w:b/>
                <w:bCs/>
              </w:rPr>
              <w:spacing w:before="0" w:after="0" w:line="240" w:lineRule="atLeast"/>
            </w:pPr>
            <w:r>
              <w:rPr>
                <w:rFonts w:eastAsia="Arial" w:ascii="Arial" w:hAnsi="Arial" w:cs="Arial"/>
                <w:b/>
                <w:bCs/>
                <w:sz w:val="16"/>
                <w:szCs w:val="16"/>
              </w:rPr>
              <w:t>Name</w:t>
            </w:r>
          </w:p>
        </w:tc>
        <w:tc>
          <w:tcPr>
            <w:tcW w:w="2256" w:type="dxa"/>
            <w:shd w:val="clear" w:color="auto" w:fill="F2F2F2" w:themeFill="background1" w:themeFillShade="F2"/>
          </w:tcPr>
          <w:p w14:paraId="73EA7516" w14:textId="77777777" w:rsidR="00FC1013" w:rsidRDefault="004C465B">
            <w:pPr>
              <w:rPr>
                <w:b/>
                <w:bCs/>
              </w:rPr>
              <w:spacing w:before="0" w:after="0" w:line="240" w:lineRule="atLeast"/>
            </w:pPr>
            <w:r>
              <w:rPr>
                <w:rFonts w:eastAsia="Arial" w:ascii="Arial" w:hAnsi="Arial" w:cs="Arial"/>
                <w:b/>
                <w:bCs/>
                <w:sz w:val="16"/>
                <w:szCs w:val="16"/>
              </w:rPr>
              <w:t>Position</w:t>
            </w:r>
          </w:p>
        </w:tc>
        <w:tc>
          <w:tcPr>
            <w:tcW w:w="2258" w:type="dxa"/>
            <w:shd w:val="clear" w:color="auto" w:fill="F2F2F2" w:themeFill="background1" w:themeFillShade="F2"/>
          </w:tcPr>
          <w:p w14:paraId="049AD331" w14:textId="77777777" w:rsidR="00FC1013" w:rsidRDefault="004C465B">
            <w:pPr>
              <w:rPr>
                <w:b/>
                <w:bCs/>
              </w:rPr>
              <w:spacing w:before="0" w:after="0" w:line="240" w:lineRule="atLeast"/>
            </w:pPr>
            <w:r>
              <w:rPr>
                <w:rFonts w:eastAsia="Arial" w:ascii="Arial" w:hAnsi="Arial" w:cs="Arial"/>
                <w:b/>
                <w:bCs/>
                <w:sz w:val="16"/>
                <w:szCs w:val="16"/>
              </w:rPr>
              <w:t>Signature</w:t>
            </w:r>
          </w:p>
        </w:tc>
      </w:tr>
      <w:tr w:rsidR="00FC1013" w14:paraId="17860165" w14:textId="77777777">
        <w:trPr>
          <w:trHeight w:val="340"/>
        </w:trPr>
        <w:tc>
          <w:tcPr>
            <w:tcW w:w="2256" w:type="dxa"/>
            <w:tcBorders>
              <w:bottom w:val="dotted" w:sz="4" w:space="0" w:color="000000"/>
            </w:tcBorders>
          </w:tcPr>
          <w:p w14:paraId="452F8A41" w14:textId="77777777" w:rsidR="00FC1013" w:rsidRDefault="004C465B">
            <w:pPr>
              <w:rPr>
                <w:rFonts w:ascii="Arial" w:eastAsia="Arial" w:hAnsi="Arial"/>
              </w:rPr>
              <w:spacing w:before="0" w:after="0" w:line="240" w:lineRule="atLeast"/>
            </w:pPr>
            <w:r>
              <w:rPr>
                <w:rFonts w:eastAsia="Arial" w:ascii="Arial" w:hAnsi="Arial" w:cs="Arial"/>
                <w:sz w:val="16"/>
                <w:szCs w:val="16"/>
              </w:rPr>
              <w:t>Originator</w:t>
            </w:r>
          </w:p>
        </w:tc>
        <w:tc>
          <w:tcPr>
            <w:tcW w:w="2256" w:type="dxa"/>
            <w:tcBorders>
              <w:bottom w:val="dotted" w:sz="4" w:space="0" w:color="000000"/>
            </w:tcBorders>
          </w:tcPr>
          <w:p w14:paraId="4BD7C7B0" w14:textId="77777777" w:rsidR="00FC1013" w:rsidRDefault="004C465B">
            <w:pPr>
              <w:rPr>
                <w:rFonts w:ascii="Arial" w:eastAsia="Arial" w:hAnsi="Arial"/>
              </w:rPr>
              <w:spacing w:before="0" w:after="0" w:line="240" w:lineRule="atLeast"/>
            </w:pPr>
            <w:r>
              <w:rPr>
                <w:rFonts w:eastAsia="Arial" w:ascii="Arial" w:hAnsi="Arial" w:cs="Arial"/>
                <w:sz w:val="16"/>
                <w:szCs w:val="16"/>
              </w:rPr>
              <w:t>Ashleigh Phillips</w:t>
            </w:r>
          </w:p>
        </w:tc>
        <w:tc>
          <w:tcPr>
            <w:tcW w:w="2256" w:type="dxa"/>
            <w:tcBorders>
              <w:bottom w:val="dotted" w:sz="4" w:space="0" w:color="000000"/>
            </w:tcBorders>
          </w:tcPr>
          <w:p w14:paraId="3014903E" w14:textId="77777777" w:rsidR="00FC1013" w:rsidRDefault="004C465B">
            <w:pPr>
              <w:rPr>
                <w:rFonts w:ascii="Arial" w:eastAsia="Arial" w:hAnsi="Arial"/>
              </w:rPr>
              <w:spacing w:before="0" w:after="0" w:line="240" w:lineRule="atLeast"/>
            </w:pPr>
            <w:r>
              <w:rPr>
                <w:rFonts w:ascii="Arial" w:hAnsi="Arial" w:cs="Arial" w:eastAsia="Arial"/>
                <w:b/>
                <w:bCs/>
                <w:color w:val="0059D1"/>
                <w:sz w:val="16"/>
                <w:szCs w:val="16"/>
              </w:rPr>
              <w:t>[External]</w:t>
            </w:r>
            <w:r>
              <w:rPr>
                <w:rFonts w:eastAsia="Arial" w:ascii="Arial" w:hAnsi="Arial" w:cs="Arial"/>
                <w:sz w:val="16"/>
                <w:szCs w:val="16"/>
              </w:rPr>
              <w:t xml:space="preserve"> HSES Industry Partners</w:t>
            </w:r>
          </w:p>
        </w:tc>
        <w:tc>
          <w:tcPr>
            <w:tcW w:w="2258" w:type="dxa"/>
            <w:tcBorders>
              <w:bottom w:val="dotted" w:sz="4" w:space="0" w:color="000000"/>
            </w:tcBorders>
          </w:tcPr>
          <w:p w14:paraId="1FEE642E" w14:textId="77777777" w:rsidR="00FC1013" w:rsidRDefault="00FC1013">
            <w:pPr>
              <w:rPr>
                <w:rFonts w:ascii="Arial" w:eastAsia="Arial" w:hAnsi="Arial"/>
              </w:rPr>
              <w:spacing w:before="0" w:after="0" w:line="240" w:lineRule="atLeast"/>
            </w:pPr>
          </w:p>
        </w:tc>
      </w:tr>
      <w:tr w:rsidR="00FC1013" w14:paraId="3F76D41D" w14:textId="77777777">
        <w:trPr>
          <w:trHeight w:val="340"/>
        </w:trPr>
        <w:tc>
          <w:tcPr>
            <w:tcW w:w="2256" w:type="dxa"/>
            <w:tcBorders>
              <w:top w:val="dotted" w:sz="4" w:space="0" w:color="000000"/>
              <w:bottom w:val="dotted" w:sz="4" w:space="0" w:color="000000"/>
            </w:tcBorders>
          </w:tcPr>
          <w:p w14:paraId="0AF03A84"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D017D9F" w14:textId="77777777" w:rsidR="00FC1013" w:rsidRDefault="004C465B">
            <w:pPr>
              <w:rPr>
                <w:rFonts w:ascii="Arial" w:eastAsia="Arial" w:hAnsi="Arial"/>
              </w:rPr>
              <w:spacing w:before="0" w:after="0" w:line="240" w:lineRule="atLeast"/>
            </w:pPr>
            <w:r>
              <w:rPr>
                <w:rFonts w:eastAsia="Arial" w:ascii="Arial" w:hAnsi="Arial" w:cs="Arial"/>
                <w:sz w:val="16"/>
                <w:szCs w:val="16"/>
              </w:rPr>
              <w:t>Kirsten Snyman</w:t>
            </w:r>
          </w:p>
        </w:tc>
        <w:tc>
          <w:tcPr>
            <w:tcW w:w="2256" w:type="dxa"/>
            <w:tcBorders>
              <w:top w:val="dotted" w:sz="4" w:space="0" w:color="000000"/>
              <w:bottom w:val="dotted" w:sz="4" w:space="0" w:color="000000"/>
            </w:tcBorders>
          </w:tcPr>
          <w:p w14:paraId="7D3D01EB"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CSP RioProjects</w:t>
            </w:r>
          </w:p>
        </w:tc>
        <w:tc>
          <w:tcPr>
            <w:tcW w:w="2258" w:type="dxa"/>
            <w:tcBorders>
              <w:top w:val="dotted" w:sz="4" w:space="0" w:color="000000"/>
              <w:bottom w:val="dotted" w:sz="4" w:space="0" w:color="000000"/>
            </w:tcBorders>
          </w:tcPr>
          <w:p w14:paraId="287F8750" w14:textId="77777777" w:rsidR="00FC1013" w:rsidRDefault="00FC1013">
            <w:pPr>
              <w:rPr>
                <w:rFonts w:ascii="Arial" w:eastAsia="Arial" w:hAnsi="Arial"/>
              </w:rPr>
              <w:spacing w:before="0" w:after="0" w:line="240" w:lineRule="atLeast"/>
            </w:pPr>
          </w:p>
        </w:tc>
      </w:tr>
      <w:tr w:rsidR="00FC1013" w14:paraId="14D2A514" w14:textId="77777777">
        <w:trPr>
          <w:trHeight w:val="340"/>
        </w:trPr>
        <w:tc>
          <w:tcPr>
            <w:tcW w:w="2256" w:type="dxa"/>
            <w:tcBorders>
              <w:top w:val="dotted" w:sz="4" w:space="0" w:color="000000"/>
              <w:bottom w:val="dotted" w:sz="4" w:space="0" w:color="000000"/>
            </w:tcBorders>
          </w:tcPr>
          <w:p w14:paraId="4CB44463"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AB05A5D" w14:textId="77777777" w:rsidR="00FC1013" w:rsidRDefault="004C465B">
            <w:pPr>
              <w:rPr>
                <w:rFonts w:ascii="Arial" w:eastAsia="Arial" w:hAnsi="Arial"/>
              </w:rPr>
              <w:spacing w:before="0" w:after="0" w:line="240" w:lineRule="atLeast"/>
            </w:pPr>
            <w:r>
              <w:rPr>
                <w:rFonts w:eastAsia="Arial" w:ascii="Arial" w:hAnsi="Arial" w:cs="Arial"/>
                <w:sz w:val="16"/>
                <w:szCs w:val="16"/>
              </w:rPr>
              <w:t>Matt Moroz</w:t>
            </w:r>
          </w:p>
        </w:tc>
        <w:tc>
          <w:tcPr>
            <w:tcW w:w="2256" w:type="dxa"/>
            <w:tcBorders>
              <w:top w:val="dotted" w:sz="4" w:space="0" w:color="000000"/>
              <w:bottom w:val="dotted" w:sz="4" w:space="0" w:color="000000"/>
            </w:tcBorders>
          </w:tcPr>
          <w:p w14:paraId="1A8777CE"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HSES RioProjects</w:t>
            </w:r>
          </w:p>
        </w:tc>
        <w:tc>
          <w:tcPr>
            <w:tcW w:w="2258" w:type="dxa"/>
            <w:tcBorders>
              <w:top w:val="dotted" w:sz="4" w:space="0" w:color="000000"/>
              <w:bottom w:val="dotted" w:sz="4" w:space="0" w:color="000000"/>
            </w:tcBorders>
          </w:tcPr>
          <w:p w14:paraId="5A0BE164" w14:textId="77777777" w:rsidR="00FC1013" w:rsidRDefault="00FC1013">
            <w:pPr>
              <w:rPr>
                <w:rFonts w:ascii="Arial" w:eastAsia="Arial" w:hAnsi="Arial"/>
              </w:rPr>
              <w:spacing w:before="0" w:after="0" w:line="240" w:lineRule="atLeast"/>
            </w:pPr>
          </w:p>
        </w:tc>
      </w:tr>
      <w:tr w:rsidR="00FC1013" w14:paraId="52143E74" w14:textId="77777777">
        <w:trPr>
          <w:trHeight w:val="340"/>
        </w:trPr>
        <w:tc>
          <w:tcPr>
            <w:tcW w:w="2256" w:type="dxa"/>
            <w:tcBorders>
              <w:top w:val="dotted" w:sz="4" w:space="0" w:color="000000"/>
            </w:tcBorders>
          </w:tcPr>
          <w:p w14:paraId="7013AB62" w14:textId="77777777" w:rsidR="00FC1013" w:rsidRDefault="004C465B">
            <w:pPr>
              <w:rPr>
                <w:rFonts w:ascii="Arial" w:eastAsia="Arial" w:hAnsi="Arial"/>
              </w:rPr>
              <w:spacing w:before="0" w:after="0" w:line="240" w:lineRule="atLeast"/>
            </w:pPr>
            <w:r>
              <w:rPr>
                <w:rFonts w:eastAsia="Arial" w:ascii="Arial" w:hAnsi="Arial" w:cs="Arial"/>
                <w:sz w:val="16"/>
                <w:szCs w:val="16"/>
              </w:rPr>
              <w:t>Approved</w:t>
            </w:r>
          </w:p>
        </w:tc>
        <w:tc>
          <w:tcPr>
            <w:tcW w:w="2256" w:type="dxa"/>
            <w:tcBorders>
              <w:top w:val="dotted" w:sz="4" w:space="0" w:color="000000"/>
            </w:tcBorders>
          </w:tcPr>
          <w:p w14:paraId="3DA2B481" w14:textId="77777777" w:rsidR="00FC1013" w:rsidRDefault="004C465B">
            <w:pPr>
              <w:rPr>
                <w:rFonts w:ascii="Arial" w:eastAsia="Arial" w:hAnsi="Arial"/>
              </w:rPr>
              <w:spacing w:before="0" w:after="0" w:line="240" w:lineRule="atLeast"/>
            </w:pPr>
            <w:r>
              <w:rPr>
                <w:rFonts w:eastAsia="Arial" w:ascii="Arial" w:hAnsi="Arial" w:cs="Arial"/>
                <w:sz w:val="16"/>
                <w:szCs w:val="16"/>
              </w:rPr>
              <w:t>Greg Doyle</w:t>
            </w:r>
          </w:p>
        </w:tc>
        <w:tc>
          <w:tcPr>
            <w:tcW w:w="2256" w:type="dxa"/>
            <w:tcBorders>
              <w:top w:val="dotted" w:sz="4" w:space="0" w:color="000000"/>
            </w:tcBorders>
          </w:tcPr>
          <w:p w14:paraId="25F393E7" w14:textId="77777777" w:rsidR="00FC1013" w:rsidRDefault="004C465B">
            <w:pPr>
              <w:rPr>
                <w:rFonts w:ascii="Arial" w:eastAsia="Arial" w:hAnsi="Arial"/>
              </w:rPr>
              <w:spacing w:before="0" w:after="0" w:line="240" w:lineRule="atLeast"/>
            </w:pPr>
            <w:r>
              <w:rPr>
                <w:rFonts w:eastAsia="Arial" w:ascii="Arial" w:hAnsi="Arial" w:cs="Arial"/>
                <w:sz w:val="16"/>
                <w:szCs w:val="16"/>
              </w:rPr>
              <w:t>Vice President HSESC, SD&amp;T</w:t>
            </w:r>
          </w:p>
        </w:tc>
        <w:tc>
          <w:tcPr>
            <w:tcW w:w="2258" w:type="dxa"/>
            <w:tcBorders>
              <w:top w:val="dotted" w:sz="4" w:space="0" w:color="000000"/>
            </w:tcBorders>
          </w:tcPr>
          <w:p w14:paraId="0C7DD2FF" w14:textId="77777777" w:rsidR="00FC1013" w:rsidRDefault="00FC1013">
            <w:pPr>
              <w:rPr>
                <w:rFonts w:ascii="Arial" w:eastAsia="Arial" w:hAnsi="Arial"/>
              </w:rPr>
              <w:spacing w:before="0" w:after="0" w:line="240" w:lineRule="atLeast"/>
            </w:pPr>
          </w:p>
        </w:tc>
      </w:tr>
    </w:tbl>
    <w:p>
      <w:pPr>
        <w:pStyle w:val="NormalNumberedtext"/>
      </w:pP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pPr>
        <w:pStyle w:val="NormalNumberedtext"/>
      </w:pPr>
    </w:p>
    <w:p w14:paraId="3F00B330" w14:textId="077DD352" w:rsidR="004C5CA9" w:rsidRDefault="00B03658" w:rsidP="000726E8">
      <w:pPr>
        <w:pStyle w:val="Heading1Numbered"/>
        <w:numPr>
          <w:ilvl w:val="0"/>
          <w:numId w:val="1"/>
        </w:numPr>
      </w:pPr>
      <w:bookmarkStart w:id="0" w:name="_Toc232534348"/>
      <w:r>
        <w:rPr>
          <w:rFonts w:ascii="Arial" w:hAnsi="Arial" w:cs="Arial" w:eastAsia="Arial"/>
        </w:rPr>
        <w:lastRenderedPageBreak/>
        <w:t>Heading</w:t>
      </w:r>
      <w:bookmarkEnd w:id="0"/>
    </w:p>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FF2CC"/>
            <w:tcW w:type="dxa" w:w="9777"/>
          </w:tcPr>
          <w:p>
            <w:pPr>
              <w:pStyle w:val="Instructions"/>
              <w:spacing w:before="0" w:after="0" w:line="240" w:lineRule="atLeast"/>
            </w:pPr>
            <w:r>
              <w:rPr>
                <w:rFonts w:ascii="Arial" w:hAnsi="Arial" w:cs="Arial" w:eastAsia="Arial"/>
                <w:b/>
                <w:bCs/>
                <w:color w:val="C55A11"/>
                <w:sz w:val="16"/>
                <w:szCs w:val="16"/>
              </w:rPr>
              <w:t>INSTRUCTION: Read, action and delete this box before this procedure is issued. Delete the entire Section 0 before this document is submitted for review or approval. It must not appear in any approved version of this procedure.</w:t>
            </w:r>
          </w:p>
        </w:tc>
      </w:tr>
    </w:tbl>
    <w:p>
      <w:pPr>
        <w:pStyle w:val="NormalNumberedtext"/>
      </w:pPr>
    </w:p>
    <w:p>
      <w:pPr>
        <w:pStyle w:val="Heading1Numbered"/>
        <w:numPr>
          <w:ilvl w:val="0"/>
          <w:numId w:val="1"/>
        </w:numPr>
      </w:pPr>
      <w:r>
        <w:rPr>
          <w:rFonts w:ascii="Arial" w:hAnsi="Arial" w:cs="Arial" w:eastAsia="Arial"/>
        </w:rPr>
        <w:t>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NormalNumberedtext"/>
      </w:pPr>
    </w:p>
    <w:p>
      <w:pPr>
        <w:pStyle w:val="Heading2Numbered"/>
        <w:numPr>
          <w:ilvl w:val="1"/>
          <w:numId w:val="1"/>
        </w:numPr>
      </w:pPr>
      <w:r>
        <w:rPr>
          <w:rFonts w:ascii="Arial" w:hAnsi="Arial" w:cs="Arial" w:eastAsia="Arial"/>
        </w:rPr>
        <w:t>Purpose of This Template</w:t>
      </w:r>
    </w:p>
    <w:p>
      <w:pPr>
        <w:pStyle w:val="NormalNumberedtext"/>
      </w:pPr>
      <w:r>
        <w:t>This template supports the preparation of a project-specific Hazardous Materials and Non-Mineral Waste Control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NormalNumberedtext"/>
      </w:pPr>
    </w:p>
    <w:p>
      <w:pPr>
        <w:pStyle w:val="Heading2Numbered"/>
        <w:numPr>
          <w:ilvl w:val="1"/>
          <w:numId w:val="1"/>
        </w:numPr>
      </w:pPr>
      <w:r>
        <w:rPr>
          <w:rFonts w:ascii="Arial" w:hAnsi="Arial" w:cs="Arial" w:eastAsia="Arial"/>
        </w:rPr>
        <w:t>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rFonts w:ascii="Arial" w:hAnsi="Arial" w:cs="Arial" w:eastAsia="Arial"/>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NormalNumberedtext"/>
      </w:pPr>
    </w:p>
    <w:p>
      <w:pPr>
        <w:pStyle w:val="Heading2Numbered"/>
        <w:numPr>
          <w:ilvl w:val="1"/>
          <w:numId w:val="1"/>
        </w:numPr>
      </w:pPr>
      <w:r>
        <w:rPr>
          <w:rFonts w:ascii="Arial" w:hAnsi="Arial" w:cs="Arial" w:eastAsia="Arial"/>
        </w:rPr>
        <w:t>Pre-Issue Checklist</w:t>
      </w:r>
    </w:p>
    <w:p>
      <w:pPr>
        <w:pStyle w:val="NormalNumberedtext"/>
      </w:pPr>
      <w:r>
        <w:t>Before submitting this document for review or approval, confirm all items below are complete, then delete this checklist together with the rest of Section 0.</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Check</w:t>
            </w:r>
          </w:p>
        </w:tc>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Complete?</w:t>
            </w:r>
          </w:p>
        </w:tc>
      </w:tr>
      <w:tr>
        <w:tc>
          <w:tcPr>
            <w:tcW w:type="dxa" w:w="4513"/>
          </w:tcPr>
          <w:p>
            <w:pPr>
              <w:pStyle w:val="TableContents"/>
              <w:spacing w:before="0" w:after="0" w:line="240" w:lineRule="atLeast"/>
            </w:pPr>
            <w:r>
              <w:rPr>
                <w:rFonts w:ascii="Arial" w:hAnsi="Arial" w:cs="Arial" w:eastAsia="Arial"/>
                <w:sz w:val="16"/>
                <w:szCs w:val="16"/>
              </w:rPr>
              <w:t>Cover page is complete including document number, revision, date and signatories</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 xml:space="preserve">All </w:t>
            </w:r>
            <w:r>
              <w:rPr>
                <w:rFonts w:ascii="Arial" w:hAnsi="Arial" w:cs="Arial" w:eastAsia="Arial"/>
                <w:b/>
                <w:bCs/>
                <w:color w:val="0059D1"/>
                <w:sz w:val="16"/>
                <w:szCs w:val="16"/>
              </w:rPr>
              <w:t>[INSERT:]</w:t>
            </w:r>
            <w:r>
              <w:rPr>
                <w:rFonts w:ascii="Arial" w:hAnsi="Arial" w:cs="Arial" w:eastAsia="Arial"/>
                <w:sz w:val="16"/>
                <w:szCs w:val="16"/>
              </w:rPr>
              <w:t xml:space="preserve"> placeholder text has been replaced with project-specific information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instruction boxes have been read, actioned and deleted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role titles match the actual project organisational structure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system and register locations are confirmed and inserted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workshop and meeting dates are confirmed against the project programme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Related procedures in the References section are issued or being issued concurrently</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17 (Source Requirements Traceability) will be deleted before final issue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16 (Project Localisation Edits) has been populated with all changes made during preparation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0 has been deleted in its entirety</w:t>
            </w:r>
          </w:p>
        </w:tc>
        <w:tc>
          <w:tcPr>
            <w:tcW w:type="dxa" w:w="4513"/>
          </w:tcPr>
          <w:p>
            <w:pPr>
              <w:pStyle w:val="TableContents"/>
              <w:spacing w:before="0" w:after="0" w:line="240" w:lineRule="atLeast"/>
            </w:pPr>
            <w:r>
              <w:rPr>
                <w:rFonts w:ascii="Arial" w:hAnsi="Arial" w:cs="Arial" w:eastAsia="Arial"/>
                <w:sz w:val="16"/>
                <w:szCs w:val="16"/>
              </w:rPr>
              <w:t>☐</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project lifecycle phases within scope, and the obligations it establishes from project Execution through to Handover.</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requirements it establishes for the project.</w:t>
      </w:r>
    </w:p>
    <w:p>
      <w:pPr>
        <w:pStyle w:val="NormalNumberedtext"/>
      </w:pPr>
      <w:r>
        <w:t>This procedure defines requirements for managing all non-mineral hazardous materials and wastes, including dangerous goods, regulated substances, sewerage and wastewater, and contaminated sites across the owner-led project.</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hazardous materials and non-mineral waste control from project Execution through to Handover.</w:t>
      </w:r>
    </w:p>
    <w:p>
      <w:pPr>
        <w:pStyle w:val="NormalNumberedtext"/>
      </w:pPr>
      <w:r>
        <w:rPr>
          <w:b/>
          <w:bCs/>
          <w:color w:val="0059D1"/>
        </w:rPr>
        <w:t>[INSERT: scope qualifications] — note any activities, phases, or locations excluded from this procedure's scope</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Responsibilities</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Company</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Contractor</w:t>
            </w:r>
          </w:p>
        </w:tc>
        <w:tc>
          <w:tcPr>
            <w:shd w:val="clear" w:color="auto" w:fill="1F3864"/>
            <w:tcW w:type="dxa" w:w="2445"/>
          </w:tcPr>
          <w:p>
            <w:pPr>
              <w:pStyle w:val="TableContents"/>
              <w:spacing w:before="0" w:after="0" w:line="240" w:lineRule="atLeast"/>
            </w:pPr>
            <w:r>
              <w:rPr>
                <w:rFonts w:ascii="Arial" w:hAnsi="Arial" w:cs="Arial" w:eastAsia="Arial"/>
                <w:b/>
                <w:bCs/>
                <w:color w:val="FFFFFF"/>
                <w:sz w:val="16"/>
                <w:szCs w:val="16"/>
              </w:rPr>
              <w:t>Section</w:t>
            </w:r>
          </w:p>
        </w:tc>
      </w:tr>
      <w:tr>
        <w:tc>
          <w:tcPr>
            <w:gridSpan w:val="4"/>
            <w:tcW w:type="dxa" w:w="9777"/>
          </w:tcPr>
          <w:p>
            <w:pPr>
              <w:pStyle w:val="TableHeading"/>
              <w:spacing w:before="0" w:after="0" w:line="240" w:lineRule="atLeast"/>
            </w:pPr>
            <w:r>
              <w:rPr>
                <w:rFonts w:ascii="Arial" w:hAnsi="Arial" w:cs="Arial" w:eastAsia="Arial"/>
                <w:sz w:val="16"/>
                <w:szCs w:val="16"/>
              </w:rPr>
              <w:t>Project Management</w:t>
            </w:r>
          </w:p>
        </w:tc>
      </w:tr>
      <w:tr>
        <w:tc>
          <w:tcPr>
            <w:tcW w:type="dxa" w:w="2444"/>
          </w:tcPr>
          <w:p>
            <w:pPr>
              <w:pStyle w:val="TableBulletPoints"/>
              <w:spacing w:before="0" w:after="0" w:line="240" w:lineRule="atLeast"/>
            </w:pPr>
            <w:r>
              <w:rPr>
                <w:rFonts w:ascii="Arial" w:hAnsi="Arial" w:cs="Arial" w:eastAsia="Arial"/>
                <w:sz w:val="16"/>
                <w:szCs w:val="16"/>
              </w:rPr>
              <w:t>Holds overall accountability for project compliance with this procedure and approves this procedure and any material amendment.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Accepts residual risk at the highest risk class level and authorises continuation where escalation is required.</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HSE/CSP Management</w:t>
            </w:r>
          </w:p>
        </w:tc>
      </w:tr>
      <w:tr>
        <w:tc>
          <w:tcPr>
            <w:tcW w:type="dxa" w:w="2444"/>
          </w:tcPr>
          <w:p>
            <w:pPr>
              <w:pStyle w:val="TableBulletPoints"/>
              <w:spacing w:before="0" w:after="0" w:line="240" w:lineRule="atLeast"/>
            </w:pPr>
            <w:r>
              <w:rPr>
                <w:rFonts w:ascii="Arial" w:hAnsi="Arial" w:cs="Arial" w:eastAsia="Arial"/>
                <w:sz w:val="16"/>
                <w:szCs w:val="16"/>
              </w:rPr>
              <w:t>Maintains and implements this procedure and confirms all activities meet its requirements before work proceeds.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and approves all required assessments, plans, and registers produced under this procedure.</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performance against this procedure at the agreed project HSESC performance meeting.</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performance data, identifies trends, and incorporates systemic findings into corrective action programmes.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Frontline Supervision</w:t>
            </w:r>
          </w:p>
        </w:tc>
      </w:tr>
      <w:tr>
        <w:tc>
          <w:tcPr>
            <w:tcW w:type="dxa" w:w="2444"/>
          </w:tcPr>
          <w:p>
            <w:pPr>
              <w:pStyle w:val="TableBulletPoints"/>
              <w:spacing w:before="0" w:after="0" w:line="240" w:lineRule="atLeast"/>
            </w:pPr>
            <w:r>
              <w:rPr>
                <w:rFonts w:ascii="Arial" w:hAnsi="Arial" w:cs="Arial" w:eastAsia="Arial"/>
                <w:sz w:val="16"/>
                <w:szCs w:val="16"/>
              </w:rPr>
              <w:t>Ensures work crew compliance with this procedure before and during all relevant task executions.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Stops work when the requirements of this procedure cannot be met and notifies the HSESC Manager.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Confirms all personnel under their supervision are trained and competent before commencing relevant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All Project Personnel / Workers</w:t>
            </w:r>
          </w:p>
        </w:tc>
      </w:tr>
      <w:tr>
        <w:tc>
          <w:tcPr>
            <w:tcW w:type="dxa" w:w="2444"/>
          </w:tcPr>
          <w:p>
            <w:pPr>
              <w:pStyle w:val="TableBulletPoints"/>
              <w:spacing w:before="0" w:after="0" w:line="240" w:lineRule="atLeast"/>
            </w:pPr>
            <w:r>
              <w:rPr>
                <w:rFonts w:ascii="Arial" w:hAnsi="Arial" w:cs="Arial" w:eastAsia="Arial"/>
                <w:sz w:val="16"/>
                <w:szCs w:val="16"/>
              </w:rPr>
              <w:t>Complies with the requirements of this procedure in all relevant work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any non-compliance with this procedure immediately to their supervisor.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states the purpose of this procedure, the waste and hazardous materials domains it governs, and the lifecycle phases to which it applies from Execution through to Handover.</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defines what this procedure establishes, the standards it operationalises, and the project activities it governs.</w:t>
      </w:r>
    </w:p>
    <w:p>
      <w:pPr>
        <w:pStyle w:val="NormalNumberedtext"/>
      </w:pPr>
      <w:r>
        <w:t>This procedure meets the following purpose requirements:</w:t>
      </w:r>
    </w:p>
    <w:p>
      <w:pPr>
        <w:pStyle w:val="NormalNumberedtext"/>
      </w:pPr>
      <w:r>
        <w:t>This procedure governs the following domains:</w:t>
      </w:r>
    </w:p>
    <w:p>
      <w:pPr>
        <w:pStyle w:val="NumberedBulletL1"/>
      </w:pPr>
      <w:r>
        <w:t>Identification and characterisation of all non-mineral waste streams generated on the project.</w:t>
      </w:r>
    </w:p>
    <w:p>
      <w:pPr>
        <w:pStyle w:val="NumberedBulletL1"/>
      </w:pPr>
      <w:r>
        <w:t>Application of the waste management hierarchy to each significant waste stream.</w:t>
      </w:r>
    </w:p>
    <w:p>
      <w:pPr>
        <w:pStyle w:val="NumberedBulletL1"/>
      </w:pPr>
      <w:r>
        <w:t>Chain of custody and due diligence requirements for off-site transfer and disposal.</w:t>
      </w:r>
    </w:p>
    <w:p>
      <w:pPr>
        <w:pStyle w:val="NumberedBulletL1"/>
      </w:pPr>
      <w:r>
        <w:t>Storage requirements for hazardous materials and the prohibition on underground installation of new tanks and pipelines.</w:t>
      </w:r>
    </w:p>
    <w:p>
      <w:pPr>
        <w:pStyle w:val="NumberedBulletL1"/>
      </w:pPr>
      <w:r>
        <w:t>PFAS retention controls and phase-out requirements for any legacy firefighting foam systems.</w:t>
      </w:r>
    </w:p>
    <w:p>
      <w:pPr>
        <w:pStyle w:val="NumberedBulletL1"/>
      </w:pPr>
      <w:r>
        <w:t>Identification, assessment, and management of contaminated sites within the project area.</w:t>
      </w:r>
    </w:p>
    <w:p>
      <w:pPr>
        <w:pStyle w:val="NumberedBulletL1"/>
      </w:pPr>
      <w:r>
        <w:t>Sewerage and wastewater management arrangements for the project.</w:t>
      </w:r>
    </w:p>
    <w:p>
      <w:pPr>
        <w:pStyle w:val="NormalNumberedtext"/>
      </w:pPr>
      <w:r>
        <w:t>This procedure operationalises the Rio Tinto Environment and Nature Materials and Waste Standard, the Rio Tinto Contaminated Sites Standard, IFC Performance Standard 3, IFC EHS General Guidelines, and applicable Appendix C project requirements into a documented, project-specific process. Mineral waste management is addressed in [INSERT: Project Document Number] and is not repeated here.</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waste streams, materials, and project phases fall within this procedure and how it connects to related procedures.</w:t>
      </w:r>
    </w:p>
    <w:p>
      <w:pPr>
        <w:pStyle w:val="NormalNumberedtext"/>
      </w:pPr>
      <w:r>
        <w:t>This procedure applies the following scope requirements:</w:t>
      </w:r>
    </w:p>
    <w:p>
      <w:pPr>
        <w:pStyle w:val="NormalNumberedtext"/>
      </w:pPr>
      <w:r>
        <w:t>This procedure governs all activities from project Execution through to Handover that involve:</w:t>
      </w:r>
    </w:p>
    <w:p>
      <w:pPr>
        <w:pStyle w:val="NumberedBulletL1"/>
      </w:pPr>
      <w:r>
        <w:t>Generation, storage, handling, treatment, or disposal of non-mineral wastes classified as hazardous or non-hazardous.</w:t>
      </w:r>
    </w:p>
    <w:p>
      <w:pPr>
        <w:pStyle w:val="NumberedBulletL1"/>
      </w:pPr>
      <w:r>
        <w:t>Transfer of waste or hazardous materials off-site to licensed contractors, treatment facilities, or disposal facilities.</w:t>
      </w:r>
    </w:p>
    <w:p>
      <w:pPr>
        <w:pStyle w:val="NumberedBulletL1"/>
      </w:pPr>
      <w:r>
        <w:t>Management of bulk hazardous materials in above-ground storage, including bunded and secondary-contained areas.</w:t>
      </w:r>
    </w:p>
    <w:p>
      <w:pPr>
        <w:pStyle w:val="NumberedBulletL1"/>
      </w:pPr>
      <w:r>
        <w:t>Identification and management of known or potential contaminated sites within the project boundary.</w:t>
      </w:r>
    </w:p>
    <w:p>
      <w:pPr>
        <w:pStyle w:val="NumberedBulletL1"/>
      </w:pPr>
      <w:r>
        <w:t>Operation of on-site sewerage and wastewater treatment systems.</w:t>
      </w:r>
    </w:p>
    <w:p>
      <w:pPr>
        <w:pStyle w:val="NumberedBulletL1"/>
      </w:pPr>
      <w:r>
        <w:t>Retention or phase-out of any PFAS-containing firefighting foam systems on the project site.</w:t>
      </w:r>
    </w:p>
    <w:p>
      <w:pPr>
        <w:pStyle w:val="NormalNumberedtext"/>
      </w:pPr>
      <w:r>
        <w:t>Hazardous substance controls, including Safety Data Sheet management, chemical approval, and substitution assessment, are governed by [INSERT: Project Document Number] and are not repeated here. Liquid waste management requirements that interface with surface water and groundwater are governed by [INSERT: Project Document Number]. Waste monitoring requirements are governed by [INSERT: Project Document Number]. Applicable waste disposal licence conditions are maintained under [INSERT: Project Document Number].</w:t>
      </w:r>
    </w:p>
    <w:p>
      <w:pPr>
        <w:pStyle w:val="NormalNumberedtext"/>
      </w:pPr>
    </w:p>
    <w:p>
      <w:pPr>
        <w:pStyle w:val="Heading1Numbered"/>
        <w:numPr>
          <w:ilvl w:val="0"/>
          <w:numId w:val="1"/>
        </w:numPr>
      </w:pPr>
      <w:r>
        <w:rPr>
          <w:rFonts w:ascii="Arial" w:hAnsi="Arial" w:cs="Arial" w:eastAsia="Arial"/>
        </w:rPr>
        <w:t>Waste Identification and Register</w:t>
      </w:r>
    </w:p>
    <w:p>
      <w:pPr>
        <w:pStyle w:val="NormalNumberedtext"/>
      </w:pPr>
      <w:r>
        <w:t>This section defines requirements for identifying and characterising all non-mineral waste streams, classifying them, and maintaining the project Material and Waste Register.</w:t>
      </w:r>
    </w:p>
    <w:p>
      <w:pPr>
        <w:pStyle w:val="NormalNumberedtext"/>
      </w:pPr>
    </w:p>
    <w:p>
      <w:pPr>
        <w:pStyle w:val="Heading2Numbered"/>
        <w:numPr>
          <w:ilvl w:val="1"/>
          <w:numId w:val="1"/>
        </w:numPr>
      </w:pPr>
      <w:r>
        <w:rPr>
          <w:rFonts w:ascii="Arial" w:hAnsi="Arial" w:cs="Arial" w:eastAsia="Arial"/>
        </w:rPr>
        <w:t>Waste Stream Identification and Classification</w:t>
      </w:r>
    </w:p>
    <w:p>
      <w:pPr>
        <w:pStyle w:val="NormalNumberedtext"/>
      </w:pPr>
      <w:r>
        <w:t>This section defines how all waste streams must be identified, characterised, and classified before construction commences and maintained throughout execution.</w:t>
      </w:r>
    </w:p>
    <w:p>
      <w:pPr>
        <w:pStyle w:val="NormalNumberedtext"/>
      </w:pPr>
      <w:r>
        <w:t>All non-mineral waste streams generated on the project must be identified and characterised before construction commences. Classification as hazardous or non-hazardous must be determined in accordance with applicable jurisdictional legislation and IFC EHS General Guidelines Section 1.5, and must drive the storage, handling, and disposal requirements applied to each stream.</w:t>
      </w:r>
    </w:p>
    <w:p>
      <w:pPr>
        <w:pStyle w:val="NormalNumberedtext"/>
      </w:pPr>
      <w:r>
        <w:t>The project waste stream inventory must be developed before construction commences and maintained for the life of the project. The inventory must document all expected waste types, estimated generation volumes, hazardous or non-hazardous classification, and the management pathway applied to each stream:</w:t>
      </w:r>
    </w:p>
    <w:p>
      <w:pPr>
        <w:pStyle w:val="NormalNumberedtext"/>
      </w:pPr>
      <w:r>
        <w:rPr>
          <w:b/>
          <w:bCs/>
          <w:color w:val="0059D1"/>
        </w:rPr>
        <w:t>[INSERT: waste_stream_inventory_appendix] — Reference the completed project waste stream inventory as Appendix A to this procedure. Include all expected waste types, estimated volumes, and hazardous/non-hazardous classification before this document is issued.</w:t>
      </w:r>
    </w:p>
    <w:p>
      <w:pPr>
        <w:pStyle w:val="NormalNumberedtext"/>
      </w:pPr>
      <w:r>
        <w:t>The use of banned substances is prohibited on this project. The following substances must not be specified, procured, or used in any project activity:</w:t>
      </w:r>
    </w:p>
    <w:p>
      <w:pPr>
        <w:pStyle w:val="NormalNumberedtext"/>
      </w:pPr>
      <w:r>
        <w:t>Banned substances prohibited from use on this project include:</w:t>
      </w:r>
    </w:p>
    <w:p>
      <w:pPr>
        <w:pStyle w:val="NumberedBulletL1"/>
      </w:pPr>
      <w:r>
        <w:t>Asbestos-containing materials in any form.</w:t>
      </w:r>
    </w:p>
    <w:p>
      <w:pPr>
        <w:pStyle w:val="NumberedBulletL1"/>
      </w:pPr>
      <w:r>
        <w:t>Lead-based paints for any application.</w:t>
      </w:r>
    </w:p>
    <w:p>
      <w:pPr>
        <w:pStyle w:val="NumberedBulletL1"/>
      </w:pPr>
      <w:r>
        <w:t>Hexavalent chromium-containing products including coatings, inhibitors, and surface treatments.</w:t>
      </w:r>
    </w:p>
    <w:p>
      <w:pPr>
        <w:pStyle w:val="NumberedBulletL1"/>
      </w:pPr>
      <w:r>
        <w:rPr>
          <w:color w:val="C55A11"/>
        </w:rPr>
        <w:t>Any additional substances identified as prohibited under the project chemical approval process governed by [INSERT: Project Document Number].</w:t>
      </w:r>
    </w:p>
    <w:p>
      <w:pPr>
        <w:pStyle w:val="NormalNumberedtext"/>
      </w:pPr>
      <w:r>
        <w:rPr>
          <w:color w:val="C55A11"/>
        </w:rPr>
        <w:t>The Project HSE Manager is responsible for confirming the waste stream inventory is complete and approved before any ground disturbance or construction activity commences. Where new waste streams are identified during execution, the inventory must be updated within five business days of identification.</w:t>
      </w:r>
    </w:p>
    <w:p>
      <w:pPr>
        <w:pStyle w:val="NormalNumberedtext"/>
      </w:pPr>
    </w:p>
    <w:p>
      <w:pPr>
        <w:pStyle w:val="Heading2Numbered"/>
        <w:numPr>
          <w:ilvl w:val="1"/>
          <w:numId w:val="1"/>
        </w:numPr>
      </w:pPr>
      <w:r>
        <w:rPr>
          <w:rFonts w:ascii="Arial" w:hAnsi="Arial" w:cs="Arial" w:eastAsia="Arial"/>
        </w:rPr>
        <w:t>Material and Waste Register</w:t>
      </w:r>
    </w:p>
    <w:p>
      <w:pPr>
        <w:pStyle w:val="NormalNumberedtext"/>
      </w:pPr>
      <w:r>
        <w:t>This section defines the content requirements, update obligations, and ownership of the project Material and Waste Register.</w:t>
      </w:r>
    </w:p>
    <w:p>
      <w:pPr>
        <w:pStyle w:val="NormalNumberedtext"/>
      </w:pPr>
      <w:r>
        <w:t>The project Material and Waste Register is maintained as [INSERT: Project Document Number]. The register is the single source of record for all waste stream and hazardous material data on the project and must be kept current throughout the project lifecycle.</w:t>
      </w:r>
    </w:p>
    <w:p>
      <w:pPr>
        <w:pStyle w:val="NormalNumberedtext"/>
      </w:pPr>
      <w:r>
        <w:t>The Material and Waste Register must document the following information for each waste stream and hazardous material category:</w:t>
      </w:r>
    </w:p>
    <w:p>
      <w:pPr>
        <w:pStyle w:val="NormalNumberedtext"/>
      </w:pPr>
      <w:r>
        <w:t>Table: Material and Waste Register - Required Data Fields [INSERT: Project Document Number]</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Data Field</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Description</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Update Frequency</w:t>
            </w:r>
          </w:p>
        </w:tc>
      </w:tr>
      <w:tr>
        <w:tc>
          <w:tcPr>
            <w:tcW w:type="dxa" w:w="3008"/>
          </w:tcPr>
          <w:p>
            <w:pPr>
              <w:pStyle w:val="TableContents"/>
              <w:spacing w:before="0" w:after="0" w:line="240" w:lineRule="atLeast"/>
            </w:pPr>
            <w:r>
              <w:rPr>
                <w:rFonts w:ascii="Arial" w:hAnsi="Arial" w:cs="Arial" w:eastAsia="Arial"/>
                <w:sz w:val="16"/>
                <w:szCs w:val="16"/>
              </w:rPr>
              <w:t>Waste stream or material type</w:t>
            </w:r>
          </w:p>
        </w:tc>
        <w:tc>
          <w:tcPr>
            <w:tcW w:type="dxa" w:w="3008"/>
          </w:tcPr>
          <w:p>
            <w:pPr>
              <w:pStyle w:val="TableContents"/>
              <w:spacing w:before="0" w:after="0" w:line="240" w:lineRule="atLeast"/>
            </w:pPr>
            <w:r>
              <w:rPr>
                <w:rFonts w:ascii="Arial" w:hAnsi="Arial" w:cs="Arial" w:eastAsia="Arial"/>
                <w:sz w:val="16"/>
                <w:szCs w:val="16"/>
              </w:rPr>
              <w:t>Name and description of the waste or material</w:t>
            </w:r>
          </w:p>
        </w:tc>
        <w:tc>
          <w:tcPr>
            <w:tcW w:type="dxa" w:w="3010"/>
          </w:tcPr>
          <w:p>
            <w:pPr>
              <w:pStyle w:val="TableContents"/>
              <w:spacing w:before="0" w:after="0" w:line="240" w:lineRule="atLeast"/>
            </w:pPr>
            <w:r>
              <w:rPr>
                <w:rFonts w:ascii="Arial" w:hAnsi="Arial" w:cs="Arial" w:eastAsia="Arial"/>
                <w:sz w:val="16"/>
                <w:szCs w:val="16"/>
              </w:rPr>
              <w:t>At identification or change</w:t>
            </w:r>
          </w:p>
        </w:tc>
      </w:tr>
      <w:tr>
        <w:tc>
          <w:tcPr>
            <w:tcW w:type="dxa" w:w="3008"/>
          </w:tcPr>
          <w:p>
            <w:pPr>
              <w:pStyle w:val="TableContents"/>
              <w:spacing w:before="0" w:after="0" w:line="240" w:lineRule="atLeast"/>
            </w:pPr>
            <w:r>
              <w:rPr>
                <w:rFonts w:ascii="Arial" w:hAnsi="Arial" w:cs="Arial" w:eastAsia="Arial"/>
                <w:sz w:val="16"/>
                <w:szCs w:val="16"/>
              </w:rPr>
              <w:t>Location</w:t>
            </w:r>
          </w:p>
        </w:tc>
        <w:tc>
          <w:tcPr>
            <w:tcW w:type="dxa" w:w="3008"/>
          </w:tcPr>
          <w:p>
            <w:pPr>
              <w:pStyle w:val="TableContents"/>
              <w:spacing w:before="0" w:after="0" w:line="240" w:lineRule="atLeast"/>
            </w:pPr>
            <w:r>
              <w:rPr>
                <w:rFonts w:ascii="Arial" w:hAnsi="Arial" w:cs="Arial" w:eastAsia="Arial"/>
                <w:sz w:val="16"/>
                <w:szCs w:val="16"/>
              </w:rPr>
              <w:t>Storage location, generation point, or facility reference</w:t>
            </w:r>
          </w:p>
        </w:tc>
        <w:tc>
          <w:tcPr>
            <w:tcW w:type="dxa" w:w="3010"/>
          </w:tcPr>
          <w:p>
            <w:pPr>
              <w:pStyle w:val="TableContents"/>
              <w:spacing w:before="0" w:after="0" w:line="240" w:lineRule="atLeast"/>
            </w:pPr>
            <w:r>
              <w:rPr>
                <w:rFonts w:ascii="Arial" w:hAnsi="Arial" w:cs="Arial" w:eastAsia="Arial"/>
                <w:sz w:val="16"/>
                <w:szCs w:val="16"/>
              </w:rPr>
              <w:t>At identification or change</w:t>
            </w:r>
          </w:p>
        </w:tc>
      </w:tr>
      <w:tr>
        <w:tc>
          <w:tcPr>
            <w:tcW w:type="dxa" w:w="3008"/>
          </w:tcPr>
          <w:p>
            <w:pPr>
              <w:pStyle w:val="TableContents"/>
              <w:spacing w:before="0" w:after="0" w:line="240" w:lineRule="atLeast"/>
            </w:pPr>
            <w:r>
              <w:rPr>
                <w:rFonts w:ascii="Arial" w:hAnsi="Arial" w:cs="Arial" w:eastAsia="Arial"/>
                <w:sz w:val="16"/>
                <w:szCs w:val="16"/>
              </w:rPr>
              <w:t>Annual inventory</w:t>
            </w:r>
          </w:p>
        </w:tc>
        <w:tc>
          <w:tcPr>
            <w:tcW w:type="dxa" w:w="3008"/>
          </w:tcPr>
          <w:p>
            <w:pPr>
              <w:pStyle w:val="TableContents"/>
              <w:spacing w:before="0" w:after="0" w:line="240" w:lineRule="atLeast"/>
            </w:pPr>
            <w:r>
              <w:rPr>
                <w:rFonts w:ascii="Arial" w:hAnsi="Arial" w:cs="Arial" w:eastAsia="Arial"/>
                <w:sz w:val="16"/>
                <w:szCs w:val="16"/>
              </w:rPr>
              <w:t>Estimated or actual quantity generated or held per year</w:t>
            </w:r>
          </w:p>
        </w:tc>
        <w:tc>
          <w:tcPr>
            <w:tcW w:type="dxa" w:w="3010"/>
          </w:tcPr>
          <w:p>
            <w:pPr>
              <w:pStyle w:val="TableContents"/>
              <w:spacing w:before="0" w:after="0" w:line="240" w:lineRule="atLeast"/>
            </w:pPr>
            <w:r>
              <w:rPr>
                <w:rFonts w:ascii="Arial" w:hAnsi="Arial" w:cs="Arial" w:eastAsia="Arial"/>
                <w:sz w:val="16"/>
                <w:szCs w:val="16"/>
              </w:rPr>
              <w:t>Annually and at project close</w:t>
            </w:r>
          </w:p>
        </w:tc>
      </w:tr>
      <w:tr>
        <w:tc>
          <w:tcPr>
            <w:tcW w:type="dxa" w:w="3008"/>
          </w:tcPr>
          <w:p>
            <w:pPr>
              <w:pStyle w:val="TableContents"/>
              <w:spacing w:before="0" w:after="0" w:line="240" w:lineRule="atLeast"/>
            </w:pPr>
            <w:r>
              <w:rPr>
                <w:rFonts w:ascii="Arial" w:hAnsi="Arial" w:cs="Arial" w:eastAsia="Arial"/>
                <w:sz w:val="16"/>
                <w:szCs w:val="16"/>
              </w:rPr>
              <w:t>Cumulative inventory</w:t>
            </w:r>
          </w:p>
        </w:tc>
        <w:tc>
          <w:tcPr>
            <w:tcW w:type="dxa" w:w="3008"/>
          </w:tcPr>
          <w:p>
            <w:pPr>
              <w:pStyle w:val="TableContents"/>
              <w:spacing w:before="0" w:after="0" w:line="240" w:lineRule="atLeast"/>
            </w:pPr>
            <w:r>
              <w:rPr>
                <w:rFonts w:ascii="Arial" w:hAnsi="Arial" w:cs="Arial" w:eastAsia="Arial"/>
                <w:sz w:val="16"/>
                <w:szCs w:val="16"/>
              </w:rPr>
              <w:t>Total quantity generated or held since project commencement</w:t>
            </w:r>
          </w:p>
        </w:tc>
        <w:tc>
          <w:tcPr>
            <w:tcW w:type="dxa" w:w="3010"/>
          </w:tcPr>
          <w:p>
            <w:pPr>
              <w:pStyle w:val="TableContents"/>
              <w:spacing w:before="0" w:after="0" w:line="240" w:lineRule="atLeast"/>
            </w:pPr>
            <w:r>
              <w:rPr>
                <w:rFonts w:ascii="Arial" w:hAnsi="Arial" w:cs="Arial" w:eastAsia="Arial"/>
                <w:sz w:val="16"/>
                <w:szCs w:val="16"/>
              </w:rPr>
              <w:t>Annually and at project close</w:t>
            </w:r>
          </w:p>
        </w:tc>
      </w:tr>
      <w:tr>
        <w:tc>
          <w:tcPr>
            <w:tcW w:type="dxa" w:w="3008"/>
          </w:tcPr>
          <w:p>
            <w:pPr>
              <w:pStyle w:val="TableContents"/>
              <w:spacing w:before="0" w:after="0" w:line="240" w:lineRule="atLeast"/>
            </w:pPr>
            <w:r>
              <w:rPr>
                <w:rFonts w:ascii="Arial" w:hAnsi="Arial" w:cs="Arial" w:eastAsia="Arial"/>
                <w:sz w:val="16"/>
                <w:szCs w:val="16"/>
              </w:rPr>
              <w:t>Classification</w:t>
            </w:r>
          </w:p>
        </w:tc>
        <w:tc>
          <w:tcPr>
            <w:tcW w:type="dxa" w:w="3008"/>
          </w:tcPr>
          <w:p>
            <w:pPr>
              <w:pStyle w:val="TableContents"/>
              <w:spacing w:before="0" w:after="0" w:line="240" w:lineRule="atLeast"/>
            </w:pPr>
            <w:r>
              <w:rPr>
                <w:rFonts w:ascii="Arial" w:hAnsi="Arial" w:cs="Arial" w:eastAsia="Arial"/>
                <w:sz w:val="16"/>
                <w:szCs w:val="16"/>
              </w:rPr>
              <w:t>Hazardous or non-hazardous, with basis for classification</w:t>
            </w:r>
          </w:p>
        </w:tc>
        <w:tc>
          <w:tcPr>
            <w:tcW w:type="dxa" w:w="3010"/>
          </w:tcPr>
          <w:p>
            <w:pPr>
              <w:pStyle w:val="TableContents"/>
              <w:spacing w:before="0" w:after="0" w:line="240" w:lineRule="atLeast"/>
            </w:pPr>
            <w:r>
              <w:rPr>
                <w:rFonts w:ascii="Arial" w:hAnsi="Arial" w:cs="Arial" w:eastAsia="Arial"/>
                <w:sz w:val="16"/>
                <w:szCs w:val="16"/>
              </w:rPr>
              <w:t>At identification or reclassification</w:t>
            </w:r>
          </w:p>
        </w:tc>
      </w:tr>
      <w:tr>
        <w:tc>
          <w:tcPr>
            <w:tcW w:type="dxa" w:w="3008"/>
          </w:tcPr>
          <w:p>
            <w:pPr>
              <w:pStyle w:val="TableContents"/>
              <w:spacing w:before="0" w:after="0" w:line="240" w:lineRule="atLeast"/>
            </w:pPr>
            <w:r>
              <w:rPr>
                <w:rFonts w:ascii="Arial" w:hAnsi="Arial" w:cs="Arial" w:eastAsia="Arial"/>
                <w:sz w:val="16"/>
                <w:szCs w:val="16"/>
              </w:rPr>
              <w:t>Management pathway</w:t>
            </w:r>
          </w:p>
        </w:tc>
        <w:tc>
          <w:tcPr>
            <w:tcW w:type="dxa" w:w="3008"/>
          </w:tcPr>
          <w:p>
            <w:pPr>
              <w:pStyle w:val="TableContents"/>
              <w:spacing w:before="0" w:after="0" w:line="240" w:lineRule="atLeast"/>
            </w:pPr>
            <w:r>
              <w:rPr>
                <w:rFonts w:ascii="Arial" w:hAnsi="Arial" w:cs="Arial" w:eastAsia="Arial"/>
                <w:sz w:val="16"/>
                <w:szCs w:val="16"/>
              </w:rPr>
              <w:t>Hierarchy step applied - reduce, reuse, recycle, recover, treat, or dispose</w:t>
            </w:r>
          </w:p>
        </w:tc>
        <w:tc>
          <w:tcPr>
            <w:tcW w:type="dxa" w:w="3010"/>
          </w:tcPr>
          <w:p>
            <w:pPr>
              <w:pStyle w:val="TableContents"/>
              <w:spacing w:before="0" w:after="0" w:line="240" w:lineRule="atLeast"/>
            </w:pPr>
            <w:r>
              <w:rPr>
                <w:rFonts w:ascii="Arial" w:hAnsi="Arial" w:cs="Arial" w:eastAsia="Arial"/>
                <w:sz w:val="16"/>
                <w:szCs w:val="16"/>
              </w:rPr>
              <w:t>At identification or change</w:t>
            </w:r>
          </w:p>
        </w:tc>
      </w:tr>
      <w:tr>
        <w:tc>
          <w:tcPr>
            <w:tcW w:type="dxa" w:w="3008"/>
          </w:tcPr>
          <w:p>
            <w:pPr>
              <w:pStyle w:val="TableContents"/>
              <w:spacing w:before="0" w:after="0" w:line="240" w:lineRule="atLeast"/>
            </w:pPr>
            <w:r>
              <w:rPr>
                <w:rFonts w:ascii="Arial" w:hAnsi="Arial" w:cs="Arial" w:eastAsia="Arial"/>
                <w:sz w:val="16"/>
                <w:szCs w:val="16"/>
              </w:rPr>
              <w:t>Approved disposal or treatment facility</w:t>
            </w:r>
          </w:p>
        </w:tc>
        <w:tc>
          <w:tcPr>
            <w:tcW w:type="dxa" w:w="3008"/>
          </w:tcPr>
          <w:p>
            <w:pPr>
              <w:pStyle w:val="TableContents"/>
              <w:spacing w:before="0" w:after="0" w:line="240" w:lineRule="atLeast"/>
            </w:pPr>
            <w:r>
              <w:rPr>
                <w:rFonts w:ascii="Arial" w:hAnsi="Arial" w:cs="Arial" w:eastAsia="Arial"/>
                <w:sz w:val="16"/>
                <w:szCs w:val="16"/>
              </w:rPr>
              <w:t>Name and licence reference of receiving facility</w:t>
            </w:r>
          </w:p>
        </w:tc>
        <w:tc>
          <w:tcPr>
            <w:tcW w:type="dxa" w:w="3010"/>
          </w:tcPr>
          <w:p>
            <w:pPr>
              <w:pStyle w:val="TableContents"/>
              <w:spacing w:before="0" w:after="0" w:line="240" w:lineRule="atLeast"/>
            </w:pPr>
            <w:r>
              <w:rPr>
                <w:rFonts w:ascii="Arial" w:hAnsi="Arial" w:cs="Arial" w:eastAsia="Arial"/>
                <w:sz w:val="16"/>
                <w:szCs w:val="16"/>
              </w:rPr>
              <w:t>At contractor approval or change</w:t>
            </w:r>
          </w:p>
        </w:tc>
      </w:tr>
      <w:tr>
        <w:tc>
          <w:tcPr>
            <w:tcW w:type="dxa" w:w="3008"/>
          </w:tcPr>
          <w:p>
            <w:pPr>
              <w:pStyle w:val="TableContents"/>
              <w:spacing w:before="0" w:after="0" w:line="240" w:lineRule="atLeast"/>
            </w:pPr>
            <w:r>
              <w:rPr>
                <w:rFonts w:ascii="Arial" w:hAnsi="Arial" w:cs="Arial" w:eastAsia="Arial"/>
                <w:sz w:val="16"/>
                <w:szCs w:val="16"/>
              </w:rPr>
              <w:t>Inspection requirement</w:t>
            </w:r>
          </w:p>
        </w:tc>
        <w:tc>
          <w:tcPr>
            <w:tcW w:type="dxa" w:w="3008"/>
          </w:tcPr>
          <w:p>
            <w:pPr>
              <w:pStyle w:val="TableContents"/>
              <w:spacing w:before="0" w:after="0" w:line="240" w:lineRule="atLeast"/>
            </w:pPr>
            <w:r>
              <w:rPr>
                <w:rFonts w:ascii="Arial" w:hAnsi="Arial" w:cs="Arial" w:eastAsia="Arial"/>
                <w:sz w:val="16"/>
                <w:szCs w:val="16"/>
              </w:rPr>
              <w:t>Inspection frequency for storage areas, permitted facilities, or stockpiles</w:t>
            </w:r>
          </w:p>
        </w:tc>
        <w:tc>
          <w:tcPr>
            <w:tcW w:type="dxa" w:w="3010"/>
          </w:tcPr>
          <w:p>
            <w:pPr>
              <w:pStyle w:val="TableContents"/>
              <w:spacing w:before="0" w:after="0" w:line="240" w:lineRule="atLeast"/>
            </w:pPr>
            <w:r>
              <w:rPr>
                <w:rFonts w:ascii="Arial" w:hAnsi="Arial" w:cs="Arial" w:eastAsia="Arial"/>
                <w:sz w:val="16"/>
                <w:szCs w:val="16"/>
              </w:rPr>
              <w:t>At identification or change</w:t>
            </w:r>
          </w:p>
        </w:tc>
      </w:tr>
      <w:tr>
        <w:tc>
          <w:tcPr>
            <w:tcW w:type="dxa" w:w="3008"/>
          </w:tcPr>
          <w:p>
            <w:pPr>
              <w:pStyle w:val="TableContents"/>
              <w:spacing w:before="0" w:after="0" w:line="240" w:lineRule="atLeast"/>
            </w:pPr>
            <w:r>
              <w:rPr>
                <w:rFonts w:ascii="Arial" w:hAnsi="Arial" w:cs="Arial" w:eastAsia="Arial"/>
                <w:b/>
                <w:bCs/>
                <w:color w:val="0059D1"/>
                <w:sz w:val="16"/>
                <w:szCs w:val="16"/>
              </w:rPr>
              <w:t>[INSERT: project-specific waste stream rows]</w:t>
            </w:r>
          </w:p>
        </w:tc>
        <w:tc>
          <w:tcPr>
            <w:tcW w:type="dxa" w:w="3008"/>
          </w:tcPr>
          <w:p>
            <w:pPr>
              <w:pStyle w:val="TableContents"/>
              <w:spacing w:before="0" w:after="0" w:line="240" w:lineRule="atLeast"/>
            </w:pPr>
            <w:r>
              <w:rPr>
                <w:rFonts w:ascii="Arial" w:hAnsi="Arial" w:cs="Arial" w:eastAsia="Arial"/>
                <w:b/>
                <w:bCs/>
                <w:color w:val="0059D1"/>
                <w:sz w:val="16"/>
                <w:szCs w:val="16"/>
              </w:rPr>
              <w:t>[INSERT: description]</w:t>
            </w:r>
          </w:p>
        </w:tc>
        <w:tc>
          <w:tcPr>
            <w:tcW w:type="dxa" w:w="3010"/>
          </w:tcPr>
          <w:p>
            <w:pPr>
              <w:pStyle w:val="TableContents"/>
              <w:spacing w:before="0" w:after="0" w:line="240" w:lineRule="atLeast"/>
            </w:pPr>
            <w:r>
              <w:rPr>
                <w:rFonts w:ascii="Arial" w:hAnsi="Arial" w:cs="Arial" w:eastAsia="Arial"/>
                <w:b/>
                <w:bCs/>
                <w:color w:val="0059D1"/>
                <w:sz w:val="16"/>
                <w:szCs w:val="16"/>
              </w:rPr>
              <w:t>[INSERT: frequency]</w:t>
            </w:r>
          </w:p>
        </w:tc>
      </w:tr>
    </w:tbl>
    <w:p>
      <w:pPr>
        <w:pStyle w:val="NormalNumberedtext"/>
      </w:pPr>
    </w:p>
    <w:p>
      <w:pPr>
        <w:pStyle w:val="NormalNumberedtext"/>
      </w:pPr>
      <w:r>
        <w:rPr>
          <w:color w:val="C55A11"/>
        </w:rPr>
        <w:t>The Project HSE Manager owns [INSERT: Project Document Number] and is responsible for ensuring it is reviewed and updated at least annually and whenever a new waste stream is identified, a management pathway changes, or a disposal contractor or facility is added or removed.</w:t>
      </w:r>
    </w:p>
    <w:p>
      <w:pPr>
        <w:pStyle w:val="NormalNumberedtext"/>
      </w:pPr>
    </w:p>
    <w:p>
      <w:pPr>
        <w:pStyle w:val="Heading1Numbered"/>
        <w:numPr>
          <w:ilvl w:val="0"/>
          <w:numId w:val="1"/>
        </w:numPr>
      </w:pPr>
      <w:r>
        <w:rPr>
          <w:rFonts w:ascii="Arial" w:hAnsi="Arial" w:cs="Arial" w:eastAsia="Arial"/>
        </w:rPr>
        <w:t>Waste Management Hierarchy and Storage</w:t>
      </w:r>
    </w:p>
    <w:p>
      <w:pPr>
        <w:pStyle w:val="NormalNumberedtext"/>
      </w:pPr>
      <w:r>
        <w:t>This section defines how the waste management hierarchy must be applied to each significant waste stream and the storage requirements that apply to hazardous materials and waste.</w:t>
      </w:r>
    </w:p>
    <w:p>
      <w:pPr>
        <w:pStyle w:val="NormalNumberedtext"/>
      </w:pPr>
    </w:p>
    <w:p>
      <w:pPr>
        <w:pStyle w:val="Heading2Numbered"/>
        <w:numPr>
          <w:ilvl w:val="1"/>
          <w:numId w:val="1"/>
        </w:numPr>
      </w:pPr>
      <w:r>
        <w:rPr>
          <w:rFonts w:ascii="Arial" w:hAnsi="Arial" w:cs="Arial" w:eastAsia="Arial"/>
        </w:rPr>
        <w:t>Waste Management Hierarchy Application</w:t>
      </w:r>
    </w:p>
    <w:p>
      <w:pPr>
        <w:pStyle w:val="NormalNumberedtext"/>
      </w:pPr>
      <w:r>
        <w:t>This section defines the required order of preference for managing waste streams and the documentation obligation for each significant stream.</w:t>
      </w:r>
    </w:p>
    <w:p>
      <w:pPr>
        <w:pStyle w:val="NormalNumberedtext"/>
      </w:pPr>
      <w:r>
        <w:t>The waste management hierarchy must be applied to all significant waste streams generated on the project. The hierarchy must be applied in the following order of preference, and disposal is only acceptable where all higher-order options have been genuinely considered and documented as impracticable:</w:t>
      </w:r>
    </w:p>
    <w:p>
      <w:pPr>
        <w:pStyle w:val="NormalNumberedtext"/>
      </w:pPr>
      <w:r>
        <w:t>The waste management hierarchy, applied in descending order of preference, is:</w:t>
      </w:r>
    </w:p>
    <w:p>
      <w:pPr>
        <w:pStyle w:val="NumberedBulletL1"/>
      </w:pPr>
      <w:r>
        <w:t>Reduce - eliminate or minimise waste generation at source through design, procurement, or process change.</w:t>
      </w:r>
    </w:p>
    <w:p>
      <w:pPr>
        <w:pStyle w:val="NumberedBulletL1"/>
      </w:pPr>
      <w:r>
        <w:t>Reuse - use the material again for the same or equivalent purpose without processing.</w:t>
      </w:r>
    </w:p>
    <w:p>
      <w:pPr>
        <w:pStyle w:val="NumberedBulletL1"/>
      </w:pPr>
      <w:r>
        <w:t>Recycle - recover material value through reprocessing into the same or another product.</w:t>
      </w:r>
    </w:p>
    <w:p>
      <w:pPr>
        <w:pStyle w:val="NumberedBulletL1"/>
      </w:pPr>
      <w:r>
        <w:t>Recover - extract energy or other value from the waste stream.</w:t>
      </w:r>
    </w:p>
    <w:p>
      <w:pPr>
        <w:pStyle w:val="NumberedBulletL1"/>
      </w:pPr>
      <w:r>
        <w:t>Treat - reduce the hazard, volume, or toxicity of the waste before disposal.</w:t>
      </w:r>
    </w:p>
    <w:p>
      <w:pPr>
        <w:pStyle w:val="NumberedBulletL1"/>
      </w:pPr>
      <w:r>
        <w:t>Dispose - transfer to a licensed facility as the option of last resort.</w:t>
      </w:r>
    </w:p>
    <w:p>
      <w:pPr>
        <w:pStyle w:val="NormalNumberedtext"/>
      </w:pPr>
      <w:r>
        <w:t>For each significant waste stream, the Project HSE Manager must document in [INSERT: Project Document Number] the hierarchy step applied, the options considered at higher steps, and the basis for selecting the applied step. This documentation must be completed before the first generation event for each stream and reviewed annually.</w:t>
      </w:r>
    </w:p>
    <w:p>
      <w:pPr>
        <w:pStyle w:val="NormalNumberedtext"/>
      </w:pPr>
      <w:r>
        <w:rPr>
          <w:b/>
          <w:bCs/>
          <w:color w:val="0059D1"/>
        </w:rPr>
        <w:t>[INSERT: hierarchy_application_significant_streams] — List the significant waste streams for this project and the hierarchy step applied to each, with documented justification. This may be incorporated into Appendix A or RTPR-HSE-REG-0015.</w:t>
      </w:r>
    </w:p>
    <w:p>
      <w:pPr>
        <w:pStyle w:val="NormalNumberedtext"/>
      </w:pPr>
    </w:p>
    <w:p>
      <w:pPr>
        <w:pStyle w:val="Heading2Numbered"/>
        <w:numPr>
          <w:ilvl w:val="1"/>
          <w:numId w:val="1"/>
        </w:numPr>
      </w:pPr>
      <w:r>
        <w:rPr>
          <w:rFonts w:ascii="Arial" w:hAnsi="Arial" w:cs="Arial" w:eastAsia="Arial"/>
        </w:rPr>
        <w:t>Hazardous Material and Waste Storage Requirements</w:t>
      </w:r>
    </w:p>
    <w:p>
      <w:pPr>
        <w:pStyle w:val="NormalNumberedtext"/>
      </w:pPr>
      <w:r>
        <w:t>This section defines storage, bunding, secondary containment, and underground installation requirements for hazardous materials and wastes.</w:t>
      </w:r>
    </w:p>
    <w:p>
      <w:pPr>
        <w:pStyle w:val="NormalNumberedtext"/>
      </w:pPr>
      <w:r>
        <w:t>Storage facilities for hazardous materials and hazardous waste must be managed to maintain structural stability and prevent pollution of soil, surface water, and groundwater. Storage areas must be inspected at the frequency recorded in [INSERT: Project Document Number] and defects remediated without delay.</w:t>
      </w:r>
    </w:p>
    <w:p>
      <w:pPr>
        <w:pStyle w:val="NormalNumberedtext"/>
      </w:pPr>
      <w:r>
        <w:t>The underground installation of new tanks and pipelines for hazardous or high-risk materials is prohibited on this project. All new installations for hazardous materials must be above ground with secondary containment. This prohibition applies from project commencement and must be incorporated into design and procurement requirements.</w:t>
      </w:r>
    </w:p>
    <w:p>
      <w:pPr>
        <w:pStyle w:val="NormalNumberedtext"/>
      </w:pPr>
      <w:r>
        <w:t>Secondary containment systems must be designed to retain the full volume of the largest single vessel plus rainfall allowance. Drain connections from secondary containment must be managed as follows:</w:t>
      </w:r>
    </w:p>
    <w:p>
      <w:pPr>
        <w:pStyle w:val="NormalNumberedtext"/>
      </w:pPr>
      <w:r>
        <w:t>Secondary containment drain management requirements are:</w:t>
      </w:r>
    </w:p>
    <w:p>
      <w:pPr>
        <w:pStyle w:val="NumberedBulletL1"/>
      </w:pPr>
      <w:r>
        <w:t>All secondary containment drain connections must be normally plugged or fitted with locked-closed valves.</w:t>
      </w:r>
    </w:p>
    <w:p>
      <w:pPr>
        <w:pStyle w:val="NumberedBulletL1"/>
      </w:pPr>
      <w:r>
        <w:t>Direct discharge from secondary containment to the environment is prohibited without written Company approval.</w:t>
      </w:r>
    </w:p>
    <w:p>
      <w:pPr>
        <w:pStyle w:val="NumberedBulletL1"/>
      </w:pPr>
      <w:r>
        <w:t>Water accumulated in secondary containment must be inspected before release and confirmed uncontaminated. Contaminated water must be managed as liquid waste under [INSERT: Project Document Number].</w:t>
      </w:r>
    </w:p>
    <w:p>
      <w:pPr>
        <w:pStyle w:val="NumberedBulletL1"/>
      </w:pPr>
      <w:r>
        <w:rPr>
          <w:color w:val="C55A11"/>
        </w:rPr>
        <w:t>The Project HSE Manager confirms drain valve status and plug condition during routine site inspections conducted at a minimum monthly frequency.</w:t>
      </w:r>
    </w:p>
    <w:p>
      <w:pPr>
        <w:pStyle w:val="NormalNumberedtext"/>
      </w:pPr>
      <w:r>
        <w:t>Hydrocarbon and chemical spill kits must be maintained at all locations where these substances are stored or used on the project. Spill kits must be sized appropriate to the maximum volume of material present at that location and must be replenished on a defined schedule following any use or inspection finding of depletion:</w:t>
      </w:r>
    </w:p>
    <w:p>
      <w:pPr>
        <w:pStyle w:val="NormalNumberedtext"/>
      </w:pPr>
      <w:r>
        <w:t>Table: Spill Kit Locations and Replenishment Schedule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Location</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Material Stored or Used</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Spill Kit Size</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Inspection Frequency</w:t>
            </w:r>
          </w:p>
        </w:tc>
        <w:tc>
          <w:tcPr>
            <w:shd w:val="clear" w:color="auto" w:fill="1F3864"/>
            <w:tcW w:type="dxa" w:w="1806"/>
          </w:tcPr>
          <w:p>
            <w:pPr>
              <w:pStyle w:val="TableContents"/>
              <w:spacing w:before="0" w:after="0" w:line="240" w:lineRule="atLeast"/>
            </w:pPr>
            <w:r>
              <w:rPr>
                <w:rFonts w:ascii="Arial" w:hAnsi="Arial" w:cs="Arial" w:eastAsia="Arial"/>
                <w:b/>
                <w:bCs/>
                <w:color w:val="FFFFFF"/>
                <w:sz w:val="16"/>
                <w:szCs w:val="16"/>
              </w:rPr>
              <w:t>Replenishment Trigger</w:t>
            </w:r>
          </w:p>
        </w:tc>
      </w:tr>
      <w:tr>
        <w:tc>
          <w:tcPr>
            <w:tcW w:type="dxa" w:w="1805"/>
          </w:tcPr>
          <w:p>
            <w:pPr>
              <w:pStyle w:val="TableContents"/>
              <w:spacing w:before="0" w:after="0" w:line="240" w:lineRule="atLeast"/>
            </w:pPr>
            <w:r>
              <w:rPr>
                <w:rFonts w:ascii="Arial" w:hAnsi="Arial" w:cs="Arial" w:eastAsia="Arial"/>
                <w:sz w:val="16"/>
                <w:szCs w:val="16"/>
              </w:rPr>
              <w:t>Fuel storage area</w:t>
            </w:r>
          </w:p>
        </w:tc>
        <w:tc>
          <w:tcPr>
            <w:tcW w:type="dxa" w:w="1805"/>
          </w:tcPr>
          <w:p>
            <w:pPr>
              <w:pStyle w:val="TableContents"/>
              <w:spacing w:before="0" w:after="0" w:line="240" w:lineRule="atLeast"/>
            </w:pPr>
            <w:r>
              <w:rPr>
                <w:rFonts w:ascii="Arial" w:hAnsi="Arial" w:cs="Arial" w:eastAsia="Arial"/>
                <w:sz w:val="16"/>
                <w:szCs w:val="16"/>
              </w:rPr>
              <w:t>Diesel, petrol</w:t>
            </w:r>
          </w:p>
        </w:tc>
        <w:tc>
          <w:tcPr>
            <w:tcW w:type="dxa" w:w="1805"/>
          </w:tcPr>
          <w:p>
            <w:pPr>
              <w:pStyle w:val="TableContents"/>
              <w:spacing w:before="0" w:after="0" w:line="240" w:lineRule="atLeast"/>
            </w:pPr>
            <w:r>
              <w:rPr>
                <w:rFonts w:ascii="Arial" w:hAnsi="Arial" w:cs="Arial" w:eastAsia="Arial"/>
                <w:b/>
                <w:bCs/>
                <w:color w:val="0059D1"/>
                <w:sz w:val="16"/>
                <w:szCs w:val="16"/>
              </w:rPr>
              <w:t>[INSERT: volume]</w:t>
            </w:r>
          </w:p>
        </w:tc>
        <w:tc>
          <w:tcPr>
            <w:tcW w:type="dxa" w:w="1805"/>
          </w:tcPr>
          <w:p>
            <w:pPr>
              <w:pStyle w:val="TableContents"/>
              <w:spacing w:before="0" w:after="0" w:line="240" w:lineRule="atLeast"/>
            </w:pPr>
            <w:r>
              <w:rPr>
                <w:rFonts w:ascii="Arial" w:hAnsi="Arial" w:cs="Arial" w:eastAsia="Arial"/>
                <w:sz w:val="16"/>
                <w:szCs w:val="16"/>
              </w:rPr>
              <w:t>Weekly</w:t>
            </w:r>
          </w:p>
        </w:tc>
        <w:tc>
          <w:tcPr>
            <w:tcW w:type="dxa" w:w="1806"/>
          </w:tcPr>
          <w:p>
            <w:pPr>
              <w:pStyle w:val="TableContents"/>
              <w:spacing w:before="0" w:after="0" w:line="240" w:lineRule="atLeast"/>
            </w:pPr>
            <w:r>
              <w:rPr>
                <w:rFonts w:ascii="Arial" w:hAnsi="Arial" w:cs="Arial" w:eastAsia="Arial"/>
                <w:sz w:val="16"/>
                <w:szCs w:val="16"/>
              </w:rPr>
              <w:t>Post-use or depletion found at inspection</w:t>
            </w:r>
          </w:p>
        </w:tc>
      </w:tr>
      <w:tr>
        <w:tc>
          <w:tcPr>
            <w:tcW w:type="dxa" w:w="1805"/>
          </w:tcPr>
          <w:p>
            <w:pPr>
              <w:pStyle w:val="TableContents"/>
              <w:spacing w:before="0" w:after="0" w:line="240" w:lineRule="atLeast"/>
            </w:pPr>
            <w:r>
              <w:rPr>
                <w:rFonts w:ascii="Arial" w:hAnsi="Arial" w:cs="Arial" w:eastAsia="Arial"/>
                <w:sz w:val="16"/>
                <w:szCs w:val="16"/>
              </w:rPr>
              <w:t>Chemical storage compound</w:t>
            </w:r>
          </w:p>
        </w:tc>
        <w:tc>
          <w:tcPr>
            <w:tcW w:type="dxa" w:w="1805"/>
          </w:tcPr>
          <w:p>
            <w:pPr>
              <w:pStyle w:val="TableContents"/>
              <w:spacing w:before="0" w:after="0" w:line="240" w:lineRule="atLeast"/>
            </w:pPr>
            <w:r>
              <w:rPr>
                <w:rFonts w:ascii="Arial" w:hAnsi="Arial" w:cs="Arial" w:eastAsia="Arial"/>
                <w:sz w:val="16"/>
                <w:szCs w:val="16"/>
              </w:rPr>
              <w:t xml:space="preserve">Hazardous chemicals per </w:t>
            </w:r>
            <w:r>
              <w:rPr>
                <w:rFonts w:ascii="Arial" w:hAnsi="Arial" w:cs="Arial" w:eastAsia="Arial"/>
                <w:b/>
                <w:bCs/>
                <w:color w:val="0059D1"/>
                <w:sz w:val="16"/>
                <w:szCs w:val="16"/>
              </w:rPr>
              <w:t>[INSERT: Project Document Number]</w:t>
            </w:r>
          </w:p>
        </w:tc>
        <w:tc>
          <w:tcPr>
            <w:tcW w:type="dxa" w:w="1805"/>
          </w:tcPr>
          <w:p>
            <w:pPr>
              <w:pStyle w:val="TableContents"/>
              <w:spacing w:before="0" w:after="0" w:line="240" w:lineRule="atLeast"/>
            </w:pPr>
            <w:r>
              <w:rPr>
                <w:rFonts w:ascii="Arial" w:hAnsi="Arial" w:cs="Arial" w:eastAsia="Arial"/>
                <w:b/>
                <w:bCs/>
                <w:color w:val="0059D1"/>
                <w:sz w:val="16"/>
                <w:szCs w:val="16"/>
              </w:rPr>
              <w:t>[INSERT: volume]</w:t>
            </w:r>
          </w:p>
        </w:tc>
        <w:tc>
          <w:tcPr>
            <w:tcW w:type="dxa" w:w="1805"/>
          </w:tcPr>
          <w:p>
            <w:pPr>
              <w:pStyle w:val="TableContents"/>
              <w:spacing w:before="0" w:after="0" w:line="240" w:lineRule="atLeast"/>
            </w:pPr>
            <w:r>
              <w:rPr>
                <w:rFonts w:ascii="Arial" w:hAnsi="Arial" w:cs="Arial" w:eastAsia="Arial"/>
                <w:sz w:val="16"/>
                <w:szCs w:val="16"/>
              </w:rPr>
              <w:t>Weekly</w:t>
            </w:r>
          </w:p>
        </w:tc>
        <w:tc>
          <w:tcPr>
            <w:tcW w:type="dxa" w:w="1806"/>
          </w:tcPr>
          <w:p>
            <w:pPr>
              <w:pStyle w:val="TableContents"/>
              <w:spacing w:before="0" w:after="0" w:line="240" w:lineRule="atLeast"/>
            </w:pPr>
            <w:r>
              <w:rPr>
                <w:rFonts w:ascii="Arial" w:hAnsi="Arial" w:cs="Arial" w:eastAsia="Arial"/>
                <w:sz w:val="16"/>
                <w:szCs w:val="16"/>
              </w:rPr>
              <w:t>Post-use or depletion found at inspection</w:t>
            </w:r>
          </w:p>
        </w:tc>
      </w:tr>
      <w:tr>
        <w:tc>
          <w:tcPr>
            <w:tcW w:type="dxa" w:w="1805"/>
          </w:tcPr>
          <w:p>
            <w:pPr>
              <w:pStyle w:val="TableContents"/>
              <w:spacing w:before="0" w:after="0" w:line="240" w:lineRule="atLeast"/>
            </w:pPr>
            <w:r>
              <w:rPr>
                <w:rFonts w:ascii="Arial" w:hAnsi="Arial" w:cs="Arial" w:eastAsia="Arial"/>
                <w:b/>
                <w:bCs/>
                <w:color w:val="0059D1"/>
                <w:sz w:val="16"/>
                <w:szCs w:val="16"/>
              </w:rPr>
              <w:t>[INSERT: location]</w:t>
            </w:r>
          </w:p>
        </w:tc>
        <w:tc>
          <w:tcPr>
            <w:tcW w:type="dxa" w:w="1805"/>
          </w:tcPr>
          <w:p>
            <w:pPr>
              <w:pStyle w:val="TableContents"/>
              <w:spacing w:before="0" w:after="0" w:line="240" w:lineRule="atLeast"/>
            </w:pPr>
            <w:r>
              <w:rPr>
                <w:rFonts w:ascii="Arial" w:hAnsi="Arial" w:cs="Arial" w:eastAsia="Arial"/>
                <w:b/>
                <w:bCs/>
                <w:color w:val="0059D1"/>
                <w:sz w:val="16"/>
                <w:szCs w:val="16"/>
              </w:rPr>
              <w:t>[INSERT: material]</w:t>
            </w:r>
          </w:p>
        </w:tc>
        <w:tc>
          <w:tcPr>
            <w:tcW w:type="dxa" w:w="1805"/>
          </w:tcPr>
          <w:p>
            <w:pPr>
              <w:pStyle w:val="TableContents"/>
              <w:spacing w:before="0" w:after="0" w:line="240" w:lineRule="atLeast"/>
            </w:pPr>
            <w:r>
              <w:rPr>
                <w:rFonts w:ascii="Arial" w:hAnsi="Arial" w:cs="Arial" w:eastAsia="Arial"/>
                <w:b/>
                <w:bCs/>
                <w:color w:val="0059D1"/>
                <w:sz w:val="16"/>
                <w:szCs w:val="16"/>
              </w:rPr>
              <w:t>[INSERT: volume]</w:t>
            </w:r>
          </w:p>
        </w:tc>
        <w:tc>
          <w:tcPr>
            <w:tcW w:type="dxa" w:w="1805"/>
          </w:tcPr>
          <w:p>
            <w:pPr>
              <w:pStyle w:val="TableContents"/>
              <w:spacing w:before="0" w:after="0" w:line="240" w:lineRule="atLeast"/>
            </w:pPr>
            <w:r>
              <w:rPr>
                <w:rFonts w:ascii="Arial" w:hAnsi="Arial" w:cs="Arial" w:eastAsia="Arial"/>
                <w:b/>
                <w:bCs/>
                <w:color w:val="0059D1"/>
                <w:sz w:val="16"/>
                <w:szCs w:val="16"/>
              </w:rPr>
              <w:t>[INSERT: frequency]</w:t>
            </w:r>
          </w:p>
        </w:tc>
        <w:tc>
          <w:tcPr>
            <w:tcW w:type="dxa" w:w="1806"/>
          </w:tcPr>
          <w:p>
            <w:pPr>
              <w:pStyle w:val="TableContents"/>
              <w:spacing w:before="0" w:after="0" w:line="240" w:lineRule="atLeast"/>
            </w:pPr>
            <w:r>
              <w:rPr>
                <w:rFonts w:ascii="Arial" w:hAnsi="Arial" w:cs="Arial" w:eastAsia="Arial"/>
                <w:b/>
                <w:bCs/>
                <w:color w:val="0059D1"/>
                <w:sz w:val="16"/>
                <w:szCs w:val="16"/>
              </w:rPr>
              <w:t>[INSERT: trigger]</w:t>
            </w:r>
          </w:p>
        </w:tc>
      </w:tr>
    </w:tbl>
    <w:p>
      <w:pPr>
        <w:pStyle w:val="NormalNumberedtext"/>
      </w:pPr>
    </w:p>
    <w:p>
      <w:pPr>
        <w:pStyle w:val="Heading2Numbered"/>
        <w:numPr>
          <w:ilvl w:val="1"/>
          <w:numId w:val="1"/>
        </w:numPr>
      </w:pPr>
      <w:r>
        <w:rPr>
          <w:rFonts w:ascii="Arial" w:hAnsi="Arial" w:cs="Arial" w:eastAsia="Arial"/>
        </w:rPr>
        <w:t>PFAS Controls and Phase-Out</w:t>
      </w:r>
    </w:p>
    <w:p>
      <w:pPr>
        <w:pStyle w:val="NormalNumberedtext"/>
      </w:pPr>
      <w:r>
        <w:t>This section defines the prohibition on PFAS-containing firefighting foams and the requirements for any legacy systems remaining on the project site.</w:t>
      </w:r>
    </w:p>
    <w:p>
      <w:pPr>
        <w:pStyle w:val="NormalNumberedtext"/>
      </w:pPr>
      <w:r>
        <w:t>Fluorine-free firefighting foams must be used for all new firefighting foam installations on this project. The procurement and installation of any product containing per- and polyfluoroalkyl substances for firefighting purposes is prohibited from the date of this procedure.</w:t>
      </w:r>
    </w:p>
    <w:p>
      <w:pPr>
        <w:pStyle w:val="NormalNumberedtext"/>
      </w:pPr>
      <w:r>
        <w:t>Where legacy PFAS-containing firefighting foam systems exist on the project site at the time of mobilisation, retention requires written justification, documented controls to prevent uncontrolled release, and a phase-out plan with a defined completion date:</w:t>
      </w:r>
    </w:p>
    <w:p>
      <w:pPr>
        <w:pStyle w:val="NormalNumberedtext"/>
      </w:pPr>
      <w:r>
        <w:rPr>
          <w:b/>
          <w:bCs/>
          <w:color w:val="0059D1"/>
        </w:rPr>
        <w:t>[INSERT: pfas_legacy_systems] — If any legacy PFAS-containing firefighting foam systems exist on this project site, document here: (1) the justification for temporary retention, (2) the controls in place to prevent release, and (3) the phase-out plan including the defined completion date. If no legacy systems exist, confirm 'No legacy PFAS firefighting foam systems are present on this project site' and delete the remaining placeholder rows.</w:t>
      </w:r>
    </w:p>
    <w:p>
      <w:pPr>
        <w:pStyle w:val="NormalNumberedtext"/>
      </w:pPr>
      <w:r>
        <w:t>Table: Legacy PFAS System Register and Phase-Out Plan</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System Location</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Foam Product Name</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Volume (L)</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Retention Justification</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Release Prevention Controls</w:t>
            </w:r>
          </w:p>
        </w:tc>
        <w:tc>
          <w:tcPr>
            <w:shd w:val="clear" w:color="auto" w:fill="1F3864"/>
            <w:tcW w:type="dxa" w:w="1506"/>
          </w:tcPr>
          <w:p>
            <w:pPr>
              <w:pStyle w:val="TableContents"/>
              <w:spacing w:before="0" w:after="0" w:line="240" w:lineRule="atLeast"/>
            </w:pPr>
            <w:r>
              <w:rPr>
                <w:rFonts w:ascii="Arial" w:hAnsi="Arial" w:cs="Arial" w:eastAsia="Arial"/>
                <w:b/>
                <w:bCs/>
                <w:color w:val="FFFFFF"/>
                <w:sz w:val="16"/>
                <w:szCs w:val="16"/>
              </w:rPr>
              <w:t>Phase-Out Completion Date</w:t>
            </w:r>
          </w:p>
        </w:tc>
      </w:tr>
      <w:tr>
        <w:tc>
          <w:tcPr>
            <w:tcW w:type="dxa" w:w="1504"/>
          </w:tcPr>
          <w:p>
            <w:pPr>
              <w:pStyle w:val="TableContents"/>
              <w:spacing w:before="0" w:after="0" w:line="240" w:lineRule="atLeast"/>
            </w:pPr>
            <w:r>
              <w:rPr>
                <w:rFonts w:ascii="Arial" w:hAnsi="Arial" w:cs="Arial" w:eastAsia="Arial"/>
                <w:b/>
                <w:bCs/>
                <w:color w:val="0059D1"/>
                <w:sz w:val="16"/>
                <w:szCs w:val="16"/>
              </w:rPr>
              <w:t>[INSERT: location]</w:t>
            </w:r>
          </w:p>
        </w:tc>
        <w:tc>
          <w:tcPr>
            <w:tcW w:type="dxa" w:w="1504"/>
          </w:tcPr>
          <w:p>
            <w:pPr>
              <w:pStyle w:val="TableContents"/>
              <w:spacing w:before="0" w:after="0" w:line="240" w:lineRule="atLeast"/>
            </w:pPr>
            <w:r>
              <w:rPr>
                <w:rFonts w:ascii="Arial" w:hAnsi="Arial" w:cs="Arial" w:eastAsia="Arial"/>
                <w:b/>
                <w:bCs/>
                <w:color w:val="0059D1"/>
                <w:sz w:val="16"/>
                <w:szCs w:val="16"/>
              </w:rPr>
              <w:t>[INSERT: product]</w:t>
            </w:r>
          </w:p>
        </w:tc>
        <w:tc>
          <w:tcPr>
            <w:tcW w:type="dxa" w:w="1504"/>
          </w:tcPr>
          <w:p>
            <w:pPr>
              <w:pStyle w:val="TableContents"/>
              <w:spacing w:before="0" w:after="0" w:line="240" w:lineRule="atLeast"/>
            </w:pPr>
            <w:r>
              <w:rPr>
                <w:rFonts w:ascii="Arial" w:hAnsi="Arial" w:cs="Arial" w:eastAsia="Arial"/>
                <w:b/>
                <w:bCs/>
                <w:color w:val="0059D1"/>
                <w:sz w:val="16"/>
                <w:szCs w:val="16"/>
              </w:rPr>
              <w:t>[INSERT: volume]</w:t>
            </w:r>
          </w:p>
        </w:tc>
        <w:tc>
          <w:tcPr>
            <w:tcW w:type="dxa" w:w="1504"/>
          </w:tcPr>
          <w:p>
            <w:pPr>
              <w:pStyle w:val="TableContents"/>
              <w:spacing w:before="0" w:after="0" w:line="240" w:lineRule="atLeast"/>
            </w:pPr>
            <w:r>
              <w:rPr>
                <w:rFonts w:ascii="Arial" w:hAnsi="Arial" w:cs="Arial" w:eastAsia="Arial"/>
                <w:b/>
                <w:bCs/>
                <w:color w:val="0059D1"/>
                <w:sz w:val="16"/>
                <w:szCs w:val="16"/>
              </w:rPr>
              <w:t>[INSERT: justification]</w:t>
            </w:r>
          </w:p>
        </w:tc>
        <w:tc>
          <w:tcPr>
            <w:tcW w:type="dxa" w:w="1504"/>
          </w:tcPr>
          <w:p>
            <w:pPr>
              <w:pStyle w:val="TableContents"/>
              <w:spacing w:before="0" w:after="0" w:line="240" w:lineRule="atLeast"/>
            </w:pPr>
            <w:r>
              <w:rPr>
                <w:rFonts w:ascii="Arial" w:hAnsi="Arial" w:cs="Arial" w:eastAsia="Arial"/>
                <w:b/>
                <w:bCs/>
                <w:color w:val="0059D1"/>
                <w:sz w:val="16"/>
                <w:szCs w:val="16"/>
              </w:rPr>
              <w:t>[INSERT: controls]</w:t>
            </w:r>
          </w:p>
        </w:tc>
        <w:tc>
          <w:tcPr>
            <w:tcW w:type="dxa" w:w="1506"/>
          </w:tcPr>
          <w:p>
            <w:pPr>
              <w:pStyle w:val="TableContents"/>
              <w:spacing w:before="0" w:after="0" w:line="240" w:lineRule="atLeast"/>
            </w:pPr>
            <w:r>
              <w:rPr>
                <w:rFonts w:ascii="Arial" w:hAnsi="Arial" w:cs="Arial" w:eastAsia="Arial"/>
                <w:b/>
                <w:bCs/>
                <w:color w:val="0059D1"/>
                <w:sz w:val="16"/>
                <w:szCs w:val="16"/>
              </w:rPr>
              <w:t>[INSERT: date]</w:t>
            </w:r>
          </w:p>
        </w:tc>
      </w:tr>
    </w:tbl>
    <w:p>
      <w:pPr>
        <w:pStyle w:val="NormalNumberedtext"/>
      </w:pPr>
    </w:p>
    <w:p>
      <w:pPr>
        <w:pStyle w:val="Heading1Numbered"/>
        <w:numPr>
          <w:ilvl w:val="0"/>
          <w:numId w:val="1"/>
        </w:numPr>
      </w:pPr>
      <w:r>
        <w:rPr>
          <w:rFonts w:ascii="Arial" w:hAnsi="Arial" w:cs="Arial" w:eastAsia="Arial"/>
        </w:rPr>
        <w:t>Chain of Custody and Off-Site Disposal</w:t>
      </w:r>
    </w:p>
    <w:p>
      <w:pPr>
        <w:pStyle w:val="NormalNumberedtext"/>
      </w:pPr>
      <w:r>
        <w:t>This section defines chain of custody, contractor due diligence, and documentation requirements for all waste and hazardous materials transferred off-site.</w:t>
      </w:r>
    </w:p>
    <w:p>
      <w:pPr>
        <w:pStyle w:val="NormalNumberedtext"/>
      </w:pPr>
    </w:p>
    <w:p>
      <w:pPr>
        <w:pStyle w:val="Heading2Numbered"/>
        <w:numPr>
          <w:ilvl w:val="1"/>
          <w:numId w:val="1"/>
        </w:numPr>
      </w:pPr>
      <w:r>
        <w:rPr>
          <w:rFonts w:ascii="Arial" w:hAnsi="Arial" w:cs="Arial" w:eastAsia="Arial"/>
        </w:rPr>
        <w:t>Chain of Custody Requirements</w:t>
      </w:r>
    </w:p>
    <w:p>
      <w:pPr>
        <w:pStyle w:val="NormalNumberedtext"/>
      </w:pPr>
      <w:r>
        <w:t>This section defines what a chain of custody record must document and how traceability from generation to final disposition is maintained.</w:t>
      </w:r>
    </w:p>
    <w:p>
      <w:pPr>
        <w:pStyle w:val="NormalNumberedtext"/>
      </w:pPr>
      <w:r>
        <w:t>A documented chain of custody must be maintained for all waste and hazardous materials transferred off-site from the project. The chain of custody must demonstrate unbroken traceability from the point of generation on the project to final authorised disposition at the receiving facility.</w:t>
      </w:r>
    </w:p>
    <w:p>
      <w:pPr>
        <w:pStyle w:val="NormalNumberedtext"/>
      </w:pPr>
      <w:r>
        <w:t>Each chain of custody record must include at minimum the following information:</w:t>
      </w:r>
    </w:p>
    <w:p>
      <w:pPr>
        <w:pStyle w:val="NormalNumberedtext"/>
      </w:pPr>
      <w:r>
        <w:t>Chain of custody records must document:</w:t>
      </w:r>
    </w:p>
    <w:p>
      <w:pPr>
        <w:pStyle w:val="NumberedBulletL1"/>
      </w:pPr>
      <w:r>
        <w:t>Waste type, classification, and quantity transferred.</w:t>
      </w:r>
    </w:p>
    <w:p>
      <w:pPr>
        <w:pStyle w:val="NumberedBulletL1"/>
      </w:pPr>
      <w:r>
        <w:t>Date and point of generation or collection on the project.</w:t>
      </w:r>
    </w:p>
    <w:p>
      <w:pPr>
        <w:pStyle w:val="NumberedBulletL1"/>
      </w:pPr>
      <w:r>
        <w:t>Transporter name, vehicle identification, and licence or permit reference.</w:t>
      </w:r>
    </w:p>
    <w:p>
      <w:pPr>
        <w:pStyle w:val="NumberedBulletL1"/>
      </w:pPr>
      <w:r>
        <w:t>Receiving facility name, address, and applicable waste acceptance licence reference.</w:t>
      </w:r>
    </w:p>
    <w:p>
      <w:pPr>
        <w:pStyle w:val="NumberedBulletL1"/>
      </w:pPr>
      <w:r>
        <w:t>Confirmation of receipt and acceptance by the receiving facility.</w:t>
      </w:r>
    </w:p>
    <w:p>
      <w:pPr>
        <w:pStyle w:val="NumberedBulletL1"/>
      </w:pPr>
      <w:r>
        <w:t>Final disposition outcome - treatment type, disposal method, or recovery outcome.</w:t>
      </w:r>
    </w:p>
    <w:p>
      <w:pPr>
        <w:pStyle w:val="NumberedBulletL1"/>
      </w:pPr>
      <w:r>
        <w:rPr>
          <w:color w:val="C55A11"/>
        </w:rPr>
        <w:t>Chain of custody records are stored in the project document management system and linked to the relevant entry in [INSERT: Project Document Number].</w:t>
      </w:r>
    </w:p>
    <w:p>
      <w:pPr>
        <w:pStyle w:val="NormalNumberedtext"/>
      </w:pPr>
    </w:p>
    <w:p>
      <w:pPr>
        <w:pStyle w:val="Heading2Numbered"/>
        <w:numPr>
          <w:ilvl w:val="1"/>
          <w:numId w:val="1"/>
        </w:numPr>
      </w:pPr>
      <w:r>
        <w:rPr>
          <w:rFonts w:ascii="Arial" w:hAnsi="Arial" w:cs="Arial" w:eastAsia="Arial"/>
        </w:rPr>
        <w:t>Waste Contractor and Facility Due Diligence</w:t>
      </w:r>
    </w:p>
    <w:p>
      <w:pPr>
        <w:pStyle w:val="NormalNumberedtext"/>
      </w:pPr>
      <w:r>
        <w:t>This section defines how waste transport contractors and disposal or treatment facilities are vetted and approved before use on this project.</w:t>
      </w:r>
    </w:p>
    <w:p>
      <w:pPr>
        <w:pStyle w:val="NormalNumberedtext"/>
      </w:pPr>
      <w:r>
        <w:t>Off-site waste disposal and transport must only be conducted by contractors and facilities that are properly licensed, regulated, and verified through a documented due diligence process before first use. The project retains documentation of due diligence findings, contractor approval status, and disposal outcomes for the life of the project.</w:t>
      </w:r>
    </w:p>
    <w:p>
      <w:pPr>
        <w:pStyle w:val="NormalNumberedtext"/>
      </w:pPr>
      <w:r>
        <w:t>The due diligence process for waste contractors and facilities must include verification of the following before approval:</w:t>
      </w:r>
    </w:p>
    <w:p>
      <w:pPr>
        <w:pStyle w:val="NormalNumberedtext"/>
      </w:pPr>
      <w:r>
        <w:t>Contractor and facility due diligence must verify:</w:t>
      </w:r>
    </w:p>
    <w:p>
      <w:pPr>
        <w:pStyle w:val="NumberedBulletL1"/>
      </w:pPr>
      <w:r>
        <w:t>Current regulatory licence or permit authorising the relevant waste transport, treatment, or disposal activity.</w:t>
      </w:r>
    </w:p>
    <w:p>
      <w:pPr>
        <w:pStyle w:val="NumberedBulletL1"/>
      </w:pPr>
      <w:r>
        <w:t>Compliance history - no current regulatory notices, prosecutions, or licence suspensions relevant to waste management.</w:t>
      </w:r>
    </w:p>
    <w:p>
      <w:pPr>
        <w:pStyle w:val="NumberedBulletL1"/>
      </w:pPr>
      <w:r>
        <w:t>Financial and operational capacity to manage the volumes and waste types to be transferred.</w:t>
      </w:r>
    </w:p>
    <w:p>
      <w:pPr>
        <w:pStyle w:val="NumberedBulletL1"/>
      </w:pPr>
      <w:r>
        <w:t>Insurance coverage appropriate to the waste types and transport risks involved.</w:t>
      </w:r>
    </w:p>
    <w:p>
      <w:pPr>
        <w:pStyle w:val="NumberedBulletL1"/>
      </w:pPr>
      <w:r>
        <w:rPr>
          <w:color w:val="C55A11"/>
        </w:rPr>
        <w:t>Site visit or third-party audit report for disposal or treatment facilities handling hazardous waste, conducted before first use and at least every three years thereafter.</w:t>
      </w:r>
    </w:p>
    <w:p>
      <w:pPr>
        <w:pStyle w:val="NormalNumberedtext"/>
      </w:pPr>
      <w:r>
        <w:rPr>
          <w:b/>
          <w:bCs/>
          <w:color w:val="0059D1"/>
        </w:rPr>
        <w:t>[INSERT: approved_waste_contractors_facilities] — List the approved waste transport contractors and disposal or treatment facilities for this project, including their licence references and due diligence completion dates. Update this list when contractors or facilities are added or removed.</w:t>
      </w:r>
    </w:p>
    <w:p>
      <w:pPr>
        <w:pStyle w:val="NormalNumberedtext"/>
      </w:pPr>
      <w:r>
        <w:t>Table: Approved Waste Contractors and Disposal Facilities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289"/>
          </w:tcPr>
          <w:p>
            <w:pPr>
              <w:pStyle w:val="TableContents"/>
              <w:spacing w:before="0" w:after="0" w:line="240" w:lineRule="atLeast"/>
            </w:pPr>
            <w:r>
              <w:rPr>
                <w:rFonts w:ascii="Arial" w:hAnsi="Arial" w:cs="Arial" w:eastAsia="Arial"/>
                <w:b/>
                <w:bCs/>
                <w:color w:val="FFFFFF"/>
                <w:sz w:val="16"/>
                <w:szCs w:val="16"/>
              </w:rPr>
              <w:t>Organisation Name</w:t>
            </w:r>
          </w:p>
        </w:tc>
        <w:tc>
          <w:tcPr>
            <w:shd w:val="clear" w:color="auto" w:fill="1F3864"/>
            <w:tcW w:type="dxa" w:w="1289"/>
          </w:tcPr>
          <w:p>
            <w:pPr>
              <w:pStyle w:val="TableContents"/>
              <w:spacing w:before="0" w:after="0" w:line="240" w:lineRule="atLeast"/>
            </w:pPr>
            <w:r>
              <w:rPr>
                <w:rFonts w:ascii="Arial" w:hAnsi="Arial" w:cs="Arial" w:eastAsia="Arial"/>
                <w:b/>
                <w:bCs/>
                <w:color w:val="FFFFFF"/>
                <w:sz w:val="16"/>
                <w:szCs w:val="16"/>
              </w:rPr>
              <w:t>Role (Transport / Treatment / Disposal)</w:t>
            </w:r>
          </w:p>
        </w:tc>
        <w:tc>
          <w:tcPr>
            <w:shd w:val="clear" w:color="auto" w:fill="1F3864"/>
            <w:tcW w:type="dxa" w:w="1289"/>
          </w:tcPr>
          <w:p>
            <w:pPr>
              <w:pStyle w:val="TableContents"/>
              <w:spacing w:before="0" w:after="0" w:line="240" w:lineRule="atLeast"/>
            </w:pPr>
            <w:r>
              <w:rPr>
                <w:rFonts w:ascii="Arial" w:hAnsi="Arial" w:cs="Arial" w:eastAsia="Arial"/>
                <w:b/>
                <w:bCs/>
                <w:color w:val="FFFFFF"/>
                <w:sz w:val="16"/>
                <w:szCs w:val="16"/>
              </w:rPr>
              <w:t>Waste Types Accepted</w:t>
            </w:r>
          </w:p>
        </w:tc>
        <w:tc>
          <w:tcPr>
            <w:shd w:val="clear" w:color="auto" w:fill="1F3864"/>
            <w:tcW w:type="dxa" w:w="1289"/>
          </w:tcPr>
          <w:p>
            <w:pPr>
              <w:pStyle w:val="TableContents"/>
              <w:spacing w:before="0" w:after="0" w:line="240" w:lineRule="atLeast"/>
            </w:pPr>
            <w:r>
              <w:rPr>
                <w:rFonts w:ascii="Arial" w:hAnsi="Arial" w:cs="Arial" w:eastAsia="Arial"/>
                <w:b/>
                <w:bCs/>
                <w:color w:val="FFFFFF"/>
                <w:sz w:val="16"/>
                <w:szCs w:val="16"/>
              </w:rPr>
              <w:t>Licence Number</w:t>
            </w:r>
          </w:p>
        </w:tc>
        <w:tc>
          <w:tcPr>
            <w:shd w:val="clear" w:color="auto" w:fill="1F3864"/>
            <w:tcW w:type="dxa" w:w="1289"/>
          </w:tcPr>
          <w:p>
            <w:pPr>
              <w:pStyle w:val="TableContents"/>
              <w:spacing w:before="0" w:after="0" w:line="240" w:lineRule="atLeast"/>
            </w:pPr>
            <w:r>
              <w:rPr>
                <w:rFonts w:ascii="Arial" w:hAnsi="Arial" w:cs="Arial" w:eastAsia="Arial"/>
                <w:b/>
                <w:bCs/>
                <w:color w:val="FFFFFF"/>
                <w:sz w:val="16"/>
                <w:szCs w:val="16"/>
              </w:rPr>
              <w:t>Licence Expiry</w:t>
            </w:r>
          </w:p>
        </w:tc>
        <w:tc>
          <w:tcPr>
            <w:shd w:val="clear" w:color="auto" w:fill="1F3864"/>
            <w:tcW w:type="dxa" w:w="1289"/>
          </w:tcPr>
          <w:p>
            <w:pPr>
              <w:pStyle w:val="TableContents"/>
              <w:spacing w:before="0" w:after="0" w:line="240" w:lineRule="atLeast"/>
            </w:pPr>
            <w:r>
              <w:rPr>
                <w:rFonts w:ascii="Arial" w:hAnsi="Arial" w:cs="Arial" w:eastAsia="Arial"/>
                <w:b/>
                <w:bCs/>
                <w:color w:val="FFFFFF"/>
                <w:sz w:val="16"/>
                <w:szCs w:val="16"/>
              </w:rPr>
              <w:t>Due Diligence Date</w:t>
            </w:r>
          </w:p>
        </w:tc>
        <w:tc>
          <w:tcPr>
            <w:shd w:val="clear" w:color="auto" w:fill="1F3864"/>
            <w:tcW w:type="dxa" w:w="1292"/>
          </w:tcPr>
          <w:p>
            <w:pPr>
              <w:pStyle w:val="TableContents"/>
              <w:spacing w:before="0" w:after="0" w:line="240" w:lineRule="atLeast"/>
            </w:pPr>
            <w:r>
              <w:rPr>
                <w:rFonts w:ascii="Arial" w:hAnsi="Arial" w:cs="Arial" w:eastAsia="Arial"/>
                <w:b/>
                <w:bCs/>
                <w:color w:val="FFFFFF"/>
                <w:sz w:val="16"/>
                <w:szCs w:val="16"/>
              </w:rPr>
              <w:t>Next Review Date</w:t>
            </w:r>
          </w:p>
        </w:tc>
      </w:tr>
      <w:tr>
        <w:tc>
          <w:tcPr>
            <w:tcW w:type="dxa" w:w="1289"/>
          </w:tcPr>
          <w:p>
            <w:pPr>
              <w:pStyle w:val="TableContents"/>
              <w:spacing w:before="0" w:after="0" w:line="240" w:lineRule="atLeast"/>
            </w:pPr>
            <w:r>
              <w:rPr>
                <w:rFonts w:ascii="Arial" w:hAnsi="Arial" w:cs="Arial" w:eastAsia="Arial"/>
                <w:b/>
                <w:bCs/>
                <w:color w:val="0059D1"/>
                <w:sz w:val="16"/>
                <w:szCs w:val="16"/>
              </w:rPr>
              <w:t>[INSERT: name]</w:t>
            </w:r>
          </w:p>
        </w:tc>
        <w:tc>
          <w:tcPr>
            <w:tcW w:type="dxa" w:w="1289"/>
          </w:tcPr>
          <w:p>
            <w:pPr>
              <w:pStyle w:val="TableContents"/>
              <w:spacing w:before="0" w:after="0" w:line="240" w:lineRule="atLeast"/>
            </w:pPr>
            <w:r>
              <w:rPr>
                <w:rFonts w:ascii="Arial" w:hAnsi="Arial" w:cs="Arial" w:eastAsia="Arial"/>
                <w:b/>
                <w:bCs/>
                <w:color w:val="0059D1"/>
                <w:sz w:val="16"/>
                <w:szCs w:val="16"/>
              </w:rPr>
              <w:t>[INSERT: role]</w:t>
            </w:r>
          </w:p>
        </w:tc>
        <w:tc>
          <w:tcPr>
            <w:tcW w:type="dxa" w:w="1289"/>
          </w:tcPr>
          <w:p>
            <w:pPr>
              <w:pStyle w:val="TableContents"/>
              <w:spacing w:before="0" w:after="0" w:line="240" w:lineRule="atLeast"/>
            </w:pPr>
            <w:r>
              <w:rPr>
                <w:rFonts w:ascii="Arial" w:hAnsi="Arial" w:cs="Arial" w:eastAsia="Arial"/>
                <w:b/>
                <w:bCs/>
                <w:color w:val="0059D1"/>
                <w:sz w:val="16"/>
                <w:szCs w:val="16"/>
              </w:rPr>
              <w:t>[INSERT: waste types]</w:t>
            </w:r>
          </w:p>
        </w:tc>
        <w:tc>
          <w:tcPr>
            <w:tcW w:type="dxa" w:w="1289"/>
          </w:tcPr>
          <w:p>
            <w:pPr>
              <w:pStyle w:val="TableContents"/>
              <w:spacing w:before="0" w:after="0" w:line="240" w:lineRule="atLeast"/>
            </w:pPr>
            <w:r>
              <w:rPr>
                <w:rFonts w:ascii="Arial" w:hAnsi="Arial" w:cs="Arial" w:eastAsia="Arial"/>
                <w:b/>
                <w:bCs/>
                <w:color w:val="0059D1"/>
                <w:sz w:val="16"/>
                <w:szCs w:val="16"/>
              </w:rPr>
              <w:t>[INSERT: licence number]</w:t>
            </w:r>
          </w:p>
        </w:tc>
        <w:tc>
          <w:tcPr>
            <w:tcW w:type="dxa" w:w="1289"/>
          </w:tcPr>
          <w:p>
            <w:pPr>
              <w:pStyle w:val="TableContents"/>
              <w:spacing w:before="0" w:after="0" w:line="240" w:lineRule="atLeast"/>
            </w:pPr>
            <w:r>
              <w:rPr>
                <w:rFonts w:ascii="Arial" w:hAnsi="Arial" w:cs="Arial" w:eastAsia="Arial"/>
                <w:b/>
                <w:bCs/>
                <w:color w:val="0059D1"/>
                <w:sz w:val="16"/>
                <w:szCs w:val="16"/>
              </w:rPr>
              <w:t>[INSERT: expiry]</w:t>
            </w:r>
          </w:p>
        </w:tc>
        <w:tc>
          <w:tcPr>
            <w:tcW w:type="dxa" w:w="1289"/>
          </w:tcPr>
          <w:p>
            <w:pPr>
              <w:pStyle w:val="TableContents"/>
              <w:spacing w:before="0" w:after="0" w:line="240" w:lineRule="atLeast"/>
            </w:pPr>
            <w:r>
              <w:rPr>
                <w:rFonts w:ascii="Arial" w:hAnsi="Arial" w:cs="Arial" w:eastAsia="Arial"/>
                <w:b/>
                <w:bCs/>
                <w:color w:val="0059D1"/>
                <w:sz w:val="16"/>
                <w:szCs w:val="16"/>
              </w:rPr>
              <w:t>[INSERT: date]</w:t>
            </w:r>
          </w:p>
        </w:tc>
        <w:tc>
          <w:tcPr>
            <w:tcW w:type="dxa" w:w="1292"/>
          </w:tcPr>
          <w:p>
            <w:pPr>
              <w:pStyle w:val="TableContents"/>
              <w:spacing w:before="0" w:after="0" w:line="240" w:lineRule="atLeast"/>
            </w:pPr>
            <w:r>
              <w:rPr>
                <w:rFonts w:ascii="Arial" w:hAnsi="Arial" w:cs="Arial" w:eastAsia="Arial"/>
                <w:b/>
                <w:bCs/>
                <w:color w:val="0059D1"/>
                <w:sz w:val="16"/>
                <w:szCs w:val="16"/>
              </w:rPr>
              <w:t>[INSERT: date]</w:t>
            </w:r>
          </w:p>
        </w:tc>
      </w:tr>
    </w:tbl>
    <w:p>
      <w:pPr>
        <w:pStyle w:val="NormalNumberedtext"/>
      </w:pPr>
    </w:p>
    <w:p>
      <w:pPr>
        <w:pStyle w:val="Heading2Numbered"/>
        <w:numPr>
          <w:ilvl w:val="1"/>
          <w:numId w:val="1"/>
        </w:numPr>
      </w:pPr>
      <w:r>
        <w:rPr>
          <w:rFonts w:ascii="Arial" w:hAnsi="Arial" w:cs="Arial" w:eastAsia="Arial"/>
        </w:rPr>
        <w:t>Spill Response and Reporting</w:t>
      </w:r>
    </w:p>
    <w:p>
      <w:pPr>
        <w:pStyle w:val="NormalNumberedtext"/>
      </w:pPr>
      <w:r>
        <w:t>This section defines the immediate response, containment, cleanup, and reporting obligations for hydrocarbon and chemical spills.</w:t>
      </w:r>
    </w:p>
    <w:p>
      <w:pPr>
        <w:pStyle w:val="NormalNumberedtext"/>
      </w:pPr>
      <w:r>
        <w:t>All spills of hydrocarbons or chemicals must be immediately controlled, contained, and reported to the Company. Cleanup must be implemented without delay and effectiveness confirmed before the spill response is closed. No spill response may be closed without written confirmation that the affected area has been restored to an acceptable condition.</w:t>
      </w:r>
    </w:p>
    <w:p>
      <w:pPr>
        <w:pStyle w:val="NormalNumberedtext"/>
      </w:pPr>
      <w:r>
        <w:t>The spill response sequence is as follows:</w:t>
      </w:r>
    </w:p>
    <w:p>
      <w:pPr>
        <w:pStyle w:val="NormalNumberedtext"/>
      </w:pPr>
      <w:r>
        <w:t>The required spill response sequence is:</w:t>
      </w:r>
    </w:p>
    <w:p>
      <w:pPr>
        <w:pStyle w:val="NumberedBulletL1"/>
      </w:pPr>
      <w:r>
        <w:t>Stop the source of the spill where it is safe to do so.</w:t>
      </w:r>
    </w:p>
    <w:p>
      <w:pPr>
        <w:pStyle w:val="NumberedBulletL1"/>
      </w:pPr>
      <w:r>
        <w:t>Deploy the nearest spill kit to contain the spill and prevent migration to drains, water bodies, or uncontained ground.</w:t>
      </w:r>
    </w:p>
    <w:p>
      <w:pPr>
        <w:pStyle w:val="NumberedBulletL1"/>
      </w:pPr>
      <w:r>
        <w:t>Report the spill to the site supervisor and Company representative immediately.</w:t>
      </w:r>
    </w:p>
    <w:p>
      <w:pPr>
        <w:pStyle w:val="NumberedBulletL1"/>
      </w:pPr>
      <w:r>
        <w:t>Report all incidents and near misses per project requirements, refer [INSERT: Project Document Number].</w:t>
      </w:r>
    </w:p>
    <w:p>
      <w:pPr>
        <w:pStyle w:val="NumberedBulletL1"/>
      </w:pPr>
      <w:r>
        <w:t>Collect and containerise all contaminated absorbent material and classify for disposal as hazardous or non-hazardous waste.</w:t>
      </w:r>
    </w:p>
    <w:p>
      <w:pPr>
        <w:pStyle w:val="NumberedBulletL1"/>
      </w:pPr>
      <w:r>
        <w:t>Confirm cleanup effectiveness by visual inspection and, where soil or water contact has occurred, collect a confirmation sample for laboratory analysis.</w:t>
      </w:r>
    </w:p>
    <w:p>
      <w:pPr>
        <w:pStyle w:val="NumberedBulletL1"/>
      </w:pPr>
      <w:r>
        <w:rPr>
          <w:color w:val="C55A11"/>
        </w:rPr>
        <w:t>The Project HSE Manager reviews all spill events with a volume exceeding 20 litres or any spill reaching a drain or water body within 24 hours and issues a lessons-learned communication to the site within 48 hours.</w:t>
      </w:r>
    </w:p>
    <w:p>
      <w:pPr>
        <w:pStyle w:val="NormalNumberedtext"/>
      </w:pPr>
    </w:p>
    <w:p>
      <w:pPr>
        <w:pStyle w:val="Heading1Numbered"/>
        <w:numPr>
          <w:ilvl w:val="0"/>
          <w:numId w:val="1"/>
        </w:numPr>
      </w:pPr>
      <w:r>
        <w:rPr>
          <w:rFonts w:ascii="Arial" w:hAnsi="Arial" w:cs="Arial" w:eastAsia="Arial"/>
        </w:rPr>
        <w:t>Contaminated Sites</w:t>
      </w:r>
    </w:p>
    <w:p>
      <w:pPr>
        <w:pStyle w:val="NormalNumberedtext"/>
      </w:pPr>
      <w:r>
        <w:t>This section defines requirements for identifying, assessing, and managing known or potential contaminated sites within the project area, and for maintaining the Contaminated Sites Register.</w:t>
      </w:r>
    </w:p>
    <w:p>
      <w:pPr>
        <w:pStyle w:val="NormalNumberedtext"/>
      </w:pPr>
    </w:p>
    <w:p>
      <w:pPr>
        <w:pStyle w:val="Heading2Numbered"/>
        <w:numPr>
          <w:ilvl w:val="1"/>
          <w:numId w:val="1"/>
        </w:numPr>
      </w:pPr>
      <w:r>
        <w:rPr>
          <w:rFonts w:ascii="Arial" w:hAnsi="Arial" w:cs="Arial" w:eastAsia="Arial"/>
        </w:rPr>
        <w:t>Contaminated Site Identification and Assessment</w:t>
      </w:r>
    </w:p>
    <w:p>
      <w:pPr>
        <w:pStyle w:val="NormalNumberedtext"/>
      </w:pPr>
      <w:r>
        <w:t>This section defines when contaminated site assessments are required, what they must address, and how findings are documented.</w:t>
      </w:r>
    </w:p>
    <w:p>
      <w:pPr>
        <w:pStyle w:val="NormalNumberedtext"/>
      </w:pPr>
      <w:r>
        <w:t>A contaminated site assessment must be conducted for the project area before any ground disturbance commences. The assessment must identify known or potential sources of contamination, including hydrocarbons, PFAS, and metals, and must evaluate environmental and human health risks arising from each identified source.</w:t>
      </w:r>
    </w:p>
    <w:p>
      <w:pPr>
        <w:pStyle w:val="NormalNumberedtext"/>
      </w:pPr>
      <w:r>
        <w:t>Contaminated site risks must be addressed in the project environmental assessment and managed through remedial action plans or long-term management plans that are proportionate to the identified risk level and the planned future land use of the project area. The assessment findings must be referenced in this procedure before ground disturbance commences:</w:t>
      </w:r>
    </w:p>
    <w:p>
      <w:pPr>
        <w:pStyle w:val="NormalNumberedtext"/>
      </w:pPr>
      <w:r>
        <w:rPr>
          <w:b/>
          <w:bCs/>
          <w:color w:val="0059D1"/>
        </w:rPr>
        <w:t>[INSERT: contaminated_site_assessment_reference] — Insert the completed contaminated site assessment report reference or document number here, or summarise the key findings. Confirm the assessment was completed before ground disturbance. If no contamination was identified, confirm this finding with the report reference.</w:t>
      </w:r>
    </w:p>
    <w:p>
      <w:pPr>
        <w:pStyle w:val="NormalNumberedtext"/>
      </w:pPr>
      <w:r>
        <w:t>Where contamination is identified, a remedial action plan or long-term management plan must be prepared within a defined timeframe from the assessment finding. The plan must specify the remediation method, implementation schedule, performance criteria, and verification approach:</w:t>
      </w:r>
    </w:p>
    <w:p>
      <w:pPr>
        <w:pStyle w:val="NormalNumberedtext"/>
      </w:pPr>
      <w:r>
        <w:t>Remedial action plans or long-term management plans must address at minimum:</w:t>
      </w:r>
    </w:p>
    <w:p>
      <w:pPr>
        <w:pStyle w:val="NumberedBulletL1"/>
      </w:pPr>
      <w:r>
        <w:t>The contaminant types, concentrations, and extent of affected area.</w:t>
      </w:r>
    </w:p>
    <w:p>
      <w:pPr>
        <w:pStyle w:val="NumberedBulletL1"/>
      </w:pPr>
      <w:r>
        <w:t>The risk pathway - exposure routes from contaminant source to receptors.</w:t>
      </w:r>
    </w:p>
    <w:p>
      <w:pPr>
        <w:pStyle w:val="NumberedBulletL1"/>
      </w:pPr>
      <w:r>
        <w:t>The remediation or management approach selected and the basis for its selection relative to risk and future land use.</w:t>
      </w:r>
    </w:p>
    <w:p>
      <w:pPr>
        <w:pStyle w:val="NumberedBulletL1"/>
      </w:pPr>
      <w:r>
        <w:t>The performance criteria that define successful remediation or acceptable ongoing management.</w:t>
      </w:r>
    </w:p>
    <w:p>
      <w:pPr>
        <w:pStyle w:val="NumberedBulletL1"/>
      </w:pPr>
      <w:r>
        <w:t>The monitoring and verification program confirming performance criteria are met.</w:t>
      </w:r>
    </w:p>
    <w:p>
      <w:pPr>
        <w:pStyle w:val="NumberedBulletL1"/>
      </w:pPr>
      <w:r>
        <w:rPr>
          <w:color w:val="C55A11"/>
        </w:rPr>
        <w:t>Notification obligations to the relevant regulatory authority, consistent with applicable licence conditions maintained under [INSERT: Project Document Number].</w:t>
      </w:r>
    </w:p>
    <w:p>
      <w:pPr>
        <w:pStyle w:val="NormalNumberedtext"/>
      </w:pPr>
    </w:p>
    <w:p>
      <w:pPr>
        <w:pStyle w:val="Heading2Numbered"/>
        <w:numPr>
          <w:ilvl w:val="1"/>
          <w:numId w:val="1"/>
        </w:numPr>
      </w:pPr>
      <w:r>
        <w:rPr>
          <w:rFonts w:ascii="Arial" w:hAnsi="Arial" w:cs="Arial" w:eastAsia="Arial"/>
        </w:rPr>
        <w:t>Contaminated Sites Register</w:t>
      </w:r>
    </w:p>
    <w:p>
      <w:pPr>
        <w:pStyle w:val="NormalNumberedtext"/>
      </w:pPr>
      <w:r>
        <w:t>This section defines the content requirements and update obligations for the project Contaminated Sites Register.</w:t>
      </w:r>
    </w:p>
    <w:p>
      <w:pPr>
        <w:pStyle w:val="NormalNumberedtext"/>
      </w:pPr>
      <w:r>
        <w:t>The project Contaminated Sites Register is maintained as [INSERT: Project Document Number]. The register is the single source of record for all known or potential contaminated sites within the project boundary and must be kept current throughout the project lifecycle and through to handover.</w:t>
      </w:r>
    </w:p>
    <w:p>
      <w:pPr>
        <w:pStyle w:val="NormalNumberedtext"/>
      </w:pPr>
      <w:r>
        <w:t>The Contaminated Sites Register must document the following information for each identified site:</w:t>
      </w:r>
    </w:p>
    <w:p>
      <w:pPr>
        <w:pStyle w:val="NormalNumberedtext"/>
      </w:pPr>
      <w:r>
        <w:t>Table: Contaminated Sites Register - Required Data Fields [INSERT: Project Document Number]</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Data Field</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Description</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Update Trigger</w:t>
            </w:r>
          </w:p>
        </w:tc>
      </w:tr>
      <w:tr>
        <w:tc>
          <w:tcPr>
            <w:tcW w:type="dxa" w:w="3008"/>
          </w:tcPr>
          <w:p>
            <w:pPr>
              <w:pStyle w:val="TableContents"/>
              <w:spacing w:before="0" w:after="0" w:line="240" w:lineRule="atLeast"/>
            </w:pPr>
            <w:r>
              <w:rPr>
                <w:rFonts w:ascii="Arial" w:hAnsi="Arial" w:cs="Arial" w:eastAsia="Arial"/>
                <w:sz w:val="16"/>
                <w:szCs w:val="16"/>
              </w:rPr>
              <w:t>Site identifier</w:t>
            </w:r>
          </w:p>
        </w:tc>
        <w:tc>
          <w:tcPr>
            <w:tcW w:type="dxa" w:w="3008"/>
          </w:tcPr>
          <w:p>
            <w:pPr>
              <w:pStyle w:val="TableContents"/>
              <w:spacing w:before="0" w:after="0" w:line="240" w:lineRule="atLeast"/>
            </w:pPr>
            <w:r>
              <w:rPr>
                <w:rFonts w:ascii="Arial" w:hAnsi="Arial" w:cs="Arial" w:eastAsia="Arial"/>
                <w:sz w:val="16"/>
                <w:szCs w:val="16"/>
              </w:rPr>
              <w:t>Unique reference and location description</w:t>
            </w:r>
          </w:p>
        </w:tc>
        <w:tc>
          <w:tcPr>
            <w:tcW w:type="dxa" w:w="3010"/>
          </w:tcPr>
          <w:p>
            <w:pPr>
              <w:pStyle w:val="TableContents"/>
              <w:spacing w:before="0" w:after="0" w:line="240" w:lineRule="atLeast"/>
            </w:pPr>
            <w:r>
              <w:rPr>
                <w:rFonts w:ascii="Arial" w:hAnsi="Arial" w:cs="Arial" w:eastAsia="Arial"/>
                <w:sz w:val="16"/>
                <w:szCs w:val="16"/>
              </w:rPr>
              <w:t>At identification</w:t>
            </w:r>
          </w:p>
        </w:tc>
      </w:tr>
      <w:tr>
        <w:tc>
          <w:tcPr>
            <w:tcW w:type="dxa" w:w="3008"/>
          </w:tcPr>
          <w:p>
            <w:pPr>
              <w:pStyle w:val="TableContents"/>
              <w:spacing w:before="0" w:after="0" w:line="240" w:lineRule="atLeast"/>
            </w:pPr>
            <w:r>
              <w:rPr>
                <w:rFonts w:ascii="Arial" w:hAnsi="Arial" w:cs="Arial" w:eastAsia="Arial"/>
                <w:sz w:val="16"/>
                <w:szCs w:val="16"/>
              </w:rPr>
              <w:t>Contaminant type(s)</w:t>
            </w:r>
          </w:p>
        </w:tc>
        <w:tc>
          <w:tcPr>
            <w:tcW w:type="dxa" w:w="3008"/>
          </w:tcPr>
          <w:p>
            <w:pPr>
              <w:pStyle w:val="TableContents"/>
              <w:spacing w:before="0" w:after="0" w:line="240" w:lineRule="atLeast"/>
            </w:pPr>
            <w:r>
              <w:rPr>
                <w:rFonts w:ascii="Arial" w:hAnsi="Arial" w:cs="Arial" w:eastAsia="Arial"/>
                <w:sz w:val="16"/>
                <w:szCs w:val="16"/>
              </w:rPr>
              <w:t>Hydrocarbon, PFAS, metals, or other</w:t>
            </w:r>
          </w:p>
        </w:tc>
        <w:tc>
          <w:tcPr>
            <w:tcW w:type="dxa" w:w="3010"/>
          </w:tcPr>
          <w:p>
            <w:pPr>
              <w:pStyle w:val="TableContents"/>
              <w:spacing w:before="0" w:after="0" w:line="240" w:lineRule="atLeast"/>
            </w:pPr>
            <w:r>
              <w:rPr>
                <w:rFonts w:ascii="Arial" w:hAnsi="Arial" w:cs="Arial" w:eastAsia="Arial"/>
                <w:sz w:val="16"/>
                <w:szCs w:val="16"/>
              </w:rPr>
              <w:t>At identification or reclassification</w:t>
            </w:r>
          </w:p>
        </w:tc>
      </w:tr>
      <w:tr>
        <w:tc>
          <w:tcPr>
            <w:tcW w:type="dxa" w:w="3008"/>
          </w:tcPr>
          <w:p>
            <w:pPr>
              <w:pStyle w:val="TableContents"/>
              <w:spacing w:before="0" w:after="0" w:line="240" w:lineRule="atLeast"/>
            </w:pPr>
            <w:r>
              <w:rPr>
                <w:rFonts w:ascii="Arial" w:hAnsi="Arial" w:cs="Arial" w:eastAsia="Arial"/>
                <w:sz w:val="16"/>
                <w:szCs w:val="16"/>
              </w:rPr>
              <w:t>Assessment status</w:t>
            </w:r>
          </w:p>
        </w:tc>
        <w:tc>
          <w:tcPr>
            <w:tcW w:type="dxa" w:w="3008"/>
          </w:tcPr>
          <w:p>
            <w:pPr>
              <w:pStyle w:val="TableContents"/>
              <w:spacing w:before="0" w:after="0" w:line="240" w:lineRule="atLeast"/>
            </w:pPr>
            <w:r>
              <w:rPr>
                <w:rFonts w:ascii="Arial" w:hAnsi="Arial" w:cs="Arial" w:eastAsia="Arial"/>
                <w:sz w:val="16"/>
                <w:szCs w:val="16"/>
              </w:rPr>
              <w:t>Not assessed, assessed - no action, assessed - action required</w:t>
            </w:r>
          </w:p>
        </w:tc>
        <w:tc>
          <w:tcPr>
            <w:tcW w:type="dxa" w:w="3010"/>
          </w:tcPr>
          <w:p>
            <w:pPr>
              <w:pStyle w:val="TableContents"/>
              <w:spacing w:before="0" w:after="0" w:line="240" w:lineRule="atLeast"/>
            </w:pPr>
            <w:r>
              <w:rPr>
                <w:rFonts w:ascii="Arial" w:hAnsi="Arial" w:cs="Arial" w:eastAsia="Arial"/>
                <w:sz w:val="16"/>
                <w:szCs w:val="16"/>
              </w:rPr>
              <w:t>At each assessment milestone</w:t>
            </w:r>
          </w:p>
        </w:tc>
      </w:tr>
      <w:tr>
        <w:tc>
          <w:tcPr>
            <w:tcW w:type="dxa" w:w="3008"/>
          </w:tcPr>
          <w:p>
            <w:pPr>
              <w:pStyle w:val="TableContents"/>
              <w:spacing w:before="0" w:after="0" w:line="240" w:lineRule="atLeast"/>
            </w:pPr>
            <w:r>
              <w:rPr>
                <w:rFonts w:ascii="Arial" w:hAnsi="Arial" w:cs="Arial" w:eastAsia="Arial"/>
                <w:sz w:val="16"/>
                <w:szCs w:val="16"/>
              </w:rPr>
              <w:t>Assessment report reference</w:t>
            </w:r>
          </w:p>
        </w:tc>
        <w:tc>
          <w:tcPr>
            <w:tcW w:type="dxa" w:w="3008"/>
          </w:tcPr>
          <w:p>
            <w:pPr>
              <w:pStyle w:val="TableContents"/>
              <w:spacing w:before="0" w:after="0" w:line="240" w:lineRule="atLeast"/>
            </w:pPr>
            <w:r>
              <w:rPr>
                <w:rFonts w:ascii="Arial" w:hAnsi="Arial" w:cs="Arial" w:eastAsia="Arial"/>
                <w:sz w:val="16"/>
                <w:szCs w:val="16"/>
              </w:rPr>
              <w:t>Document number or title of the site investigation report</w:t>
            </w:r>
          </w:p>
        </w:tc>
        <w:tc>
          <w:tcPr>
            <w:tcW w:type="dxa" w:w="3010"/>
          </w:tcPr>
          <w:p>
            <w:pPr>
              <w:pStyle w:val="TableContents"/>
              <w:spacing w:before="0" w:after="0" w:line="240" w:lineRule="atLeast"/>
            </w:pPr>
            <w:r>
              <w:rPr>
                <w:rFonts w:ascii="Arial" w:hAnsi="Arial" w:cs="Arial" w:eastAsia="Arial"/>
                <w:sz w:val="16"/>
                <w:szCs w:val="16"/>
              </w:rPr>
              <w:t>At report completion</w:t>
            </w:r>
          </w:p>
        </w:tc>
      </w:tr>
      <w:tr>
        <w:tc>
          <w:tcPr>
            <w:tcW w:type="dxa" w:w="3008"/>
          </w:tcPr>
          <w:p>
            <w:pPr>
              <w:pStyle w:val="TableContents"/>
              <w:spacing w:before="0" w:after="0" w:line="240" w:lineRule="atLeast"/>
            </w:pPr>
            <w:r>
              <w:rPr>
                <w:rFonts w:ascii="Arial" w:hAnsi="Arial" w:cs="Arial" w:eastAsia="Arial"/>
                <w:sz w:val="16"/>
                <w:szCs w:val="16"/>
              </w:rPr>
              <w:t>Risk level</w:t>
            </w:r>
          </w:p>
        </w:tc>
        <w:tc>
          <w:tcPr>
            <w:tcW w:type="dxa" w:w="3008"/>
          </w:tcPr>
          <w:p>
            <w:pPr>
              <w:pStyle w:val="TableContents"/>
              <w:spacing w:before="0" w:after="0" w:line="240" w:lineRule="atLeast"/>
            </w:pPr>
            <w:r>
              <w:rPr>
                <w:rFonts w:ascii="Arial" w:hAnsi="Arial" w:cs="Arial" w:eastAsia="Arial"/>
                <w:sz w:val="16"/>
                <w:szCs w:val="16"/>
              </w:rPr>
              <w:t>Low, medium, or high based on pathway and receptor assessment</w:t>
            </w:r>
          </w:p>
        </w:tc>
        <w:tc>
          <w:tcPr>
            <w:tcW w:type="dxa" w:w="3010"/>
          </w:tcPr>
          <w:p>
            <w:pPr>
              <w:pStyle w:val="TableContents"/>
              <w:spacing w:before="0" w:after="0" w:line="240" w:lineRule="atLeast"/>
            </w:pPr>
            <w:r>
              <w:rPr>
                <w:rFonts w:ascii="Arial" w:hAnsi="Arial" w:cs="Arial" w:eastAsia="Arial"/>
                <w:sz w:val="16"/>
                <w:szCs w:val="16"/>
              </w:rPr>
              <w:t>At assessment or reassessment</w:t>
            </w:r>
          </w:p>
        </w:tc>
      </w:tr>
      <w:tr>
        <w:tc>
          <w:tcPr>
            <w:tcW w:type="dxa" w:w="3008"/>
          </w:tcPr>
          <w:p>
            <w:pPr>
              <w:pStyle w:val="TableContents"/>
              <w:spacing w:before="0" w:after="0" w:line="240" w:lineRule="atLeast"/>
            </w:pPr>
            <w:r>
              <w:rPr>
                <w:rFonts w:ascii="Arial" w:hAnsi="Arial" w:cs="Arial" w:eastAsia="Arial"/>
                <w:sz w:val="16"/>
                <w:szCs w:val="16"/>
              </w:rPr>
              <w:t>Management approach</w:t>
            </w:r>
          </w:p>
        </w:tc>
        <w:tc>
          <w:tcPr>
            <w:tcW w:type="dxa" w:w="3008"/>
          </w:tcPr>
          <w:p>
            <w:pPr>
              <w:pStyle w:val="TableContents"/>
              <w:spacing w:before="0" w:after="0" w:line="240" w:lineRule="atLeast"/>
            </w:pPr>
            <w:r>
              <w:rPr>
                <w:rFonts w:ascii="Arial" w:hAnsi="Arial" w:cs="Arial" w:eastAsia="Arial"/>
                <w:sz w:val="16"/>
                <w:szCs w:val="16"/>
              </w:rPr>
              <w:t>Remediation, long-term management, or monitoring only</w:t>
            </w:r>
          </w:p>
        </w:tc>
        <w:tc>
          <w:tcPr>
            <w:tcW w:type="dxa" w:w="3010"/>
          </w:tcPr>
          <w:p>
            <w:pPr>
              <w:pStyle w:val="TableContents"/>
              <w:spacing w:before="0" w:after="0" w:line="240" w:lineRule="atLeast"/>
            </w:pPr>
            <w:r>
              <w:rPr>
                <w:rFonts w:ascii="Arial" w:hAnsi="Arial" w:cs="Arial" w:eastAsia="Arial"/>
                <w:sz w:val="16"/>
                <w:szCs w:val="16"/>
              </w:rPr>
              <w:t>At plan approval</w:t>
            </w:r>
          </w:p>
        </w:tc>
      </w:tr>
      <w:tr>
        <w:tc>
          <w:tcPr>
            <w:tcW w:type="dxa" w:w="3008"/>
          </w:tcPr>
          <w:p>
            <w:pPr>
              <w:pStyle w:val="TableContents"/>
              <w:spacing w:before="0" w:after="0" w:line="240" w:lineRule="atLeast"/>
            </w:pPr>
            <w:r>
              <w:rPr>
                <w:rFonts w:ascii="Arial" w:hAnsi="Arial" w:cs="Arial" w:eastAsia="Arial"/>
                <w:sz w:val="16"/>
                <w:szCs w:val="16"/>
              </w:rPr>
              <w:t>Remedial or management plan reference</w:t>
            </w:r>
          </w:p>
        </w:tc>
        <w:tc>
          <w:tcPr>
            <w:tcW w:type="dxa" w:w="3008"/>
          </w:tcPr>
          <w:p>
            <w:pPr>
              <w:pStyle w:val="TableContents"/>
              <w:spacing w:before="0" w:after="0" w:line="240" w:lineRule="atLeast"/>
            </w:pPr>
            <w:r>
              <w:rPr>
                <w:rFonts w:ascii="Arial" w:hAnsi="Arial" w:cs="Arial" w:eastAsia="Arial"/>
                <w:sz w:val="16"/>
                <w:szCs w:val="16"/>
              </w:rPr>
              <w:t>Document number or title of the plan</w:t>
            </w:r>
          </w:p>
        </w:tc>
        <w:tc>
          <w:tcPr>
            <w:tcW w:type="dxa" w:w="3010"/>
          </w:tcPr>
          <w:p>
            <w:pPr>
              <w:pStyle w:val="TableContents"/>
              <w:spacing w:before="0" w:after="0" w:line="240" w:lineRule="atLeast"/>
            </w:pPr>
            <w:r>
              <w:rPr>
                <w:rFonts w:ascii="Arial" w:hAnsi="Arial" w:cs="Arial" w:eastAsia="Arial"/>
                <w:sz w:val="16"/>
                <w:szCs w:val="16"/>
              </w:rPr>
              <w:t>At plan approval</w:t>
            </w:r>
          </w:p>
        </w:tc>
      </w:tr>
      <w:tr>
        <w:tc>
          <w:tcPr>
            <w:tcW w:type="dxa" w:w="3008"/>
          </w:tcPr>
          <w:p>
            <w:pPr>
              <w:pStyle w:val="TableContents"/>
              <w:spacing w:before="0" w:after="0" w:line="240" w:lineRule="atLeast"/>
            </w:pPr>
            <w:r>
              <w:rPr>
                <w:rFonts w:ascii="Arial" w:hAnsi="Arial" w:cs="Arial" w:eastAsia="Arial"/>
                <w:sz w:val="16"/>
                <w:szCs w:val="16"/>
              </w:rPr>
              <w:t>Status</w:t>
            </w:r>
          </w:p>
        </w:tc>
        <w:tc>
          <w:tcPr>
            <w:tcW w:type="dxa" w:w="3008"/>
          </w:tcPr>
          <w:p>
            <w:pPr>
              <w:pStyle w:val="TableContents"/>
              <w:spacing w:before="0" w:after="0" w:line="240" w:lineRule="atLeast"/>
            </w:pPr>
            <w:r>
              <w:rPr>
                <w:rFonts w:ascii="Arial" w:hAnsi="Arial" w:cs="Arial" w:eastAsia="Arial"/>
                <w:sz w:val="16"/>
                <w:szCs w:val="16"/>
              </w:rPr>
              <w:t>Active, remediated and verified, or under long-term management</w:t>
            </w:r>
          </w:p>
        </w:tc>
        <w:tc>
          <w:tcPr>
            <w:tcW w:type="dxa" w:w="3010"/>
          </w:tcPr>
          <w:p>
            <w:pPr>
              <w:pStyle w:val="TableContents"/>
              <w:spacing w:before="0" w:after="0" w:line="240" w:lineRule="atLeast"/>
            </w:pPr>
            <w:r>
              <w:rPr>
                <w:rFonts w:ascii="Arial" w:hAnsi="Arial" w:cs="Arial" w:eastAsia="Arial"/>
                <w:sz w:val="16"/>
                <w:szCs w:val="16"/>
              </w:rPr>
              <w:t>At status change</w:t>
            </w:r>
          </w:p>
        </w:tc>
      </w:tr>
      <w:tr>
        <w:tc>
          <w:tcPr>
            <w:tcW w:type="dxa" w:w="3008"/>
          </w:tcPr>
          <w:p>
            <w:pPr>
              <w:pStyle w:val="TableContents"/>
              <w:spacing w:before="0" w:after="0" w:line="240" w:lineRule="atLeast"/>
            </w:pPr>
            <w:r>
              <w:rPr>
                <w:rFonts w:ascii="Arial" w:hAnsi="Arial" w:cs="Arial" w:eastAsia="Arial"/>
                <w:b/>
                <w:bCs/>
                <w:color w:val="0059D1"/>
                <w:sz w:val="16"/>
                <w:szCs w:val="16"/>
              </w:rPr>
              <w:t>[INSERT: project-specific site rows]</w:t>
            </w:r>
          </w:p>
        </w:tc>
        <w:tc>
          <w:tcPr>
            <w:tcW w:type="dxa" w:w="3008"/>
          </w:tcPr>
          <w:p>
            <w:pPr>
              <w:pStyle w:val="TableContents"/>
              <w:spacing w:before="0" w:after="0" w:line="240" w:lineRule="atLeast"/>
            </w:pPr>
            <w:r>
              <w:rPr>
                <w:rFonts w:ascii="Arial" w:hAnsi="Arial" w:cs="Arial" w:eastAsia="Arial"/>
                <w:b/>
                <w:bCs/>
                <w:color w:val="0059D1"/>
                <w:sz w:val="16"/>
                <w:szCs w:val="16"/>
              </w:rPr>
              <w:t>[INSERT: description]</w:t>
            </w:r>
          </w:p>
        </w:tc>
        <w:tc>
          <w:tcPr>
            <w:tcW w:type="dxa" w:w="3010"/>
          </w:tcPr>
          <w:p>
            <w:pPr>
              <w:pStyle w:val="TableContents"/>
              <w:spacing w:before="0" w:after="0" w:line="240" w:lineRule="atLeast"/>
            </w:pPr>
            <w:r>
              <w:rPr>
                <w:rFonts w:ascii="Arial" w:hAnsi="Arial" w:cs="Arial" w:eastAsia="Arial"/>
                <w:b/>
                <w:bCs/>
                <w:color w:val="0059D1"/>
                <w:sz w:val="16"/>
                <w:szCs w:val="16"/>
              </w:rPr>
              <w:t>[INSERT: trigger]</w:t>
            </w:r>
          </w:p>
        </w:tc>
      </w:tr>
    </w:tbl>
    <w:p>
      <w:pPr>
        <w:pStyle w:val="NormalNumberedtext"/>
      </w:pPr>
    </w:p>
    <w:p>
      <w:pPr>
        <w:pStyle w:val="NormalNumberedtext"/>
      </w:pPr>
      <w:r>
        <w:rPr>
          <w:color w:val="C55A11"/>
        </w:rPr>
        <w:t>The Project HSE Manager owns [INSERT: Project Document Number] and is responsible for ensuring it is reviewed at least annually, updated whenever a new contaminated site is identified or an existing site changes status, and transferred in full to the receiving operations team at project handover.</w:t>
      </w:r>
    </w:p>
    <w:p>
      <w:pPr>
        <w:pStyle w:val="NormalNumberedtext"/>
      </w:pPr>
    </w:p>
    <w:p>
      <w:pPr>
        <w:pStyle w:val="Heading1Numbered"/>
        <w:numPr>
          <w:ilvl w:val="0"/>
          <w:numId w:val="1"/>
        </w:numPr>
      </w:pPr>
      <w:r>
        <w:rPr>
          <w:rFonts w:ascii="Arial" w:hAnsi="Arial" w:cs="Arial" w:eastAsia="Arial"/>
        </w:rPr>
        <w:t>Sewerage and Wastewater Management</w:t>
      </w:r>
    </w:p>
    <w:p>
      <w:pPr>
        <w:pStyle w:val="NormalNumberedtext"/>
      </w:pPr>
      <w:r>
        <w:t>This section defines the project-specific sewerage and wastewater treatment arrangements, discharge locations, and compliance monitoring requirements.</w:t>
      </w:r>
    </w:p>
    <w:p>
      <w:pPr>
        <w:pStyle w:val="NormalNumberedtext"/>
      </w:pPr>
    </w:p>
    <w:p>
      <w:pPr>
        <w:pStyle w:val="Heading2Numbered"/>
        <w:numPr>
          <w:ilvl w:val="1"/>
          <w:numId w:val="1"/>
        </w:numPr>
      </w:pPr>
      <w:r>
        <w:rPr>
          <w:rFonts w:ascii="Arial" w:hAnsi="Arial" w:cs="Arial" w:eastAsia="Arial"/>
        </w:rPr>
        <w:t>Sewerage and Wastewater Treatment Arrangements</w:t>
      </w:r>
    </w:p>
    <w:p>
      <w:pPr>
        <w:pStyle w:val="NormalNumberedtext"/>
      </w:pPr>
      <w:r>
        <w:t>This section defines the treatment system type, discharge location, and applicable standards for project sewerage and wastewater.</w:t>
      </w:r>
    </w:p>
    <w:p>
      <w:pPr>
        <w:pStyle w:val="NormalNumberedtext"/>
      </w:pPr>
      <w:r>
        <w:t>Sewerage and wastewater generated on the project must be managed through an approved treatment system. Untreated sewage or wastewater must not be discharged to the environment. Liquid waste management requirements that interface with surface water and groundwater are governed by [INSERT: Project Document Number].</w:t>
      </w:r>
    </w:p>
    <w:p>
      <w:pPr>
        <w:pStyle w:val="NormalNumberedtext"/>
      </w:pPr>
      <w:r>
        <w:rPr>
          <w:b/>
          <w:bCs/>
          <w:color w:val="0059D1"/>
        </w:rPr>
        <w:t>[INSERT: sewerage_wastewater_arrangements] — Define the project-specific sewerage and wastewater management arrangements: (1) the type of treatment system installed or to be installed, (2) the location and method of discharge or disposal, (3) the monitoring program confirming compliance with applicable standards, and (4) the applicable discharge licence or permit reference. Include connection to RTPR-HSE-PRO-0001 for licence conditions.</w:t>
      </w:r>
    </w:p>
    <w:p>
      <w:pPr>
        <w:pStyle w:val="NormalNumberedtext"/>
      </w:pPr>
      <w:r>
        <w:t>Table: Project Sewerage and Wastewater Management Summary</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Wastewater Type</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Treatment System</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Discharge Location or Disposal Method</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Applicable Standard or Licence</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Monitoring Parameter</w:t>
            </w:r>
          </w:p>
        </w:tc>
        <w:tc>
          <w:tcPr>
            <w:shd w:val="clear" w:color="auto" w:fill="1F3864"/>
            <w:tcW w:type="dxa" w:w="1506"/>
          </w:tcPr>
          <w:p>
            <w:pPr>
              <w:pStyle w:val="TableContents"/>
              <w:spacing w:before="0" w:after="0" w:line="240" w:lineRule="atLeast"/>
            </w:pPr>
            <w:r>
              <w:rPr>
                <w:rFonts w:ascii="Arial" w:hAnsi="Arial" w:cs="Arial" w:eastAsia="Arial"/>
                <w:b/>
                <w:bCs/>
                <w:color w:val="FFFFFF"/>
                <w:sz w:val="16"/>
                <w:szCs w:val="16"/>
              </w:rPr>
              <w:t>Monitoring Frequency</w:t>
            </w:r>
          </w:p>
        </w:tc>
      </w:tr>
      <w:tr>
        <w:tc>
          <w:tcPr>
            <w:tcW w:type="dxa" w:w="1504"/>
          </w:tcPr>
          <w:p>
            <w:pPr>
              <w:pStyle w:val="TableContents"/>
              <w:spacing w:before="0" w:after="0" w:line="240" w:lineRule="atLeast"/>
            </w:pPr>
            <w:r>
              <w:rPr>
                <w:rFonts w:ascii="Arial" w:hAnsi="Arial" w:cs="Arial" w:eastAsia="Arial"/>
                <w:sz w:val="16"/>
                <w:szCs w:val="16"/>
              </w:rPr>
              <w:t>Sewage - camp or site facilities</w:t>
            </w:r>
          </w:p>
        </w:tc>
        <w:tc>
          <w:tcPr>
            <w:tcW w:type="dxa" w:w="1504"/>
          </w:tcPr>
          <w:p>
            <w:pPr>
              <w:pStyle w:val="TableContents"/>
              <w:spacing w:before="0" w:after="0" w:line="240" w:lineRule="atLeast"/>
            </w:pPr>
            <w:r>
              <w:rPr>
                <w:rFonts w:ascii="Arial" w:hAnsi="Arial" w:cs="Arial" w:eastAsia="Arial"/>
                <w:b/>
                <w:bCs/>
                <w:color w:val="0059D1"/>
                <w:sz w:val="16"/>
                <w:szCs w:val="16"/>
              </w:rPr>
              <w:t>[INSERT: system type, e.g. package STP]</w:t>
            </w:r>
          </w:p>
        </w:tc>
        <w:tc>
          <w:tcPr>
            <w:tcW w:type="dxa" w:w="1504"/>
          </w:tcPr>
          <w:p>
            <w:pPr>
              <w:pStyle w:val="TableContents"/>
              <w:spacing w:before="0" w:after="0" w:line="240" w:lineRule="atLeast"/>
            </w:pPr>
            <w:r>
              <w:rPr>
                <w:rFonts w:ascii="Arial" w:hAnsi="Arial" w:cs="Arial" w:eastAsia="Arial"/>
                <w:b/>
                <w:bCs/>
                <w:color w:val="0059D1"/>
                <w:sz w:val="16"/>
                <w:szCs w:val="16"/>
              </w:rPr>
              <w:t>[INSERT: location or method]</w:t>
            </w:r>
          </w:p>
        </w:tc>
        <w:tc>
          <w:tcPr>
            <w:tcW w:type="dxa" w:w="1504"/>
          </w:tcPr>
          <w:p>
            <w:pPr>
              <w:pStyle w:val="TableContents"/>
              <w:spacing w:before="0" w:after="0" w:line="240" w:lineRule="atLeast"/>
            </w:pPr>
            <w:r>
              <w:rPr>
                <w:rFonts w:ascii="Arial" w:hAnsi="Arial" w:cs="Arial" w:eastAsia="Arial"/>
                <w:b/>
                <w:bCs/>
                <w:color w:val="0059D1"/>
                <w:sz w:val="16"/>
                <w:szCs w:val="16"/>
              </w:rPr>
              <w:t>[INSERT: licence or standard reference]</w:t>
            </w:r>
          </w:p>
        </w:tc>
        <w:tc>
          <w:tcPr>
            <w:tcW w:type="dxa" w:w="1504"/>
          </w:tcPr>
          <w:p>
            <w:pPr>
              <w:pStyle w:val="TableContents"/>
              <w:spacing w:before="0" w:after="0" w:line="240" w:lineRule="atLeast"/>
            </w:pPr>
            <w:r>
              <w:rPr>
                <w:rFonts w:ascii="Arial" w:hAnsi="Arial" w:cs="Arial" w:eastAsia="Arial"/>
                <w:b/>
                <w:bCs/>
                <w:color w:val="0059D1"/>
                <w:sz w:val="16"/>
                <w:szCs w:val="16"/>
              </w:rPr>
              <w:t>[INSERT: parameters, e.g. BOD, E. coli]</w:t>
            </w:r>
          </w:p>
        </w:tc>
        <w:tc>
          <w:tcPr>
            <w:tcW w:type="dxa" w:w="1506"/>
          </w:tcPr>
          <w:p>
            <w:pPr>
              <w:pStyle w:val="TableContents"/>
              <w:spacing w:before="0" w:after="0" w:line="240" w:lineRule="atLeast"/>
            </w:pPr>
            <w:r>
              <w:rPr>
                <w:rFonts w:ascii="Arial" w:hAnsi="Arial" w:cs="Arial" w:eastAsia="Arial"/>
                <w:b/>
                <w:bCs/>
                <w:color w:val="0059D1"/>
                <w:sz w:val="16"/>
                <w:szCs w:val="16"/>
              </w:rPr>
              <w:t>[INSERT: frequency]</w:t>
            </w:r>
          </w:p>
        </w:tc>
      </w:tr>
      <w:tr>
        <w:tc>
          <w:tcPr>
            <w:tcW w:type="dxa" w:w="1504"/>
          </w:tcPr>
          <w:p>
            <w:pPr>
              <w:pStyle w:val="TableContents"/>
              <w:spacing w:before="0" w:after="0" w:line="240" w:lineRule="atLeast"/>
            </w:pPr>
            <w:r>
              <w:rPr>
                <w:rFonts w:ascii="Arial" w:hAnsi="Arial" w:cs="Arial" w:eastAsia="Arial"/>
                <w:sz w:val="16"/>
                <w:szCs w:val="16"/>
              </w:rPr>
              <w:t>Process wastewater</w:t>
            </w:r>
          </w:p>
        </w:tc>
        <w:tc>
          <w:tcPr>
            <w:tcW w:type="dxa" w:w="1504"/>
          </w:tcPr>
          <w:p>
            <w:pPr>
              <w:pStyle w:val="TableContents"/>
              <w:spacing w:before="0" w:after="0" w:line="240" w:lineRule="atLeast"/>
            </w:pPr>
            <w:r>
              <w:rPr>
                <w:rFonts w:ascii="Arial" w:hAnsi="Arial" w:cs="Arial" w:eastAsia="Arial"/>
                <w:b/>
                <w:bCs/>
                <w:color w:val="0059D1"/>
                <w:sz w:val="16"/>
                <w:szCs w:val="16"/>
              </w:rPr>
              <w:t>[INSERT: system type]</w:t>
            </w:r>
          </w:p>
        </w:tc>
        <w:tc>
          <w:tcPr>
            <w:tcW w:type="dxa" w:w="1504"/>
          </w:tcPr>
          <w:p>
            <w:pPr>
              <w:pStyle w:val="TableContents"/>
              <w:spacing w:before="0" w:after="0" w:line="240" w:lineRule="atLeast"/>
            </w:pPr>
            <w:r>
              <w:rPr>
                <w:rFonts w:ascii="Arial" w:hAnsi="Arial" w:cs="Arial" w:eastAsia="Arial"/>
                <w:b/>
                <w:bCs/>
                <w:color w:val="0059D1"/>
                <w:sz w:val="16"/>
                <w:szCs w:val="16"/>
              </w:rPr>
              <w:t>[INSERT: location or method]</w:t>
            </w:r>
          </w:p>
        </w:tc>
        <w:tc>
          <w:tcPr>
            <w:tcW w:type="dxa" w:w="1504"/>
          </w:tcPr>
          <w:p>
            <w:pPr>
              <w:pStyle w:val="TableContents"/>
              <w:spacing w:before="0" w:after="0" w:line="240" w:lineRule="atLeast"/>
            </w:pPr>
            <w:r>
              <w:rPr>
                <w:rFonts w:ascii="Arial" w:hAnsi="Arial" w:cs="Arial" w:eastAsia="Arial"/>
                <w:b/>
                <w:bCs/>
                <w:color w:val="0059D1"/>
                <w:sz w:val="16"/>
                <w:szCs w:val="16"/>
              </w:rPr>
              <w:t>[INSERT: licence or standard reference]</w:t>
            </w:r>
          </w:p>
        </w:tc>
        <w:tc>
          <w:tcPr>
            <w:tcW w:type="dxa" w:w="1504"/>
          </w:tcPr>
          <w:p>
            <w:pPr>
              <w:pStyle w:val="TableContents"/>
              <w:spacing w:before="0" w:after="0" w:line="240" w:lineRule="atLeast"/>
            </w:pPr>
            <w:r>
              <w:rPr>
                <w:rFonts w:ascii="Arial" w:hAnsi="Arial" w:cs="Arial" w:eastAsia="Arial"/>
                <w:b/>
                <w:bCs/>
                <w:color w:val="0059D1"/>
                <w:sz w:val="16"/>
                <w:szCs w:val="16"/>
              </w:rPr>
              <w:t>[INSERT: parameters]</w:t>
            </w:r>
          </w:p>
        </w:tc>
        <w:tc>
          <w:tcPr>
            <w:tcW w:type="dxa" w:w="1506"/>
          </w:tcPr>
          <w:p>
            <w:pPr>
              <w:pStyle w:val="TableContents"/>
              <w:spacing w:before="0" w:after="0" w:line="240" w:lineRule="atLeast"/>
            </w:pPr>
            <w:r>
              <w:rPr>
                <w:rFonts w:ascii="Arial" w:hAnsi="Arial" w:cs="Arial" w:eastAsia="Arial"/>
                <w:b/>
                <w:bCs/>
                <w:color w:val="0059D1"/>
                <w:sz w:val="16"/>
                <w:szCs w:val="16"/>
              </w:rPr>
              <w:t>[INSERT: frequency]</w:t>
            </w:r>
          </w:p>
        </w:tc>
      </w:tr>
      <w:tr>
        <w:tc>
          <w:tcPr>
            <w:tcW w:type="dxa" w:w="1504"/>
          </w:tcPr>
          <w:p>
            <w:pPr>
              <w:pStyle w:val="TableContents"/>
              <w:spacing w:before="0" w:after="0" w:line="240" w:lineRule="atLeast"/>
            </w:pPr>
            <w:r>
              <w:rPr>
                <w:rFonts w:ascii="Arial" w:hAnsi="Arial" w:cs="Arial" w:eastAsia="Arial"/>
                <w:sz w:val="16"/>
                <w:szCs w:val="16"/>
              </w:rPr>
              <w:t>Stormwater from bunded areas</w:t>
            </w:r>
          </w:p>
        </w:tc>
        <w:tc>
          <w:tcPr>
            <w:tcW w:type="dxa" w:w="1504"/>
          </w:tcPr>
          <w:p>
            <w:pPr>
              <w:pStyle w:val="TableContents"/>
              <w:spacing w:before="0" w:after="0" w:line="240" w:lineRule="atLeast"/>
            </w:pPr>
            <w:r>
              <w:rPr>
                <w:rFonts w:ascii="Arial" w:hAnsi="Arial" w:cs="Arial" w:eastAsia="Arial"/>
                <w:b/>
                <w:bCs/>
                <w:color w:val="0059D1"/>
                <w:sz w:val="16"/>
                <w:szCs w:val="16"/>
              </w:rPr>
              <w:t>[INSERT: system type]</w:t>
            </w:r>
          </w:p>
        </w:tc>
        <w:tc>
          <w:tcPr>
            <w:tcW w:type="dxa" w:w="1504"/>
          </w:tcPr>
          <w:p>
            <w:pPr>
              <w:pStyle w:val="TableContents"/>
              <w:spacing w:before="0" w:after="0" w:line="240" w:lineRule="atLeast"/>
            </w:pPr>
            <w:r>
              <w:rPr>
                <w:rFonts w:ascii="Arial" w:hAnsi="Arial" w:cs="Arial" w:eastAsia="Arial"/>
                <w:b/>
                <w:bCs/>
                <w:color w:val="0059D1"/>
                <w:sz w:val="16"/>
                <w:szCs w:val="16"/>
              </w:rPr>
              <w:t>[INSERT: location or method]</w:t>
            </w:r>
          </w:p>
        </w:tc>
        <w:tc>
          <w:tcPr>
            <w:tcW w:type="dxa" w:w="1504"/>
          </w:tcPr>
          <w:p>
            <w:pPr>
              <w:pStyle w:val="TableContents"/>
              <w:spacing w:before="0" w:after="0" w:line="240" w:lineRule="atLeast"/>
            </w:pPr>
            <w:r>
              <w:rPr>
                <w:rFonts w:ascii="Arial" w:hAnsi="Arial" w:cs="Arial" w:eastAsia="Arial"/>
                <w:b/>
                <w:bCs/>
                <w:color w:val="0059D1"/>
                <w:sz w:val="16"/>
                <w:szCs w:val="16"/>
              </w:rPr>
              <w:t>[INSERT: licence or standard reference]</w:t>
            </w:r>
          </w:p>
        </w:tc>
        <w:tc>
          <w:tcPr>
            <w:tcW w:type="dxa" w:w="1504"/>
          </w:tcPr>
          <w:p>
            <w:pPr>
              <w:pStyle w:val="TableContents"/>
              <w:spacing w:before="0" w:after="0" w:line="240" w:lineRule="atLeast"/>
            </w:pPr>
            <w:r>
              <w:rPr>
                <w:rFonts w:ascii="Arial" w:hAnsi="Arial" w:cs="Arial" w:eastAsia="Arial"/>
                <w:b/>
                <w:bCs/>
                <w:color w:val="0059D1"/>
                <w:sz w:val="16"/>
                <w:szCs w:val="16"/>
              </w:rPr>
              <w:t>[INSERT: parameters]</w:t>
            </w:r>
          </w:p>
        </w:tc>
        <w:tc>
          <w:tcPr>
            <w:tcW w:type="dxa" w:w="1506"/>
          </w:tcPr>
          <w:p>
            <w:pPr>
              <w:pStyle w:val="TableContents"/>
              <w:spacing w:before="0" w:after="0" w:line="240" w:lineRule="atLeast"/>
            </w:pPr>
            <w:r>
              <w:rPr>
                <w:rFonts w:ascii="Arial" w:hAnsi="Arial" w:cs="Arial" w:eastAsia="Arial"/>
                <w:b/>
                <w:bCs/>
                <w:color w:val="0059D1"/>
                <w:sz w:val="16"/>
                <w:szCs w:val="16"/>
              </w:rPr>
              <w:t>[INSERT: frequency]</w:t>
            </w:r>
          </w:p>
        </w:tc>
      </w:tr>
      <w:tr>
        <w:tc>
          <w:tcPr>
            <w:tcW w:type="dxa" w:w="1504"/>
          </w:tcPr>
          <w:p>
            <w:pPr>
              <w:pStyle w:val="TableContents"/>
              <w:spacing w:before="0" w:after="0" w:line="240" w:lineRule="atLeast"/>
            </w:pPr>
            <w:r>
              <w:rPr>
                <w:rFonts w:ascii="Arial" w:hAnsi="Arial" w:cs="Arial" w:eastAsia="Arial"/>
                <w:b/>
                <w:bCs/>
                <w:color w:val="0059D1"/>
                <w:sz w:val="16"/>
                <w:szCs w:val="16"/>
              </w:rPr>
              <w:t>[INSERT: wastewater type]</w:t>
            </w:r>
          </w:p>
        </w:tc>
        <w:tc>
          <w:tcPr>
            <w:tcW w:type="dxa" w:w="1504"/>
          </w:tcPr>
          <w:p>
            <w:pPr>
              <w:pStyle w:val="TableContents"/>
              <w:spacing w:before="0" w:after="0" w:line="240" w:lineRule="atLeast"/>
            </w:pPr>
            <w:r>
              <w:rPr>
                <w:rFonts w:ascii="Arial" w:hAnsi="Arial" w:cs="Arial" w:eastAsia="Arial"/>
                <w:b/>
                <w:bCs/>
                <w:color w:val="0059D1"/>
                <w:sz w:val="16"/>
                <w:szCs w:val="16"/>
              </w:rPr>
              <w:t>[INSERT: system type]</w:t>
            </w:r>
          </w:p>
        </w:tc>
        <w:tc>
          <w:tcPr>
            <w:tcW w:type="dxa" w:w="1504"/>
          </w:tcPr>
          <w:p>
            <w:pPr>
              <w:pStyle w:val="TableContents"/>
              <w:spacing w:before="0" w:after="0" w:line="240" w:lineRule="atLeast"/>
            </w:pPr>
            <w:r>
              <w:rPr>
                <w:rFonts w:ascii="Arial" w:hAnsi="Arial" w:cs="Arial" w:eastAsia="Arial"/>
                <w:b/>
                <w:bCs/>
                <w:color w:val="0059D1"/>
                <w:sz w:val="16"/>
                <w:szCs w:val="16"/>
              </w:rPr>
              <w:t>[INSERT: location or method]</w:t>
            </w:r>
          </w:p>
        </w:tc>
        <w:tc>
          <w:tcPr>
            <w:tcW w:type="dxa" w:w="1504"/>
          </w:tcPr>
          <w:p>
            <w:pPr>
              <w:pStyle w:val="TableContents"/>
              <w:spacing w:before="0" w:after="0" w:line="240" w:lineRule="atLeast"/>
            </w:pPr>
            <w:r>
              <w:rPr>
                <w:rFonts w:ascii="Arial" w:hAnsi="Arial" w:cs="Arial" w:eastAsia="Arial"/>
                <w:b/>
                <w:bCs/>
                <w:color w:val="0059D1"/>
                <w:sz w:val="16"/>
                <w:szCs w:val="16"/>
              </w:rPr>
              <w:t>[INSERT: licence or standard reference]</w:t>
            </w:r>
          </w:p>
        </w:tc>
        <w:tc>
          <w:tcPr>
            <w:tcW w:type="dxa" w:w="1504"/>
          </w:tcPr>
          <w:p>
            <w:pPr>
              <w:pStyle w:val="TableContents"/>
              <w:spacing w:before="0" w:after="0" w:line="240" w:lineRule="atLeast"/>
            </w:pPr>
            <w:r>
              <w:rPr>
                <w:rFonts w:ascii="Arial" w:hAnsi="Arial" w:cs="Arial" w:eastAsia="Arial"/>
                <w:b/>
                <w:bCs/>
                <w:color w:val="0059D1"/>
                <w:sz w:val="16"/>
                <w:szCs w:val="16"/>
              </w:rPr>
              <w:t>[INSERT: parameters]</w:t>
            </w:r>
          </w:p>
        </w:tc>
        <w:tc>
          <w:tcPr>
            <w:tcW w:type="dxa" w:w="1506"/>
          </w:tcPr>
          <w:p>
            <w:pPr>
              <w:pStyle w:val="TableContents"/>
              <w:spacing w:before="0" w:after="0" w:line="240" w:lineRule="atLeast"/>
            </w:pPr>
            <w:r>
              <w:rPr>
                <w:rFonts w:ascii="Arial" w:hAnsi="Arial" w:cs="Arial" w:eastAsia="Arial"/>
                <w:b/>
                <w:bCs/>
                <w:color w:val="0059D1"/>
                <w:sz w:val="16"/>
                <w:szCs w:val="16"/>
              </w:rPr>
              <w:t>[INSERT: frequency]</w:t>
            </w:r>
          </w:p>
        </w:tc>
      </w:tr>
    </w:tbl>
    <w:p>
      <w:pPr>
        <w:pStyle w:val="NormalNumberedtext"/>
      </w:pPr>
    </w:p>
    <w:p>
      <w:pPr>
        <w:pStyle w:val="NormalNumberedtext"/>
      </w:pPr>
      <w:r>
        <w:t>Where monitoring confirms an exceedance of applicable discharge standards, the site supervisor must immediately cease the relevant discharge, investigate the cause, implement corrective action, and report the exceedance in accordance with project incident reporting requirements. Report all incidents and near misses per project requirements, refer [INSERT: Project Document Number].</w:t>
      </w:r>
    </w:p>
    <w:p>
      <w:pPr>
        <w:pStyle w:val="NormalNumberedtext"/>
      </w:pPr>
    </w:p>
    <w:p>
      <w:pPr>
        <w:pStyle w:val="Heading1Numbered"/>
        <w:numPr>
          <w:ilvl w:val="0"/>
          <w:numId w:val="1"/>
        </w:numPr>
      </w:pPr>
      <w:r>
        <w:rPr>
          <w:rFonts w:ascii="Arial" w:hAnsi="Arial" w:cs="Arial" w:eastAsia="Arial"/>
        </w:rPr>
        <w:t>Definitions and Acronyms</w:t>
      </w:r>
    </w:p>
    <w:p>
      <w:pPr>
        <w:pStyle w:val="NormalNumberedtext"/>
      </w:pPr>
      <w:r>
        <w:t>The following terms are used throughout this procedure. Where a term is also used in other project HSESC procedures, the definition below applies consistently across the system.</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Term</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Definition</w:t>
            </w:r>
          </w:p>
        </w:tc>
      </w:tr>
      <w:tr>
        <w:tc>
          <w:tcPr>
            <w:tcW w:type="dxa" w:w="4888"/>
          </w:tcPr>
          <w:p>
            <w:pPr>
              <w:pStyle w:val="TableContents"/>
              <w:spacing w:before="0" w:after="0" w:line="240" w:lineRule="atLeast"/>
            </w:pPr>
            <w:r>
              <w:rPr>
                <w:rFonts w:ascii="Arial" w:hAnsi="Arial" w:cs="Arial" w:eastAsia="Arial"/>
                <w:sz w:val="16"/>
                <w:szCs w:val="16"/>
              </w:rPr>
              <w:t>HSESC</w:t>
            </w:r>
          </w:p>
        </w:tc>
        <w:tc>
          <w:tcPr>
            <w:tcW w:type="dxa" w:w="4889"/>
          </w:tcPr>
          <w:p>
            <w:pPr>
              <w:pStyle w:val="TableContents"/>
              <w:spacing w:before="0" w:after="0" w:line="240" w:lineRule="atLeast"/>
            </w:pPr>
            <w:r>
              <w:rPr>
                <w:rFonts w:ascii="Arial" w:hAnsi="Arial" w:cs="Arial" w:eastAsia="Arial"/>
                <w:sz w:val="16"/>
                <w:szCs w:val="16"/>
              </w:rPr>
              <w:t>Health, Safety, Environment and Social, Community - the integrated management framework governing occupational and environmental performance on Rio Tinto owner-led projects.</w:t>
            </w:r>
          </w:p>
        </w:tc>
      </w:tr>
      <w:tr>
        <w:tc>
          <w:tcPr>
            <w:tcW w:type="dxa" w:w="4888"/>
          </w:tcPr>
          <w:p>
            <w:pPr>
              <w:pStyle w:val="TableContents"/>
              <w:spacing w:before="0" w:after="0" w:line="240" w:lineRule="atLeast"/>
            </w:pPr>
            <w:r>
              <w:rPr>
                <w:rFonts w:ascii="Arial" w:hAnsi="Arial" w:cs="Arial" w:eastAsia="Arial"/>
                <w:sz w:val="16"/>
                <w:szCs w:val="16"/>
              </w:rPr>
              <w:t>PRO</w:t>
            </w:r>
          </w:p>
        </w:tc>
        <w:tc>
          <w:tcPr>
            <w:tcW w:type="dxa" w:w="4889"/>
          </w:tcPr>
          <w:p>
            <w:pPr>
              <w:pStyle w:val="TableContents"/>
              <w:spacing w:before="0" w:after="0" w:line="240" w:lineRule="atLeast"/>
            </w:pPr>
            <w:r>
              <w:rPr>
                <w:rFonts w:ascii="Arial" w:hAnsi="Arial" w:cs="Arial" w:eastAsia="Arial"/>
                <w:sz w:val="16"/>
                <w:szCs w:val="16"/>
              </w:rPr>
              <w:t>Procedure - a controlled document specifying the method and sequence of activities required to implement a management requirement.</w:t>
            </w:r>
          </w:p>
        </w:tc>
      </w:tr>
      <w:tr>
        <w:tc>
          <w:tcPr>
            <w:tcW w:type="dxa" w:w="4888"/>
          </w:tcPr>
          <w:p>
            <w:pPr>
              <w:pStyle w:val="TableContents"/>
              <w:spacing w:before="0" w:after="0" w:line="240" w:lineRule="atLeast"/>
            </w:pPr>
            <w:r>
              <w:rPr>
                <w:rFonts w:ascii="Arial" w:hAnsi="Arial" w:cs="Arial" w:eastAsia="Arial"/>
                <w:sz w:val="16"/>
                <w:szCs w:val="16"/>
              </w:rPr>
              <w:t>RTPR</w:t>
            </w:r>
          </w:p>
        </w:tc>
        <w:tc>
          <w:tcPr>
            <w:tcW w:type="dxa" w:w="4889"/>
          </w:tcPr>
          <w:p>
            <w:pPr>
              <w:pStyle w:val="TableContents"/>
              <w:spacing w:before="0" w:after="0" w:line="240" w:lineRule="atLeast"/>
            </w:pPr>
            <w:r>
              <w:rPr>
                <w:rFonts w:ascii="Arial" w:hAnsi="Arial" w:cs="Arial" w:eastAsia="Arial"/>
                <w:sz w:val="16"/>
                <w:szCs w:val="16"/>
              </w:rPr>
              <w:t>Rio Tinto Projects - the organisational unit responsible for delivering capital projects on behalf of Rio Tinto, and the document-owner prefix used for project-level controlled documents.</w:t>
            </w:r>
          </w:p>
        </w:tc>
      </w:tr>
      <w:tr>
        <w:tc>
          <w:tcPr>
            <w:tcW w:type="dxa" w:w="4888"/>
          </w:tcPr>
          <w:p>
            <w:pPr>
              <w:pStyle w:val="TableContents"/>
              <w:spacing w:before="0" w:after="0" w:line="240" w:lineRule="atLeast"/>
            </w:pPr>
            <w:r>
              <w:rPr>
                <w:rFonts w:ascii="Arial" w:hAnsi="Arial" w:cs="Arial" w:eastAsia="Arial"/>
                <w:sz w:val="16"/>
                <w:szCs w:val="16"/>
              </w:rPr>
              <w:t>HSE</w:t>
            </w:r>
          </w:p>
        </w:tc>
        <w:tc>
          <w:tcPr>
            <w:tcW w:type="dxa" w:w="4889"/>
          </w:tcPr>
          <w:p>
            <w:pPr>
              <w:pStyle w:val="TableContents"/>
              <w:spacing w:before="0" w:after="0" w:line="240" w:lineRule="atLeast"/>
            </w:pPr>
            <w:r>
              <w:rPr>
                <w:rFonts w:ascii="Arial" w:hAnsi="Arial" w:cs="Arial" w:eastAsia="Arial"/>
                <w:sz w:val="16"/>
                <w:szCs w:val="16"/>
              </w:rPr>
              <w:t>Health, Safety and Environment - the discipline domain covering occupational health, workplace safety and environmental protection obligations.</w:t>
            </w:r>
          </w:p>
        </w:tc>
      </w:tr>
      <w:tr>
        <w:tc>
          <w:tcPr>
            <w:tcW w:type="dxa" w:w="4888"/>
          </w:tcPr>
          <w:p>
            <w:pPr>
              <w:pStyle w:val="TableContents"/>
              <w:spacing w:before="0" w:after="0" w:line="240" w:lineRule="atLeast"/>
            </w:pPr>
            <w:r>
              <w:rPr>
                <w:rFonts w:ascii="Arial" w:hAnsi="Arial" w:cs="Arial" w:eastAsia="Arial"/>
                <w:sz w:val="16"/>
                <w:szCs w:val="16"/>
              </w:rPr>
              <w:t>RT</w:t>
            </w:r>
          </w:p>
        </w:tc>
        <w:tc>
          <w:tcPr>
            <w:tcW w:type="dxa" w:w="4889"/>
          </w:tcPr>
          <w:p>
            <w:pPr>
              <w:pStyle w:val="TableContents"/>
              <w:spacing w:before="0" w:after="0" w:line="240" w:lineRule="atLeast"/>
            </w:pPr>
            <w:r>
              <w:rPr>
                <w:rFonts w:ascii="Arial" w:hAnsi="Arial" w:cs="Arial" w:eastAsia="Arial"/>
                <w:sz w:val="16"/>
                <w:szCs w:val="16"/>
              </w:rPr>
              <w:t>Rio Tinto - the parent company whose standards, policies and risk framework govern all project activities.</w:t>
            </w:r>
          </w:p>
        </w:tc>
      </w:tr>
      <w:tr>
        <w:tc>
          <w:tcPr>
            <w:tcW w:type="dxa" w:w="4888"/>
          </w:tcPr>
          <w:p>
            <w:pPr>
              <w:pStyle w:val="TableContents"/>
              <w:spacing w:before="0" w:after="0" w:line="240" w:lineRule="atLeast"/>
            </w:pPr>
            <w:r>
              <w:rPr>
                <w:rFonts w:ascii="Arial" w:hAnsi="Arial" w:cs="Arial" w:eastAsia="Arial"/>
                <w:sz w:val="16"/>
                <w:szCs w:val="16"/>
              </w:rPr>
              <w:t>SDS</w:t>
            </w:r>
          </w:p>
        </w:tc>
        <w:tc>
          <w:tcPr>
            <w:tcW w:type="dxa" w:w="4889"/>
          </w:tcPr>
          <w:p>
            <w:pPr>
              <w:pStyle w:val="TableContents"/>
              <w:spacing w:before="0" w:after="0" w:line="240" w:lineRule="atLeast"/>
            </w:pPr>
            <w:r>
              <w:rPr>
                <w:rFonts w:ascii="Arial" w:hAnsi="Arial" w:cs="Arial" w:eastAsia="Arial"/>
                <w:sz w:val="16"/>
                <w:szCs w:val="16"/>
              </w:rPr>
              <w:t>Safety Data Sheet - a standardised document prepared by a chemical supplier that provides hazard, composition, safe handling, storage, disposal and emergency response information for a hazardous substance.</w:t>
            </w:r>
          </w:p>
        </w:tc>
      </w:tr>
      <w:tr>
        <w:tc>
          <w:tcPr>
            <w:tcW w:type="dxa" w:w="4888"/>
          </w:tcPr>
          <w:p>
            <w:pPr>
              <w:pStyle w:val="TableContents"/>
              <w:spacing w:before="0" w:after="0" w:line="240" w:lineRule="atLeast"/>
            </w:pPr>
            <w:r>
              <w:rPr>
                <w:rFonts w:ascii="Arial" w:hAnsi="Arial" w:cs="Arial" w:eastAsia="Arial"/>
                <w:sz w:val="16"/>
                <w:szCs w:val="16"/>
              </w:rPr>
              <w:t>HazMat</w:t>
            </w:r>
          </w:p>
        </w:tc>
        <w:tc>
          <w:tcPr>
            <w:tcW w:type="dxa" w:w="4889"/>
          </w:tcPr>
          <w:p>
            <w:pPr>
              <w:pStyle w:val="TableContents"/>
              <w:spacing w:before="0" w:after="0" w:line="240" w:lineRule="atLeast"/>
            </w:pPr>
            <w:r>
              <w:rPr>
                <w:rFonts w:ascii="Arial" w:hAnsi="Arial" w:cs="Arial" w:eastAsia="Arial"/>
                <w:sz w:val="16"/>
                <w:szCs w:val="16"/>
              </w:rPr>
              <w:t>Hazardous Material - any solid, liquid or gaseous substance or mixture that, by virtue of its chemical, physical, toxicological or ecotoxicological properties, presents a risk to human health, safety or the environment.</w:t>
            </w:r>
          </w:p>
        </w:tc>
      </w:tr>
      <w:tr>
        <w:tc>
          <w:tcPr>
            <w:tcW w:type="dxa" w:w="4888"/>
          </w:tcPr>
          <w:p>
            <w:pPr>
              <w:pStyle w:val="TableContents"/>
              <w:spacing w:before="0" w:after="0" w:line="240" w:lineRule="atLeast"/>
            </w:pPr>
            <w:r>
              <w:rPr>
                <w:rFonts w:ascii="Arial" w:hAnsi="Arial" w:cs="Arial" w:eastAsia="Arial"/>
                <w:sz w:val="16"/>
                <w:szCs w:val="16"/>
              </w:rPr>
              <w:t>WMH</w:t>
            </w:r>
          </w:p>
        </w:tc>
        <w:tc>
          <w:tcPr>
            <w:tcW w:type="dxa" w:w="4889"/>
          </w:tcPr>
          <w:p>
            <w:pPr>
              <w:pStyle w:val="TableContents"/>
              <w:spacing w:before="0" w:after="0" w:line="240" w:lineRule="atLeast"/>
            </w:pPr>
            <w:r>
              <w:rPr>
                <w:rFonts w:ascii="Arial" w:hAnsi="Arial" w:cs="Arial" w:eastAsia="Arial"/>
                <w:sz w:val="16"/>
                <w:szCs w:val="16"/>
              </w:rPr>
              <w:t>Waste Management Hierarchy - the priority order for managing waste: Eliminate, Reduce, Reuse, Recycle, Recover energy, Treat and Dispose, applied in sequence to minimise waste generation and environmental impact.</w:t>
            </w:r>
          </w:p>
        </w:tc>
      </w:tr>
      <w:tr>
        <w:tc>
          <w:tcPr>
            <w:tcW w:type="dxa" w:w="4888"/>
          </w:tcPr>
          <w:p>
            <w:pPr>
              <w:pStyle w:val="TableContents"/>
              <w:spacing w:before="0" w:after="0" w:line="240" w:lineRule="atLeast"/>
            </w:pPr>
            <w:r>
              <w:rPr>
                <w:rFonts w:ascii="Arial" w:hAnsi="Arial" w:cs="Arial" w:eastAsia="Arial"/>
                <w:sz w:val="16"/>
                <w:szCs w:val="16"/>
              </w:rPr>
              <w:t>CoC</w:t>
            </w:r>
          </w:p>
        </w:tc>
        <w:tc>
          <w:tcPr>
            <w:tcW w:type="dxa" w:w="4889"/>
          </w:tcPr>
          <w:p>
            <w:pPr>
              <w:pStyle w:val="TableContents"/>
              <w:spacing w:before="0" w:after="0" w:line="240" w:lineRule="atLeast"/>
            </w:pPr>
            <w:r>
              <w:rPr>
                <w:rFonts w:ascii="Arial" w:hAnsi="Arial" w:cs="Arial" w:eastAsia="Arial"/>
                <w:sz w:val="16"/>
                <w:szCs w:val="16"/>
              </w:rPr>
              <w:t>Chain of Custody - the documented, sequential transfer of responsibility for waste from the point of generation through handling, transport and final disposal, ensuring traceability and accountability at each stage.</w:t>
            </w:r>
          </w:p>
        </w:tc>
      </w:tr>
      <w:tr>
        <w:tc>
          <w:tcPr>
            <w:tcW w:type="dxa" w:w="4888"/>
          </w:tcPr>
          <w:p>
            <w:pPr>
              <w:pStyle w:val="TableContents"/>
              <w:spacing w:before="0" w:after="0" w:line="240" w:lineRule="atLeast"/>
            </w:pPr>
            <w:r>
              <w:rPr>
                <w:rFonts w:ascii="Arial" w:hAnsi="Arial" w:cs="Arial" w:eastAsia="Arial"/>
                <w:sz w:val="16"/>
                <w:szCs w:val="16"/>
              </w:rPr>
              <w:t>EPA</w:t>
            </w:r>
          </w:p>
        </w:tc>
        <w:tc>
          <w:tcPr>
            <w:tcW w:type="dxa" w:w="4889"/>
          </w:tcPr>
          <w:p>
            <w:pPr>
              <w:pStyle w:val="TableContents"/>
              <w:spacing w:before="0" w:after="0" w:line="240" w:lineRule="atLeast"/>
            </w:pPr>
            <w:r>
              <w:rPr>
                <w:rFonts w:ascii="Arial" w:hAnsi="Arial" w:cs="Arial" w:eastAsia="Arial"/>
                <w:sz w:val="16"/>
                <w:szCs w:val="16"/>
              </w:rPr>
              <w:t>Environment Protection Authority - the relevant statutory body in the applicable jurisdiction responsible for regulating waste management, licensed disposal facilities and environmental compliance.</w:t>
            </w:r>
          </w:p>
        </w:tc>
      </w:tr>
      <w:tr>
        <w:tc>
          <w:tcPr>
            <w:tcW w:type="dxa" w:w="4888"/>
          </w:tcPr>
          <w:p>
            <w:pPr>
              <w:pStyle w:val="TableContents"/>
              <w:spacing w:before="0" w:after="0" w:line="240" w:lineRule="atLeast"/>
            </w:pPr>
            <w:r>
              <w:rPr>
                <w:rFonts w:ascii="Arial" w:hAnsi="Arial" w:cs="Arial" w:eastAsia="Arial"/>
                <w:sz w:val="16"/>
                <w:szCs w:val="16"/>
              </w:rPr>
              <w:t>EPBC</w:t>
            </w:r>
          </w:p>
        </w:tc>
        <w:tc>
          <w:tcPr>
            <w:tcW w:type="dxa" w:w="4889"/>
          </w:tcPr>
          <w:p>
            <w:pPr>
              <w:pStyle w:val="TableContents"/>
              <w:spacing w:before="0" w:after="0" w:line="240" w:lineRule="atLeast"/>
            </w:pPr>
            <w:r>
              <w:rPr>
                <w:rFonts w:ascii="Arial" w:hAnsi="Arial" w:cs="Arial" w:eastAsia="Arial"/>
                <w:sz w:val="16"/>
                <w:szCs w:val="16"/>
              </w:rPr>
              <w:t>Environment Protection and Biodiversity Conservation Act 1999 - the Australian federal legislation that establishes environmental assessment and approval requirements, including those relating to hazardous waste and contaminated land affecting matters of national environmental significance.</w:t>
            </w:r>
          </w:p>
        </w:tc>
      </w:tr>
      <w:tr>
        <w:tc>
          <w:tcPr>
            <w:tcW w:type="dxa" w:w="4888"/>
          </w:tcPr>
          <w:p>
            <w:pPr>
              <w:pStyle w:val="TableContents"/>
              <w:spacing w:before="0" w:after="0" w:line="240" w:lineRule="atLeast"/>
            </w:pPr>
            <w:r>
              <w:rPr>
                <w:rFonts w:ascii="Arial" w:hAnsi="Arial" w:cs="Arial" w:eastAsia="Arial"/>
                <w:sz w:val="16"/>
                <w:szCs w:val="16"/>
              </w:rPr>
              <w:t>GHS</w:t>
            </w:r>
          </w:p>
        </w:tc>
        <w:tc>
          <w:tcPr>
            <w:tcW w:type="dxa" w:w="4889"/>
          </w:tcPr>
          <w:p>
            <w:pPr>
              <w:pStyle w:val="TableContents"/>
              <w:spacing w:before="0" w:after="0" w:line="240" w:lineRule="atLeast"/>
            </w:pPr>
            <w:r>
              <w:rPr>
                <w:rFonts w:ascii="Arial" w:hAnsi="Arial" w:cs="Arial" w:eastAsia="Arial"/>
                <w:sz w:val="16"/>
                <w:szCs w:val="16"/>
              </w:rPr>
              <w:t>Globally Harmonised System of Classification and Labelling of Chemicals - the internationally agreed system for classifying chemicals according to their health, physical and environmental hazards, and for communicating hazard information through labels and safety data sheets.</w:t>
            </w:r>
          </w:p>
        </w:tc>
      </w:tr>
      <w:tr>
        <w:tc>
          <w:tcPr>
            <w:tcW w:type="dxa" w:w="4888"/>
          </w:tcPr>
          <w:p>
            <w:pPr>
              <w:pStyle w:val="TableContents"/>
              <w:spacing w:before="0" w:after="0" w:line="240" w:lineRule="atLeast"/>
            </w:pPr>
            <w:r>
              <w:rPr>
                <w:rFonts w:ascii="Arial" w:hAnsi="Arial" w:cs="Arial" w:eastAsia="Arial"/>
                <w:sz w:val="16"/>
                <w:szCs w:val="16"/>
              </w:rPr>
              <w:t>HAZCHEM</w:t>
            </w:r>
          </w:p>
        </w:tc>
        <w:tc>
          <w:tcPr>
            <w:tcW w:type="dxa" w:w="4889"/>
          </w:tcPr>
          <w:p>
            <w:pPr>
              <w:pStyle w:val="TableContents"/>
              <w:spacing w:before="0" w:after="0" w:line="240" w:lineRule="atLeast"/>
            </w:pPr>
            <w:r>
              <w:rPr>
                <w:rFonts w:ascii="Arial" w:hAnsi="Arial" w:cs="Arial" w:eastAsia="Arial"/>
                <w:sz w:val="16"/>
                <w:szCs w:val="16"/>
              </w:rPr>
              <w:t>Hazardous Chemicals - chemicals that satisfy the criteria of the GHS or relevant national regulations for physical, health or environmental hazard classification, requiring specific storage, handling, transport and disposal controls.</w:t>
            </w:r>
          </w:p>
        </w:tc>
      </w:tr>
      <w:tr>
        <w:tc>
          <w:tcPr>
            <w:tcW w:type="dxa" w:w="4888"/>
          </w:tcPr>
          <w:p>
            <w:pPr>
              <w:pStyle w:val="TableContents"/>
              <w:spacing w:before="0" w:after="0" w:line="240" w:lineRule="atLeast"/>
            </w:pPr>
            <w:r>
              <w:rPr>
                <w:rFonts w:ascii="Arial" w:hAnsi="Arial" w:cs="Arial" w:eastAsia="Arial"/>
                <w:sz w:val="16"/>
                <w:szCs w:val="16"/>
              </w:rPr>
              <w:t>TWL</w:t>
            </w:r>
          </w:p>
        </w:tc>
        <w:tc>
          <w:tcPr>
            <w:tcW w:type="dxa" w:w="4889"/>
          </w:tcPr>
          <w:p>
            <w:pPr>
              <w:pStyle w:val="TableContents"/>
              <w:spacing w:before="0" w:after="0" w:line="240" w:lineRule="atLeast"/>
            </w:pPr>
            <w:r>
              <w:rPr>
                <w:rFonts w:ascii="Arial" w:hAnsi="Arial" w:cs="Arial" w:eastAsia="Arial"/>
                <w:sz w:val="16"/>
                <w:szCs w:val="16"/>
              </w:rPr>
              <w:t>Trade Waste Licence - a regulatory authorisation issued by a water authority or equivalent body permitting the discharge of non-domestic liquid waste to a sewerage system under specified conditions.</w:t>
            </w:r>
          </w:p>
        </w:tc>
      </w:tr>
      <w:tr>
        <w:tc>
          <w:tcPr>
            <w:tcW w:type="dxa" w:w="4888"/>
          </w:tcPr>
          <w:p>
            <w:pPr>
              <w:pStyle w:val="TableContents"/>
              <w:spacing w:before="0" w:after="0" w:line="240" w:lineRule="atLeast"/>
            </w:pPr>
            <w:r>
              <w:rPr>
                <w:rFonts w:ascii="Arial" w:hAnsi="Arial" w:cs="Arial" w:eastAsia="Arial"/>
                <w:sz w:val="16"/>
                <w:szCs w:val="16"/>
              </w:rPr>
              <w:t>WWTP</w:t>
            </w:r>
          </w:p>
        </w:tc>
        <w:tc>
          <w:tcPr>
            <w:tcW w:type="dxa" w:w="4889"/>
          </w:tcPr>
          <w:p>
            <w:pPr>
              <w:pStyle w:val="TableContents"/>
              <w:spacing w:before="0" w:after="0" w:line="240" w:lineRule="atLeast"/>
            </w:pPr>
            <w:r>
              <w:rPr>
                <w:rFonts w:ascii="Arial" w:hAnsi="Arial" w:cs="Arial" w:eastAsia="Arial"/>
                <w:sz w:val="16"/>
                <w:szCs w:val="16"/>
              </w:rPr>
              <w:t>Wastewater Treatment Plant - a facility that processes liquid waste streams, including sewage and industrial effluent, through physical, chemical or biological treatment processes to meet discharge or reuse quality standards.</w:t>
            </w:r>
          </w:p>
        </w:tc>
      </w:tr>
      <w:tr>
        <w:tc>
          <w:tcPr>
            <w:tcW w:type="dxa" w:w="4888"/>
          </w:tcPr>
          <w:p>
            <w:pPr>
              <w:pStyle w:val="TableContents"/>
              <w:spacing w:before="0" w:after="0" w:line="240" w:lineRule="atLeast"/>
            </w:pPr>
            <w:r>
              <w:rPr>
                <w:rFonts w:ascii="Arial" w:hAnsi="Arial" w:cs="Arial" w:eastAsia="Arial"/>
                <w:sz w:val="16"/>
                <w:szCs w:val="16"/>
              </w:rPr>
              <w:t>STP</w:t>
            </w:r>
          </w:p>
        </w:tc>
        <w:tc>
          <w:tcPr>
            <w:tcW w:type="dxa" w:w="4889"/>
          </w:tcPr>
          <w:p>
            <w:pPr>
              <w:pStyle w:val="TableContents"/>
              <w:spacing w:before="0" w:after="0" w:line="240" w:lineRule="atLeast"/>
            </w:pPr>
            <w:r>
              <w:rPr>
                <w:rFonts w:ascii="Arial" w:hAnsi="Arial" w:cs="Arial" w:eastAsia="Arial"/>
                <w:sz w:val="16"/>
                <w:szCs w:val="16"/>
              </w:rPr>
              <w:t>Sewage Treatment Plant - an installation, which may be a subset of a WWTP, specifically designed to treat sewage and sanitary wastewater to a standard suitable for controlled discharge or reuse.</w:t>
            </w:r>
          </w:p>
        </w:tc>
      </w:tr>
      <w:tr>
        <w:tc>
          <w:tcPr>
            <w:tcW w:type="dxa" w:w="4888"/>
          </w:tcPr>
          <w:p>
            <w:pPr>
              <w:pStyle w:val="TableContents"/>
              <w:spacing w:before="0" w:after="0" w:line="240" w:lineRule="atLeast"/>
            </w:pPr>
            <w:r>
              <w:rPr>
                <w:rFonts w:ascii="Arial" w:hAnsi="Arial" w:cs="Arial" w:eastAsia="Arial"/>
                <w:sz w:val="16"/>
                <w:szCs w:val="16"/>
              </w:rPr>
              <w:t>WSR</w:t>
            </w:r>
          </w:p>
        </w:tc>
        <w:tc>
          <w:tcPr>
            <w:tcW w:type="dxa" w:w="4889"/>
          </w:tcPr>
          <w:p>
            <w:pPr>
              <w:pStyle w:val="TableContents"/>
              <w:spacing w:before="0" w:after="0" w:line="240" w:lineRule="atLeast"/>
            </w:pPr>
            <w:r>
              <w:rPr>
                <w:rFonts w:ascii="Arial" w:hAnsi="Arial" w:cs="Arial" w:eastAsia="Arial"/>
                <w:sz w:val="16"/>
                <w:szCs w:val="16"/>
              </w:rPr>
              <w:t>Waste Storage Register - the controlled register maintained on-site that records the type, quantity, classification, location, storage conditions and disposal pathway for all non-mineral waste streams generated during project activities.</w:t>
            </w:r>
          </w:p>
        </w:tc>
      </w:tr>
      <w:tr>
        <w:tc>
          <w:tcPr>
            <w:tcW w:type="dxa" w:w="4888"/>
          </w:tcPr>
          <w:p>
            <w:pPr>
              <w:pStyle w:val="TableContents"/>
              <w:spacing w:before="0" w:after="0" w:line="240" w:lineRule="atLeast"/>
            </w:pPr>
            <w:r>
              <w:rPr>
                <w:rFonts w:ascii="Arial" w:hAnsi="Arial" w:cs="Arial" w:eastAsia="Arial"/>
                <w:sz w:val="16"/>
                <w:szCs w:val="16"/>
              </w:rPr>
              <w:t>NMW</w:t>
            </w:r>
          </w:p>
        </w:tc>
        <w:tc>
          <w:tcPr>
            <w:tcW w:type="dxa" w:w="4889"/>
          </w:tcPr>
          <w:p>
            <w:pPr>
              <w:pStyle w:val="TableContents"/>
              <w:spacing w:before="0" w:after="0" w:line="240" w:lineRule="atLeast"/>
            </w:pPr>
            <w:r>
              <w:rPr>
                <w:rFonts w:ascii="Arial" w:hAnsi="Arial" w:cs="Arial" w:eastAsia="Arial"/>
                <w:sz w:val="16"/>
                <w:szCs w:val="16"/>
              </w:rPr>
              <w:t>Non-Mineral Waste - waste materials generated by project operations that are not classified as reactive or mineral process waste, including general refuse, construction and demolition waste, scrap metal, used oils, chemical containers and putrescible waste.</w:t>
            </w:r>
          </w:p>
        </w:tc>
      </w:tr>
      <w:tr>
        <w:tc>
          <w:tcPr>
            <w:tcW w:type="dxa" w:w="4888"/>
          </w:tcPr>
          <w:p>
            <w:pPr>
              <w:pStyle w:val="TableContents"/>
              <w:spacing w:before="0" w:after="0" w:line="240" w:lineRule="atLeast"/>
            </w:pPr>
            <w:r>
              <w:rPr>
                <w:rFonts w:ascii="Arial" w:hAnsi="Arial" w:cs="Arial" w:eastAsia="Arial"/>
                <w:sz w:val="16"/>
                <w:szCs w:val="16"/>
              </w:rPr>
              <w:t>PPE</w:t>
            </w:r>
          </w:p>
        </w:tc>
        <w:tc>
          <w:tcPr>
            <w:tcW w:type="dxa" w:w="4889"/>
          </w:tcPr>
          <w:p>
            <w:pPr>
              <w:pStyle w:val="TableContents"/>
              <w:spacing w:before="0" w:after="0" w:line="240" w:lineRule="atLeast"/>
            </w:pPr>
            <w:r>
              <w:rPr>
                <w:rFonts w:ascii="Arial" w:hAnsi="Arial" w:cs="Arial" w:eastAsia="Arial"/>
                <w:sz w:val="16"/>
                <w:szCs w:val="16"/>
              </w:rPr>
              <w:t>Personal Protective Equipment - equipment worn or used by a worker to minimise exposure to hazards, including those associated with handling, storing or disposing of hazardous materials and waste.</w:t>
            </w:r>
          </w:p>
        </w:tc>
      </w:tr>
      <w:tr>
        <w:tc>
          <w:tcPr>
            <w:tcW w:type="dxa" w:w="4888"/>
          </w:tcPr>
          <w:p>
            <w:pPr>
              <w:pStyle w:val="TableContents"/>
              <w:spacing w:before="0" w:after="0" w:line="240" w:lineRule="atLeast"/>
            </w:pPr>
            <w:r>
              <w:rPr>
                <w:rFonts w:ascii="Arial" w:hAnsi="Arial" w:cs="Arial" w:eastAsia="Arial"/>
                <w:sz w:val="16"/>
                <w:szCs w:val="16"/>
              </w:rPr>
              <w:t>SWMS</w:t>
            </w:r>
          </w:p>
        </w:tc>
        <w:tc>
          <w:tcPr>
            <w:tcW w:type="dxa" w:w="4889"/>
          </w:tcPr>
          <w:p>
            <w:pPr>
              <w:pStyle w:val="TableContents"/>
              <w:spacing w:before="0" w:after="0" w:line="240" w:lineRule="atLeast"/>
            </w:pPr>
            <w:r>
              <w:rPr>
                <w:rFonts w:ascii="Arial" w:hAnsi="Arial" w:cs="Arial" w:eastAsia="Arial"/>
                <w:sz w:val="16"/>
                <w:szCs w:val="16"/>
              </w:rPr>
              <w:t>Safe Work Method Statement - a documented risk control plan that identifies the hazards associated with high-risk construction or waste management work and specifies the measures to be applied to control those hazards.</w:t>
            </w:r>
          </w:p>
        </w:tc>
      </w:tr>
      <w:tr>
        <w:tc>
          <w:tcPr>
            <w:tcW w:type="dxa" w:w="4888"/>
          </w:tcPr>
          <w:p>
            <w:pPr>
              <w:pStyle w:val="TableContents"/>
              <w:spacing w:before="0" w:after="0" w:line="240" w:lineRule="atLeast"/>
            </w:pPr>
            <w:r>
              <w:rPr>
                <w:rFonts w:ascii="Arial" w:hAnsi="Arial" w:cs="Arial" w:eastAsia="Arial"/>
                <w:sz w:val="16"/>
                <w:szCs w:val="16"/>
              </w:rPr>
              <w:t>MS</w:t>
            </w:r>
          </w:p>
        </w:tc>
        <w:tc>
          <w:tcPr>
            <w:tcW w:type="dxa" w:w="4889"/>
          </w:tcPr>
          <w:p>
            <w:pPr>
              <w:pStyle w:val="TableContents"/>
              <w:spacing w:before="0" w:after="0" w:line="240" w:lineRule="atLeast"/>
            </w:pPr>
            <w:r>
              <w:rPr>
                <w:rFonts w:ascii="Arial" w:hAnsi="Arial" w:cs="Arial" w:eastAsia="Arial"/>
                <w:sz w:val="16"/>
                <w:szCs w:val="16"/>
              </w:rPr>
              <w:t>Management Standard - a Rio Tinto mandatory document that sets the minimum performance requirements to be met by all operations and projects within scope.</w:t>
            </w:r>
          </w:p>
        </w:tc>
      </w:tr>
      <w:tr>
        <w:tc>
          <w:tcPr>
            <w:tcW w:type="dxa" w:w="4888"/>
          </w:tcPr>
          <w:p>
            <w:pPr>
              <w:pStyle w:val="TableContents"/>
              <w:spacing w:before="0" w:after="0" w:line="240" w:lineRule="atLeast"/>
            </w:pPr>
            <w:r>
              <w:rPr>
                <w:rFonts w:ascii="Arial" w:hAnsi="Arial" w:cs="Arial" w:eastAsia="Arial"/>
                <w:sz w:val="16"/>
                <w:szCs w:val="16"/>
              </w:rPr>
              <w:t>EMS</w:t>
            </w:r>
          </w:p>
        </w:tc>
        <w:tc>
          <w:tcPr>
            <w:tcW w:type="dxa" w:w="4889"/>
          </w:tcPr>
          <w:p>
            <w:pPr>
              <w:pStyle w:val="TableContents"/>
              <w:spacing w:before="0" w:after="0" w:line="240" w:lineRule="atLeast"/>
            </w:pPr>
            <w:r>
              <w:rPr>
                <w:rFonts w:ascii="Arial" w:hAnsi="Arial" w:cs="Arial" w:eastAsia="Arial"/>
                <w:sz w:val="16"/>
                <w:szCs w:val="16"/>
              </w:rPr>
              <w:t>Environmental Management System - the structured framework of policies, plans, procedures, registers and monitoring mechanisms used to manage environmental aspects and impacts in accordance with ISO 14001 or equivalent requirements.</w:t>
            </w:r>
          </w:p>
        </w:tc>
      </w:tr>
      <w:tr>
        <w:tc>
          <w:tcPr>
            <w:tcW w:type="dxa" w:w="4888"/>
          </w:tcPr>
          <w:p>
            <w:pPr>
              <w:pStyle w:val="TableContents"/>
              <w:spacing w:before="0" w:after="0" w:line="240" w:lineRule="atLeast"/>
            </w:pPr>
            <w:r>
              <w:rPr>
                <w:rFonts w:ascii="Arial" w:hAnsi="Arial" w:cs="Arial" w:eastAsia="Arial"/>
                <w:sz w:val="16"/>
                <w:szCs w:val="16"/>
              </w:rPr>
              <w:t>ISO</w:t>
            </w:r>
          </w:p>
        </w:tc>
        <w:tc>
          <w:tcPr>
            <w:tcW w:type="dxa" w:w="4889"/>
          </w:tcPr>
          <w:p>
            <w:pPr>
              <w:pStyle w:val="TableContents"/>
              <w:spacing w:before="0" w:after="0" w:line="240" w:lineRule="atLeast"/>
            </w:pPr>
            <w:r>
              <w:rPr>
                <w:rFonts w:ascii="Arial" w:hAnsi="Arial" w:cs="Arial" w:eastAsia="Arial"/>
                <w:sz w:val="16"/>
                <w:szCs w:val="16"/>
              </w:rPr>
              <w:t>International Organisation for Standardisation - the international body that develops and publishes globally recognised management system and technical standards, including ISO 14001 for environmental management.</w:t>
            </w:r>
          </w:p>
        </w:tc>
      </w:tr>
      <w:tr>
        <w:tc>
          <w:tcPr>
            <w:tcW w:type="dxa" w:w="4888"/>
          </w:tcPr>
          <w:p>
            <w:pPr>
              <w:pStyle w:val="TableContents"/>
              <w:spacing w:before="0" w:after="0" w:line="240" w:lineRule="atLeast"/>
            </w:pPr>
            <w:r>
              <w:rPr>
                <w:rFonts w:ascii="Arial" w:hAnsi="Arial" w:cs="Arial" w:eastAsia="Arial"/>
                <w:sz w:val="16"/>
                <w:szCs w:val="16"/>
              </w:rPr>
              <w:t>NGER</w:t>
            </w:r>
          </w:p>
        </w:tc>
        <w:tc>
          <w:tcPr>
            <w:tcW w:type="dxa" w:w="4889"/>
          </w:tcPr>
          <w:p>
            <w:pPr>
              <w:pStyle w:val="TableContents"/>
              <w:spacing w:before="0" w:after="0" w:line="240" w:lineRule="atLeast"/>
            </w:pPr>
            <w:r>
              <w:rPr>
                <w:rFonts w:ascii="Arial" w:hAnsi="Arial" w:cs="Arial" w:eastAsia="Arial"/>
                <w:sz w:val="16"/>
                <w:szCs w:val="16"/>
              </w:rPr>
              <w:t>National Greenhouse and Energy Reporting - the Australian federal scheme requiring corporations above threshold to measure and report greenhouse gas emissions and energy production and consumption, relevant to waste streams that generate fugitive or process emissions.</w:t>
            </w:r>
          </w:p>
        </w:tc>
      </w:tr>
      <w:tr>
        <w:tc>
          <w:tcPr>
            <w:tcW w:type="dxa" w:w="4888"/>
          </w:tcPr>
          <w:p>
            <w:pPr>
              <w:pStyle w:val="TableContents"/>
              <w:spacing w:before="0" w:after="0" w:line="240" w:lineRule="atLeast"/>
            </w:pPr>
            <w:r>
              <w:rPr>
                <w:rFonts w:ascii="Arial" w:hAnsi="Arial" w:cs="Arial" w:eastAsia="Arial"/>
                <w:sz w:val="16"/>
                <w:szCs w:val="16"/>
              </w:rPr>
              <w:t>ADG</w:t>
            </w:r>
          </w:p>
        </w:tc>
        <w:tc>
          <w:tcPr>
            <w:tcW w:type="dxa" w:w="4889"/>
          </w:tcPr>
          <w:p>
            <w:pPr>
              <w:pStyle w:val="TableContents"/>
              <w:spacing w:before="0" w:after="0" w:line="240" w:lineRule="atLeast"/>
            </w:pPr>
            <w:r>
              <w:rPr>
                <w:rFonts w:ascii="Arial" w:hAnsi="Arial" w:cs="Arial" w:eastAsia="Arial"/>
                <w:sz w:val="16"/>
                <w:szCs w:val="16"/>
              </w:rPr>
              <w:t>Australian Dangerous Goods Code - the national code of practice governing the classification, packaging, labelling, placarding and transport of dangerous goods by road and rail, applicable to off-site movement of hazardous waste.</w:t>
            </w:r>
          </w:p>
        </w:tc>
      </w:tr>
      <w:tr>
        <w:tc>
          <w:tcPr>
            <w:tcW w:type="dxa" w:w="4888"/>
          </w:tcPr>
          <w:p>
            <w:pPr>
              <w:pStyle w:val="TableContents"/>
              <w:spacing w:before="0" w:after="0" w:line="240" w:lineRule="atLeast"/>
            </w:pPr>
            <w:r>
              <w:rPr>
                <w:rFonts w:ascii="Arial" w:hAnsi="Arial" w:cs="Arial" w:eastAsia="Arial"/>
                <w:sz w:val="16"/>
                <w:szCs w:val="16"/>
              </w:rPr>
              <w:t>LDAR</w:t>
            </w:r>
          </w:p>
        </w:tc>
        <w:tc>
          <w:tcPr>
            <w:tcW w:type="dxa" w:w="4889"/>
          </w:tcPr>
          <w:p>
            <w:pPr>
              <w:pStyle w:val="TableContents"/>
              <w:spacing w:before="0" w:after="0" w:line="240" w:lineRule="atLeast"/>
            </w:pPr>
            <w:r>
              <w:rPr>
                <w:rFonts w:ascii="Arial" w:hAnsi="Arial" w:cs="Arial" w:eastAsia="Arial"/>
                <w:sz w:val="16"/>
                <w:szCs w:val="16"/>
              </w:rPr>
              <w:t>Leak Detection and Repair - a programme of systematic inspection and remediation of equipment carrying hazardous materials or liquid waste to prevent uncontrolled release to the environment.</w:t>
            </w:r>
          </w:p>
        </w:tc>
      </w:tr>
      <w:tr>
        <w:tc>
          <w:tcPr>
            <w:tcW w:type="dxa" w:w="4888"/>
          </w:tcPr>
          <w:p>
            <w:pPr>
              <w:pStyle w:val="TableContents"/>
              <w:spacing w:before="0" w:after="0" w:line="240" w:lineRule="atLeast"/>
            </w:pPr>
            <w:r>
              <w:rPr>
                <w:rFonts w:ascii="Arial" w:hAnsi="Arial" w:cs="Arial" w:eastAsia="Arial"/>
                <w:sz w:val="16"/>
                <w:szCs w:val="16"/>
              </w:rPr>
              <w:t>CPCF</w:t>
            </w:r>
          </w:p>
        </w:tc>
        <w:tc>
          <w:tcPr>
            <w:tcW w:type="dxa" w:w="4889"/>
          </w:tcPr>
          <w:p>
            <w:pPr>
              <w:pStyle w:val="TableContents"/>
              <w:spacing w:before="0" w:after="0" w:line="240" w:lineRule="atLeast"/>
            </w:pPr>
            <w:r>
              <w:rPr>
                <w:rFonts w:ascii="Arial" w:hAnsi="Arial" w:cs="Arial" w:eastAsia="Arial"/>
                <w:sz w:val="16"/>
                <w:szCs w:val="16"/>
              </w:rPr>
              <w:t>Controlled Primary Containment Facility - a bunded, lined or enclosed storage area designed to contain hazardous materials or liquid waste and prevent migration to soil, groundwater or surface water in the event of a spill or leak.</w:t>
            </w:r>
          </w:p>
        </w:tc>
      </w:tr>
      <w:tr>
        <w:tc>
          <w:tcPr>
            <w:tcW w:type="dxa" w:w="4888"/>
          </w:tcPr>
          <w:p>
            <w:pPr>
              <w:pStyle w:val="TableContents"/>
              <w:spacing w:before="0" w:after="0" w:line="240" w:lineRule="atLeast"/>
            </w:pPr>
            <w:r>
              <w:rPr>
                <w:rFonts w:ascii="Arial" w:hAnsi="Arial" w:cs="Arial" w:eastAsia="Arial"/>
                <w:sz w:val="16"/>
                <w:szCs w:val="16"/>
              </w:rPr>
              <w:t>DG</w:t>
            </w:r>
          </w:p>
        </w:tc>
        <w:tc>
          <w:tcPr>
            <w:tcW w:type="dxa" w:w="4889"/>
          </w:tcPr>
          <w:p>
            <w:pPr>
              <w:pStyle w:val="TableContents"/>
              <w:spacing w:before="0" w:after="0" w:line="240" w:lineRule="atLeast"/>
            </w:pPr>
            <w:r>
              <w:rPr>
                <w:rFonts w:ascii="Arial" w:hAnsi="Arial" w:cs="Arial" w:eastAsia="Arial"/>
                <w:sz w:val="16"/>
                <w:szCs w:val="16"/>
              </w:rPr>
              <w:t>Dangerous Goods - substances or articles that pose a risk to people, property or the environment during transport and are regulated under the ADG Code and relevant state dangerous goods legislation.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add project-specific terms]</w:t>
            </w:r>
          </w:p>
        </w:tc>
        <w:tc>
          <w:tcPr>
            <w:tcW w:type="dxa" w:w="4889"/>
          </w:tcPr>
          <w:p>
            <w:pPr>
              <w:pStyle w:val="TableContents"/>
              <w:spacing w:before="0" w:after="0" w:line="240" w:lineRule="atLeast"/>
            </w:pPr>
            <w:r>
              <w:rPr>
                <w:rFonts w:ascii="Arial" w:hAnsi="Arial" w:cs="Arial" w:eastAsia="Arial"/>
                <w:b/>
                <w:bCs/>
                <w:color w:val="0059D1"/>
                <w:sz w:val="16"/>
                <w:szCs w:val="16"/>
              </w:rPr>
              <w:t>[INSERT: definition]</w:t>
            </w:r>
          </w:p>
        </w:tc>
      </w:tr>
    </w:tbl>
    <w:p>
      <w:pPr>
        <w:pStyle w:val="NormalNumberedtext"/>
      </w:pPr>
    </w:p>
    <w:p>
      <w:pPr>
        <w:pStyle w:val="Heading1Numbered"/>
        <w:numPr>
          <w:ilvl w:val="0"/>
          <w:numId w:val="1"/>
        </w:numPr>
      </w:pPr>
      <w:r>
        <w:rPr>
          <w:rFonts w:ascii="Arial" w:hAnsi="Arial" w:cs="Arial" w:eastAsia="Arial"/>
        </w:rPr>
        <w:t>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Document</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Reference</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Type</w:t>
            </w:r>
          </w:p>
        </w:tc>
      </w:tr>
      <w:tr>
        <w:tc>
          <w:tcPr>
            <w:tcW w:type="dxa" w:w="3259"/>
          </w:tcPr>
          <w:p>
            <w:pPr>
              <w:pStyle w:val="TableContents"/>
              <w:spacing w:before="0" w:after="0" w:line="240" w:lineRule="atLeast"/>
            </w:pPr>
            <w:r>
              <w:rPr>
                <w:rFonts w:ascii="Arial" w:hAnsi="Arial" w:cs="Arial" w:eastAsia="Arial"/>
                <w:sz w:val="16"/>
                <w:szCs w:val="16"/>
              </w:rPr>
              <w:t>Chemicals - Hazardous Substance Controls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Legal Requirements Procedure - Waste Disposal Licence Conditions</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Water Quality Procedure - Liquid Waste Management</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Reactive Waste Procedure - Mineral Waste Management</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Monitoring Procedure - Waste Monitoring</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Rio Tinto Risk Management Standard</w:t>
            </w:r>
          </w:p>
        </w:tc>
        <w:tc>
          <w:tcPr>
            <w:tcW w:type="dxa" w:w="3259"/>
          </w:tcPr>
          <w:p>
            <w:pPr>
              <w:pStyle w:val="TableContents"/>
              <w:spacing w:before="0" w:after="0" w:line="240" w:lineRule="atLeast"/>
            </w:pPr>
            <w:r>
              <w:rPr>
                <w:rFonts w:ascii="Arial" w:hAnsi="Arial" w:cs="Arial" w:eastAsia="Arial"/>
                <w:sz w:val="16"/>
                <w:szCs w:val="16"/>
              </w:rPr>
              <w:t>RT Risk Management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Risk Management Standard - Appendix C, Section C-1: Hazard and Risk Register Requirements</w:t>
            </w:r>
          </w:p>
        </w:tc>
        <w:tc>
          <w:tcPr>
            <w:tcW w:type="dxa" w:w="3259"/>
          </w:tcPr>
          <w:p>
            <w:pPr>
              <w:pStyle w:val="TableContents"/>
              <w:spacing w:before="0" w:after="0" w:line="240" w:lineRule="atLeast"/>
            </w:pPr>
            <w:r>
              <w:rPr>
                <w:rFonts w:ascii="Arial" w:hAnsi="Arial" w:cs="Arial" w:eastAsia="Arial"/>
                <w:sz w:val="16"/>
                <w:szCs w:val="16"/>
              </w:rPr>
              <w:t>RT Risk Management Standard - Appendix C, C-1</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Health, Safety and Environment Policy</w:t>
            </w:r>
          </w:p>
        </w:tc>
        <w:tc>
          <w:tcPr>
            <w:tcW w:type="dxa" w:w="3259"/>
          </w:tcPr>
          <w:p>
            <w:pPr>
              <w:pStyle w:val="TableContents"/>
              <w:spacing w:before="0" w:after="0" w:line="240" w:lineRule="atLeast"/>
            </w:pPr>
            <w:r>
              <w:rPr>
                <w:rFonts w:ascii="Arial" w:hAnsi="Arial" w:cs="Arial" w:eastAsia="Arial"/>
                <w:sz w:val="16"/>
                <w:szCs w:val="16"/>
              </w:rPr>
              <w:t>RT HSE Policy</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Environmental Management Standard</w:t>
            </w:r>
          </w:p>
        </w:tc>
        <w:tc>
          <w:tcPr>
            <w:tcW w:type="dxa" w:w="3259"/>
          </w:tcPr>
          <w:p>
            <w:pPr>
              <w:pStyle w:val="TableContents"/>
              <w:spacing w:before="0" w:after="0" w:line="240" w:lineRule="atLeast"/>
            </w:pPr>
            <w:r>
              <w:rPr>
                <w:rFonts w:ascii="Arial" w:hAnsi="Arial" w:cs="Arial" w:eastAsia="Arial"/>
                <w:sz w:val="16"/>
                <w:szCs w:val="16"/>
              </w:rPr>
              <w:t>RT Environmental Management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Waste Management Standard</w:t>
            </w:r>
          </w:p>
        </w:tc>
        <w:tc>
          <w:tcPr>
            <w:tcW w:type="dxa" w:w="3259"/>
          </w:tcPr>
          <w:p>
            <w:pPr>
              <w:pStyle w:val="TableContents"/>
              <w:spacing w:before="0" w:after="0" w:line="240" w:lineRule="atLeast"/>
            </w:pPr>
            <w:r>
              <w:rPr>
                <w:rFonts w:ascii="Arial" w:hAnsi="Arial" w:cs="Arial" w:eastAsia="Arial"/>
                <w:sz w:val="16"/>
                <w:szCs w:val="16"/>
              </w:rPr>
              <w:t>RT Waste Management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Hazardous Materials Management Standard</w:t>
            </w:r>
          </w:p>
        </w:tc>
        <w:tc>
          <w:tcPr>
            <w:tcW w:type="dxa" w:w="3259"/>
          </w:tcPr>
          <w:p>
            <w:pPr>
              <w:pStyle w:val="TableContents"/>
              <w:spacing w:before="0" w:after="0" w:line="240" w:lineRule="atLeast"/>
            </w:pPr>
            <w:r>
              <w:rPr>
                <w:rFonts w:ascii="Arial" w:hAnsi="Arial" w:cs="Arial" w:eastAsia="Arial"/>
                <w:sz w:val="16"/>
                <w:szCs w:val="16"/>
              </w:rPr>
              <w:t>RT Hazardous Materials Management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Contractor Management Standard</w:t>
            </w:r>
          </w:p>
        </w:tc>
        <w:tc>
          <w:tcPr>
            <w:tcW w:type="dxa" w:w="3259"/>
          </w:tcPr>
          <w:p>
            <w:pPr>
              <w:pStyle w:val="TableContents"/>
              <w:spacing w:before="0" w:after="0" w:line="240" w:lineRule="atLeast"/>
            </w:pPr>
            <w:r>
              <w:rPr>
                <w:rFonts w:ascii="Arial" w:hAnsi="Arial" w:cs="Arial" w:eastAsia="Arial"/>
                <w:sz w:val="16"/>
                <w:szCs w:val="16"/>
              </w:rPr>
              <w:t>RT Contractor Management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Environmental Management System - ISO 14001:2015</w:t>
            </w:r>
          </w:p>
        </w:tc>
        <w:tc>
          <w:tcPr>
            <w:tcW w:type="dxa" w:w="3259"/>
          </w:tcPr>
          <w:p>
            <w:pPr>
              <w:pStyle w:val="TableContents"/>
              <w:spacing w:before="0" w:after="0" w:line="240" w:lineRule="atLeast"/>
            </w:pPr>
            <w:r>
              <w:rPr>
                <w:rFonts w:ascii="Arial" w:hAnsi="Arial" w:cs="Arial" w:eastAsia="Arial"/>
                <w:sz w:val="16"/>
                <w:szCs w:val="16"/>
              </w:rPr>
              <w:t>ISO 14001:2015</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Globally Harmonised System of Classification and Labelling of Chemicals (GHS) - United Nations</w:t>
            </w:r>
          </w:p>
        </w:tc>
        <w:tc>
          <w:tcPr>
            <w:tcW w:type="dxa" w:w="3259"/>
          </w:tcPr>
          <w:p>
            <w:pPr>
              <w:pStyle w:val="TableContents"/>
              <w:spacing w:before="0" w:after="0" w:line="240" w:lineRule="atLeast"/>
            </w:pPr>
            <w:r>
              <w:rPr>
                <w:rFonts w:ascii="Arial" w:hAnsi="Arial" w:cs="Arial" w:eastAsia="Arial"/>
                <w:sz w:val="16"/>
                <w:szCs w:val="16"/>
              </w:rPr>
              <w:t>UN GHS Rev.9 (2021)</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Australian Dangerous Goods Code for the Transport of Dangerous Goods by Road and Rail</w:t>
            </w:r>
          </w:p>
        </w:tc>
        <w:tc>
          <w:tcPr>
            <w:tcW w:type="dxa" w:w="3259"/>
          </w:tcPr>
          <w:p>
            <w:pPr>
              <w:pStyle w:val="TableContents"/>
              <w:spacing w:before="0" w:after="0" w:line="240" w:lineRule="atLeast"/>
            </w:pPr>
            <w:r>
              <w:rPr>
                <w:rFonts w:ascii="Arial" w:hAnsi="Arial" w:cs="Arial" w:eastAsia="Arial"/>
                <w:sz w:val="16"/>
                <w:szCs w:val="16"/>
              </w:rPr>
              <w:t>ADG Code Edition 7.7</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Environment Protection and Biodiversity Conservation Act 1999 (Cth)</w:t>
            </w:r>
          </w:p>
        </w:tc>
        <w:tc>
          <w:tcPr>
            <w:tcW w:type="dxa" w:w="3259"/>
          </w:tcPr>
          <w:p>
            <w:pPr>
              <w:pStyle w:val="TableContents"/>
              <w:spacing w:before="0" w:after="0" w:line="240" w:lineRule="atLeast"/>
            </w:pPr>
            <w:r>
              <w:rPr>
                <w:rFonts w:ascii="Arial" w:hAnsi="Arial" w:cs="Arial" w:eastAsia="Arial"/>
                <w:sz w:val="16"/>
                <w:szCs w:val="16"/>
              </w:rPr>
              <w:t>EPBC Act 1999</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National Environment Protection (Movement of Controlled Waste between States and Territories) Measure</w:t>
            </w:r>
          </w:p>
        </w:tc>
        <w:tc>
          <w:tcPr>
            <w:tcW w:type="dxa" w:w="3259"/>
          </w:tcPr>
          <w:p>
            <w:pPr>
              <w:pStyle w:val="TableContents"/>
              <w:spacing w:before="0" w:after="0" w:line="240" w:lineRule="atLeast"/>
            </w:pPr>
            <w:r>
              <w:rPr>
                <w:rFonts w:ascii="Arial" w:hAnsi="Arial" w:cs="Arial" w:eastAsia="Arial"/>
                <w:sz w:val="16"/>
                <w:szCs w:val="16"/>
              </w:rPr>
              <w:t>NEPM Controlled Waste 1998 (as amended)</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National Environment Protection (Assessment of Site Contamination) Measure</w:t>
            </w:r>
          </w:p>
        </w:tc>
        <w:tc>
          <w:tcPr>
            <w:tcW w:type="dxa" w:w="3259"/>
          </w:tcPr>
          <w:p>
            <w:pPr>
              <w:pStyle w:val="TableContents"/>
              <w:spacing w:before="0" w:after="0" w:line="240" w:lineRule="atLeast"/>
            </w:pPr>
            <w:r>
              <w:rPr>
                <w:rFonts w:ascii="Arial" w:hAnsi="Arial" w:cs="Arial" w:eastAsia="Arial"/>
                <w:sz w:val="16"/>
                <w:szCs w:val="16"/>
              </w:rPr>
              <w:t>NEPM Site Contamination 1999 (as amended 2013)</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Basel Convention on the Control of Transboundary Movements of Hazardous Wastes and their Disposal</w:t>
            </w:r>
          </w:p>
        </w:tc>
        <w:tc>
          <w:tcPr>
            <w:tcW w:type="dxa" w:w="3259"/>
          </w:tcPr>
          <w:p>
            <w:pPr>
              <w:pStyle w:val="TableContents"/>
              <w:spacing w:before="0" w:after="0" w:line="240" w:lineRule="atLeast"/>
            </w:pPr>
            <w:r>
              <w:rPr>
                <w:rFonts w:ascii="Arial" w:hAnsi="Arial" w:cs="Arial" w:eastAsia="Arial"/>
                <w:sz w:val="16"/>
                <w:szCs w:val="16"/>
              </w:rPr>
              <w:t>Basel Convention 1989</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Work Health and Safety Act 2011 (Cth) - applied jurisdiction equivalent</w:t>
            </w:r>
          </w:p>
        </w:tc>
        <w:tc>
          <w:tcPr>
            <w:tcW w:type="dxa" w:w="3259"/>
          </w:tcPr>
          <w:p>
            <w:pPr>
              <w:pStyle w:val="TableContents"/>
              <w:spacing w:before="0" w:after="0" w:line="240" w:lineRule="atLeast"/>
            </w:pPr>
            <w:r>
              <w:rPr>
                <w:rFonts w:ascii="Arial" w:hAnsi="Arial" w:cs="Arial" w:eastAsia="Arial"/>
                <w:sz w:val="16"/>
                <w:szCs w:val="16"/>
              </w:rPr>
              <w:t>WHS Act 2011</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Work Health and Safety (Hazardous Chemicals) Regulations - applicable state/territory equivalent</w:t>
            </w:r>
          </w:p>
        </w:tc>
        <w:tc>
          <w:tcPr>
            <w:tcW w:type="dxa" w:w="3259"/>
          </w:tcPr>
          <w:p>
            <w:pPr>
              <w:pStyle w:val="TableContents"/>
              <w:spacing w:before="0" w:after="0" w:line="240" w:lineRule="atLeast"/>
            </w:pPr>
            <w:r>
              <w:rPr>
                <w:rFonts w:ascii="Arial" w:hAnsi="Arial" w:cs="Arial" w:eastAsia="Arial"/>
                <w:sz w:val="16"/>
                <w:szCs w:val="16"/>
              </w:rPr>
              <w:t>WHS Hazardous Chemicals Regulations</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National Greenhouse and Energy Reporting Act 2007 (Cth)</w:t>
            </w:r>
          </w:p>
        </w:tc>
        <w:tc>
          <w:tcPr>
            <w:tcW w:type="dxa" w:w="3259"/>
          </w:tcPr>
          <w:p>
            <w:pPr>
              <w:pStyle w:val="TableContents"/>
              <w:spacing w:before="0" w:after="0" w:line="240" w:lineRule="atLeast"/>
            </w:pPr>
            <w:r>
              <w:rPr>
                <w:rFonts w:ascii="Arial" w:hAnsi="Arial" w:cs="Arial" w:eastAsia="Arial"/>
                <w:sz w:val="16"/>
                <w:szCs w:val="16"/>
              </w:rPr>
              <w:t>NGER Act 2007</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b/>
                <w:bCs/>
                <w:color w:val="0059D1"/>
                <w:sz w:val="16"/>
                <w:szCs w:val="16"/>
              </w:rPr>
              <w:t>[INSERT: further referenced document, where applicable]</w:t>
            </w:r>
          </w:p>
        </w:tc>
        <w:tc>
          <w:tcPr>
            <w:tcW w:type="dxa" w:w="3259"/>
          </w:tcPr>
          <w:p>
            <w:pPr>
              <w:pStyle w:val="TableContents"/>
              <w:spacing w:before="0" w:after="0" w:line="240" w:lineRule="atLeast"/>
            </w:pPr>
            <w:r>
              <w:rPr>
                <w:rFonts w:ascii="Arial" w:hAnsi="Arial" w:cs="Arial" w:eastAsia="Arial"/>
                <w:b/>
                <w:bCs/>
                <w:color w:val="0059D1"/>
                <w:sz w:val="16"/>
                <w:szCs w:val="16"/>
              </w:rPr>
              <w:t>[INSERT: reference]</w:t>
            </w:r>
          </w:p>
        </w:tc>
        <w:tc>
          <w:tcPr>
            <w:tcW w:type="dxa" w:w="3259"/>
          </w:tcPr>
          <w:p>
            <w:pPr>
              <w:pStyle w:val="TableContents"/>
              <w:spacing w:before="0" w:after="0" w:line="240" w:lineRule="atLeast"/>
            </w:pPr>
            <w:r>
              <w:rPr>
                <w:rFonts w:ascii="Arial" w:hAnsi="Arial" w:cs="Arial" w:eastAsia="Arial"/>
                <w:b/>
                <w:bCs/>
                <w:color w:val="0059D1"/>
                <w:sz w:val="16"/>
                <w:szCs w:val="16"/>
              </w:rPr>
              <w:t>[INSERT: type]</w:t>
            </w:r>
          </w:p>
        </w:tc>
      </w:tr>
    </w:tbl>
    <w:p>
      <w:pPr>
        <w:pStyle w:val="NormalNumberedtext"/>
      </w:pPr>
    </w:p>
    <w:p>
      <w:pPr>
        <w:pStyle w:val="Heading1Numbered"/>
        <w:numPr>
          <w:ilvl w:val="0"/>
          <w:numId w:val="1"/>
        </w:numPr>
      </w:pPr>
      <w:r>
        <w:rPr>
          <w:rFonts w:ascii="Arial" w:hAnsi="Arial" w:cs="Arial" w:eastAsia="Arial"/>
        </w:rPr>
        <w:t>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new content additions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content removal</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CE4D6"/>
            <w:tcW w:type="dxa" w:w="9777"/>
          </w:tcPr>
          <w:p>
            <w:pPr>
              <w:pStyle w:val="Instructions"/>
              <w:spacing w:before="0" w:after="0" w:line="240" w:lineRule="atLeast"/>
            </w:pPr>
            <w:r>
              <w:rPr>
                <w:rFonts w:ascii="Arial" w:hAnsi="Arial" w:cs="Arial" w:eastAsia="Arial"/>
                <w:b/>
                <w:bCs/>
                <w:color w:val="C55A11"/>
                <w:sz w:val="16"/>
                <w:szCs w:val="16"/>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NormalNumberedtext"/>
      </w:pPr>
    </w:p>
    <w:p>
      <w:pPr>
        <w:pStyle w:val="Heading1Numbered"/>
        <w:numPr>
          <w:ilvl w:val="0"/>
          <w:numId w:val="1"/>
        </w:numPr>
      </w:pPr>
      <w:r>
        <w:rPr>
          <w:rFonts w:ascii="Arial" w:hAnsi="Arial" w:cs="Arial" w:eastAsia="Arial"/>
        </w:rPr>
        <w:t>Source Requirements Traceability (DELETE BEFORE ISSUE)</w:t>
      </w:r>
    </w:p>
    <w:p>
      <w:pPr>
        <w:pStyle w:val="NormalNumberedtext"/>
      </w:pPr>
    </w:p>
    <w:p>
      <w:pPr>
        <w:pStyle w:val="Heading2Numbered"/>
        <w:numPr>
          <w:ilvl w:val="1"/>
          <w:numId w:val="1"/>
        </w:numPr>
      </w:pPr>
      <w:r>
        <w:rPr>
          <w:rFonts w:ascii="Arial" w:hAnsi="Arial" w:cs="Arial" w:eastAsia="Arial"/>
        </w:rPr>
        <w:t>Requirements Addressed in This Procedure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Section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Requirement</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Status</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RT Standard RT Environment and Nature - Materials &amp; Waste Standard</w:t>
            </w:r>
          </w:p>
        </w:tc>
        <w:tc>
          <w:tcPr>
            <w:tcW w:type="dxa" w:w="2256"/>
          </w:tcPr>
          <w:p>
            <w:pPr>
              <w:pStyle w:val="TableContents"/>
              <w:spacing w:before="0" w:after="0" w:line="240" w:lineRule="atLeast"/>
            </w:pPr>
            <w:r>
              <w:rPr>
                <w:rFonts w:ascii="Arial" w:hAnsi="Arial" w:cs="Arial" w:eastAsia="Arial"/>
                <w:sz w:val="16"/>
                <w:szCs w:val="16"/>
              </w:rPr>
              <w:t>Requires identification and characterisation of all waste streams, storage facility management, prohibition of underground tanks for hazardous materials, fluorine-free firefighting foams, and documented chain of custody for all off-site material transfers.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RT Standard RT Environment and Nature - Contaminated Sites Standard</w:t>
            </w:r>
          </w:p>
        </w:tc>
        <w:tc>
          <w:tcPr>
            <w:tcW w:type="dxa" w:w="2256"/>
          </w:tcPr>
          <w:p>
            <w:pPr>
              <w:pStyle w:val="TableContents"/>
              <w:spacing w:before="0" w:after="0" w:line="240" w:lineRule="atLeast"/>
            </w:pPr>
            <w:r>
              <w:rPr>
                <w:rFonts w:ascii="Arial" w:hAnsi="Arial" w:cs="Arial" w:eastAsia="Arial"/>
                <w:sz w:val="16"/>
                <w:szCs w:val="16"/>
              </w:rPr>
              <w:t>Requires identification of known or potential contaminated sites, risk assessments for environmental and human health impacts, remedial or long-term management plans, and maintenance of a Contaminated Sites Register.</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PS3 IFC PS3 §4</w:t>
            </w:r>
          </w:p>
        </w:tc>
        <w:tc>
          <w:tcPr>
            <w:tcW w:type="dxa" w:w="2256"/>
          </w:tcPr>
          <w:p>
            <w:pPr>
              <w:pStyle w:val="TableContents"/>
              <w:spacing w:before="0" w:after="0" w:line="240" w:lineRule="atLeast"/>
            </w:pPr>
            <w:r>
              <w:rPr>
                <w:rFonts w:ascii="Arial" w:hAnsi="Arial" w:cs="Arial" w:eastAsia="Arial"/>
                <w:sz w:val="16"/>
                <w:szCs w:val="16"/>
              </w:rPr>
              <w:t>Requires classification of wastes as hazardous or non-hazardous and application of appropriate management, storage, and disposal requirements for each classification.</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EHS General Guidelines EHS General Guidelines §1.5</w:t>
            </w:r>
          </w:p>
        </w:tc>
        <w:tc>
          <w:tcPr>
            <w:tcW w:type="dxa" w:w="2256"/>
          </w:tcPr>
          <w:p>
            <w:pPr>
              <w:pStyle w:val="TableContents"/>
              <w:spacing w:before="0" w:after="0" w:line="240" w:lineRule="atLeast"/>
            </w:pPr>
            <w:r>
              <w:rPr>
                <w:rFonts w:ascii="Arial" w:hAnsi="Arial" w:cs="Arial" w:eastAsia="Arial"/>
                <w:sz w:val="16"/>
                <w:szCs w:val="16"/>
              </w:rPr>
              <w:t>Requires comprehensive waste characterisation to identify potentially hazardous materials and set the basis for waste management design.</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PS3 IFC PS3 §5</w:t>
            </w:r>
          </w:p>
        </w:tc>
        <w:tc>
          <w:tcPr>
            <w:tcW w:type="dxa" w:w="2256"/>
          </w:tcPr>
          <w:p>
            <w:pPr>
              <w:pStyle w:val="TableContents"/>
              <w:spacing w:before="0" w:after="0" w:line="240" w:lineRule="atLeast"/>
            </w:pPr>
            <w:r>
              <w:rPr>
                <w:rFonts w:ascii="Arial" w:hAnsi="Arial" w:cs="Arial" w:eastAsia="Arial"/>
                <w:sz w:val="16"/>
                <w:szCs w:val="16"/>
              </w:rPr>
              <w:t>Requires application of the waste management hierarchy - reduce, reuse, recycle, recover, treat, dispose - in order, with documentation of how the hierarchy has been applied for each significant waste stream.</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PS3 IFC PS3 §7</w:t>
            </w:r>
          </w:p>
        </w:tc>
        <w:tc>
          <w:tcPr>
            <w:tcW w:type="dxa" w:w="2256"/>
          </w:tcPr>
          <w:p>
            <w:pPr>
              <w:pStyle w:val="TableContents"/>
              <w:spacing w:before="0" w:after="0" w:line="240" w:lineRule="atLeast"/>
            </w:pPr>
            <w:r>
              <w:rPr>
                <w:rFonts w:ascii="Arial" w:hAnsi="Arial" w:cs="Arial" w:eastAsia="Arial"/>
                <w:sz w:val="16"/>
                <w:szCs w:val="16"/>
              </w:rPr>
              <w:t>Requires that off-site waste disposal is conducted by properly licensed and regulated contractors, and that the project retains documentation of the disposal outcome.</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PS3 IFC PS3 §9</w:t>
            </w:r>
          </w:p>
        </w:tc>
        <w:tc>
          <w:tcPr>
            <w:tcW w:type="dxa" w:w="2256"/>
          </w:tcPr>
          <w:p>
            <w:pPr>
              <w:pStyle w:val="TableContents"/>
              <w:spacing w:before="0" w:after="0" w:line="240" w:lineRule="atLeast"/>
            </w:pPr>
            <w:r>
              <w:rPr>
                <w:rFonts w:ascii="Arial" w:hAnsi="Arial" w:cs="Arial" w:eastAsia="Arial"/>
                <w:sz w:val="16"/>
                <w:szCs w:val="16"/>
              </w:rPr>
              <w:t>Requires contaminated site risks to be addressed in the project's environmental assessment and remediation to be implemented proportionate to identified risks and future land use.</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C-4 §92.5.2.3</w:t>
            </w:r>
          </w:p>
        </w:tc>
        <w:tc>
          <w:tcPr>
            <w:tcW w:type="dxa" w:w="2256"/>
          </w:tcPr>
          <w:p>
            <w:pPr>
              <w:pStyle w:val="TableContents"/>
              <w:spacing w:before="0" w:after="0" w:line="240" w:lineRule="atLeast"/>
            </w:pPr>
            <w:r>
              <w:rPr>
                <w:rFonts w:ascii="Arial" w:hAnsi="Arial" w:cs="Arial" w:eastAsia="Arial"/>
                <w:sz w:val="16"/>
                <w:szCs w:val="16"/>
              </w:rPr>
              <w:t>Requires secondary containment drain connections to be normally plugged or locked closed, prohibiting direct discharge to the environment without Company approval.</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C-4 §92.5.3.3</w:t>
            </w:r>
          </w:p>
        </w:tc>
        <w:tc>
          <w:tcPr>
            <w:tcW w:type="dxa" w:w="2256"/>
          </w:tcPr>
          <w:p>
            <w:pPr>
              <w:pStyle w:val="TableContents"/>
              <w:spacing w:before="0" w:after="0" w:line="240" w:lineRule="atLeast"/>
            </w:pPr>
            <w:r>
              <w:rPr>
                <w:rFonts w:ascii="Arial" w:hAnsi="Arial" w:cs="Arial" w:eastAsia="Arial"/>
                <w:sz w:val="16"/>
                <w:szCs w:val="16"/>
              </w:rPr>
              <w:t>Requires prevention of use of banned substances including asbestos-containing materials, lead-based paints, and hexavalent chromium-containing products.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C-4 §92.5.6.1</w:t>
            </w:r>
          </w:p>
        </w:tc>
        <w:tc>
          <w:tcPr>
            <w:tcW w:type="dxa" w:w="2256"/>
          </w:tcPr>
          <w:p>
            <w:pPr>
              <w:pStyle w:val="TableContents"/>
              <w:spacing w:before="0" w:after="0" w:line="240" w:lineRule="atLeast"/>
            </w:pPr>
            <w:r>
              <w:rPr>
                <w:rFonts w:ascii="Arial" w:hAnsi="Arial" w:cs="Arial" w:eastAsia="Arial"/>
                <w:sz w:val="16"/>
                <w:szCs w:val="16"/>
              </w:rPr>
              <w:t>Requires appropriately sized hydrocarbon and chemical spill kits at all storage and use locations, replenished on a defined schedule.</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C-4 §92.5.6.3</w:t>
            </w:r>
          </w:p>
        </w:tc>
        <w:tc>
          <w:tcPr>
            <w:tcW w:type="dxa" w:w="2256"/>
          </w:tcPr>
          <w:p>
            <w:pPr>
              <w:pStyle w:val="TableContents"/>
              <w:spacing w:before="0" w:after="0" w:line="240" w:lineRule="atLeast"/>
            </w:pPr>
            <w:r>
              <w:rPr>
                <w:rFonts w:ascii="Arial" w:hAnsi="Arial" w:cs="Arial" w:eastAsia="Arial"/>
                <w:sz w:val="16"/>
                <w:szCs w:val="16"/>
              </w:rPr>
              <w:t>Requires that all spills are immediately controlled, contained, and reported to the Company, with cleanup confirmed effective.</w:t>
            </w:r>
          </w:p>
        </w:tc>
        <w:tc>
          <w:tcPr>
            <w:tcW w:type="dxa" w:w="2258"/>
          </w:tcPr>
          <w:p>
            <w:pPr>
              <w:pStyle w:val="TableContents"/>
              <w:spacing w:before="0" w:after="0" w:line="240" w:lineRule="atLeast"/>
            </w:pPr>
            <w:r>
              <w:rPr>
                <w:rFonts w:ascii="Arial" w:hAnsi="Arial" w:cs="Arial" w:eastAsia="Arial"/>
                <w:sz w:val="16"/>
                <w:szCs w:val="16"/>
              </w:rPr>
              <w:t>Full</w:t>
            </w:r>
          </w:p>
        </w:tc>
      </w:tr>
    </w:tbl>
    <w:p>
      <w:pPr>
        <w:pStyle w:val="NormalNumberedtext"/>
      </w:pPr>
    </w:p>
    <w:p>
      <w:pPr>
        <w:pStyle w:val="Heading2Numbered"/>
        <w:numPr>
          <w:ilvl w:val="1"/>
          <w:numId w:val="1"/>
        </w:numPr>
      </w:pPr>
      <w:r>
        <w:rPr>
          <w:rFonts w:ascii="Arial" w:hAnsi="Arial" w:cs="Arial" w:eastAsia="Arial"/>
        </w:rPr>
        <w:t>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Requirement Not Covered</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Justification</w:t>
            </w:r>
          </w:p>
        </w:tc>
      </w:tr>
      <w:tr>
        <w:tc>
          <w:tcPr>
            <w:tcW w:type="dxa" w:w="3008"/>
          </w:tcPr>
          <w:p>
            <w:pPr>
              <w:pStyle w:val="TableContents"/>
              <w:spacing w:before="0" w:after="0" w:line="240" w:lineRule="atLeast"/>
            </w:pPr>
            <w:r>
              <w:rPr>
                <w:rFonts w:ascii="Arial" w:hAnsi="Arial" w:cs="Arial" w:eastAsia="Arial"/>
                <w:b/>
                <w:bCs/>
                <w:color w:val="0059D1"/>
                <w:sz w:val="16"/>
                <w:szCs w:val="16"/>
              </w:rPr>
              <w:t>[INSERT: description of requirement not covered]</w:t>
            </w:r>
          </w:p>
        </w:tc>
        <w:tc>
          <w:tcPr>
            <w:tcW w:type="dxa" w:w="3008"/>
          </w:tcPr>
          <w:p>
            <w:pPr>
              <w:pStyle w:val="TableContents"/>
              <w:spacing w:before="0" w:after="0" w:line="240" w:lineRule="atLeast"/>
            </w:pPr>
            <w:r>
              <w:rPr>
                <w:rFonts w:ascii="Arial" w:hAnsi="Arial" w:cs="Arial" w:eastAsia="Arial"/>
                <w:b/>
                <w:bCs/>
                <w:color w:val="0059D1"/>
                <w:sz w:val="16"/>
                <w:szCs w:val="16"/>
              </w:rPr>
              <w:t>[INSERT: source and clause]</w:t>
            </w:r>
          </w:p>
        </w:tc>
        <w:tc>
          <w:tcPr>
            <w:tcW w:type="dxa" w:w="3010"/>
          </w:tcPr>
          <w:p>
            <w:pPr>
              <w:pStyle w:val="TableContents"/>
              <w:spacing w:before="0" w:after="0" w:line="240" w:lineRule="atLeast"/>
            </w:pPr>
            <w:r>
              <w:rPr>
                <w:rFonts w:ascii="Arial" w:hAnsi="Arial" w:cs="Arial" w:eastAsia="Arial"/>
                <w:b/>
                <w:bCs/>
                <w:color w:val="0059D1"/>
                <w:sz w:val="16"/>
                <w:szCs w:val="16"/>
              </w:rPr>
              <w:t>[INSERT: specific written justification]</w:t>
            </w:r>
          </w:p>
        </w:tc>
      </w:tr>
    </w:tbl>
    <w:p>
      <w:pPr>
        <w:pStyle w:val="NormalNumberedtex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