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openxmlformats.org/officedocument/2006/relationships/metadata/core-properties" Target="docProps/core0.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C7248" w14:textId="77777777" w:rsidR="00240E6E" w:rsidRDefault="00E31E85" w:rsidP="004D6E31">
      <w:pPr>
        <w:pStyle w:val="Subtitle"/>
      </w:pPr>
      <w:r>
        <w:t>Procedure</w:t>
      </w:r>
    </w:p>
    <w:p w14:paraId="66A8DEA3" w14:textId="3F068664" w:rsidR="003C2B09" w:rsidRPr="00DF7812" w:rsidRDefault="00B03658" w:rsidP="00240E6E">
      <w:pPr>
        <w:pStyle w:val="FrontcoverHeading"/>
        <w:spacing w:before="0"/>
      </w:pPr>
      <w:r>
        <w:t>Security Management</w:t>
      </w:r>
    </w:p>
    <w:p w14:paraId="7772130A" w14:textId="77777777" w:rsidR="00194B94" w:rsidRPr="005157BB" w:rsidRDefault="00194B94" w:rsidP="005157BB">
      <w:pPr>
        <w:pStyle w:val="AutomatedProjectName"/>
        <w:spacing w:before="120" w:after="360"/>
        <w:rPr>
          <w:noProof/>
          <w:color w:val="404040" w:themeColor="text1" w:themeTint="BF"/>
          <w:sz w:val="36"/>
          <w:szCs w:val="36"/>
        </w:rPr>
      </w:pPr>
      <w:r>
        <w:rPr>
          <w:noProof/>
          <w:color w:val="404040" w:themeColor="text1" w:themeTint="BF"/>
          <w:sz w:val="36"/>
          <w:szCs w:val="36"/>
        </w:rPr>
        <mc:AlternateContent>
          <mc:Choice Requires="wps">
            <w:drawing>
              <wp:anchor distT="0" distB="0" distL="114300" distR="114300" simplePos="0" relativeHeight="251666944" behindDoc="1" locked="0" layoutInCell="1" allowOverlap="1" wp14:anchorId="56037885" wp14:editId="12603C25">
                <wp:simplePos x="0" y="0"/>
                <wp:positionH relativeFrom="column">
                  <wp:posOffset>3810</wp:posOffset>
                </wp:positionH>
                <wp:positionV relativeFrom="paragraph">
                  <wp:posOffset>498475</wp:posOffset>
                </wp:positionV>
                <wp:extent cx="6120130" cy="0"/>
                <wp:effectExtent l="0" t="19050" r="52070" b="38100"/>
                <wp:wrapTight wrapText="bothSides">
                  <wp:wrapPolygon edited="0">
                    <wp:start x="0" y="-1"/>
                    <wp:lineTo x="0" y="-1"/>
                    <wp:lineTo x="21717" y="-1"/>
                    <wp:lineTo x="21717" y="-1"/>
                    <wp:lineTo x="0" y="-1"/>
                  </wp:wrapPolygon>
                </wp:wrapTight>
                <wp:docPr id="220367452" name="Straight Connector 6"/>
                <wp:cNvGraphicFramePr/>
                <a:graphic xmlns:a="http://schemas.openxmlformats.org/drawingml/2006/main">
                  <a:graphicData uri="http://schemas.microsoft.com/office/word/2010/wordprocessingShape">
                    <wps:wsp>
                      <wps:cNvCnPr/>
                      <wps:spPr>
                        <a:xfrm>
                          <a:off x="0" y="0"/>
                          <a:ext cx="6120130" cy="0"/>
                        </a:xfrm>
                        <a:prstGeom prst="line">
                          <a:avLst/>
                        </a:prstGeom>
                        <a:ln w="57150">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B9FC26C" id="Straight Connector 6" o:spid="_x0000_s1026" style="position:absolute;z-index:-25164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39.25pt" to="482.2pt,39.2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0HJXF2AEAABkEAAAOAAAAZHJzL2Uyb0RvYy54bWysU8tu2zAQvBfoPxC815IcOCkEyzkkSC/N A318AEMtLQJ8gWQs+e+zJGU5aU8tcqGk3Z3ZneFqez1pRQ7gg7Smo82qpgQMt700+47+/nX35Ssl ITLTM2UNdPQIgV7vPn/ajq6FtR2s6sETJDGhHV1HhxhdW1WBD6BZWFkHBpPCes0ifvp91Xs2IrtW 1bquL6vR+t55yyEEjN6WJN1lfiGAx0chAkSiOoqzxXz6fD6ns9ptWbv3zA2Sz2Ow/5hCM2mw6UJ1 yyIjL17+RaUl9zZYEVfc6soKITlkDaimqf9Q83NgDrIWNCe4xabwcbT84XBjnjzaMLrQBvfkk4pJ eJ2eOB+ZslnHxSyYIuEYvGxw4gv0lJ9y1RnofIjfwGqSXjqqpEk6WMsO30PEZlh6KklhZcjY0c1V s6lzWbBK9ndSqZTMuwA3ypMDw1uMU5Nr1Iu+t32JXW3qer5LDOONl/D6FMZ2C0tu/qYB5pTB4Fl/ fotHBWW0HyCI7FFx6bsQlR6MczCxSYuUmbA6wQQOvwBnUWmnzzreA+f6BIW8tv8CXhC5szVxAWtp rC+Wvu+eXCwji1J/cqDoThY82/6YNyNbg/uXFc7/Slrwt98Zfv6jd68AAAD//wMAUEsDBBQABgAI AAAAIQA73xSf3QAAAAYBAAAPAAAAZHJzL2Rvd25yZXYueG1sTI5fT8IwFMXfTfgOzTXxTToEB8x1 xGAkMfgimBjeSntZF9bbZS1s8Omt8UEfz5+c88sXva3ZGVtfORIwGibAkJTTFZUCPrev9zNgPkjS snaEAi7oYVEMbnKZadfRB543oWRxhHwmBZgQmoxzrwxa6YeuQYrZwbVWhijbkutWdnHc1vwhSVJu ZUXxwcgGlwbVcXOyAt7HdnxdXtfmgOpt1329rC4jtRLi7rZ/fgIWsA9/ZfjBj+hQRKa9O5H2rBaQ xp6A6ewRWEzn6WQCbP9r8CLn//GLbwAAAP//AwBQSwECLQAUAAYACAAAACEAtoM4kv4AAADhAQAA EwAAAAAAAAAAAAAAAAAAAAAAW0NvbnRlbnRfVHlwZXNdLnhtbFBLAQItABQABgAIAAAAIQA4/SH/ 1gAAAJQBAAALAAAAAAAAAAAAAAAAAC8BAABfcmVscy8ucmVsc1BLAQItABQABgAIAAAAIQB0HJXF 2AEAABkEAAAOAAAAAAAAAAAAAAAAAC4CAABkcnMvZTJvRG9jLnhtbFBLAQItABQABgAIAAAAIQA7 3xSf3QAAAAYBAAAPAAAAAAAAAAAAAAAAADIEAABkcnMvZG93bnJldi54bWxQSwUGAAAAAAQABADz AAAAPAUAAAAA " strokecolor="#404040 [2429]" strokeweight="4.5pt">
                <v:stroke joinstyle="miter"/>
                <w10:wrap type="tight"/>
              </v:line>
            </w:pict>
          </mc:Fallback>
        </mc:AlternateContent>
      </w:r>
      <w:r>
        <w:rPr>
          <w:noProof/>
          <w:color w:val="404040" w:themeColor="text1" w:themeTint="BF"/>
          <w:sz w:val="36"/>
          <w:szCs w:val="36"/>
        </w:rPr>
        <w:t>[Enter Project Name]</w:t>
      </w:r>
    </w:p>
    <w:p>
      <w:pPr>
        <w:pStyle w:val="NormalNumberedtext"/>
      </w:pPr>
    </w:p>
    <w:tbl>
      <w:tblPr>
        <w:tblStyle w:val="Holdingtable"/>
        <w:tblW w:w="9026" w:type="dxa"/>
        <w:tblLayout w:type="fixed"/>
        <w:tblCellMar>
          <w:left w:w="108" w:type="dxa"/>
          <w:right w:w="108" w:type="dxa"/>
          <w:top w:type="dxa" w:w="36"/>
          <w:bottom w:type="dxa" w:w="36"/>
        </w:tblCellMar>
        <w:tblLook w:val="04A0" w:firstRow="1" w:lastRow="0" w:firstColumn="1" w:lastColumn="0" w:noHBand="0" w:noVBand="1"/>
        <w:tblInd w:type="dxa" w:w="704"/>
      </w:tblPr>
      <w:tblGrid>
        <w:gridCol w:w="3207"/>
        <w:gridCol w:w="1895"/>
        <w:gridCol w:w="4520"/>
      </w:tblGrid>
      <w:tr w:rsidR="00FC1013" w14:paraId="6E9D92D4" w14:textId="77777777">
        <w:tc>
          <w:tcPr>
            <w:tcW w:w="3008" w:type="dxa"/>
          </w:tcPr>
          <w:p w14:paraId="3495AB40" w14:textId="77777777" w:rsidR="00FC1013" w:rsidRDefault="004C465B">
            <w:pPr>
              <w:rPr>
                <w:rFonts w:ascii="Arial" w:eastAsia="Arial" w:hAnsi="Arial"/>
              </w:rPr>
              <w:spacing w:before="0" w:after="0" w:line="240" w:lineRule="atLeast"/>
            </w:pPr>
            <w:r>
              <w:rPr>
                <w:rFonts w:eastAsia="Arial" w:ascii="Arial" w:hAnsi="Arial" w:cs="Arial"/>
                <w:b/>
                <w:bCs/>
                <w:sz w:val="16"/>
                <w:szCs w:val="16"/>
              </w:rPr>
              <w:t>Document Number</w:t>
            </w:r>
          </w:p>
        </w:tc>
        <w:tc>
          <w:tcPr>
            <w:tcW w:w="3008" w:type="dxa"/>
          </w:tcPr>
          <w:p w14:paraId="6CD78A18" w14:textId="77777777" w:rsidR="00FC1013" w:rsidRDefault="004C465B">
            <w:pPr>
              <w:rPr>
                <w:b/>
                <w:bCs/>
              </w:rPr>
              <w:spacing w:before="0" w:after="0" w:line="240" w:lineRule="atLeast"/>
            </w:pPr>
            <w:r>
              <w:rPr>
                <w:rFonts w:eastAsia="Arial" w:ascii="Arial" w:hAnsi="Arial" w:cs="Arial"/>
                <w:b/>
                <w:bCs/>
                <w:sz w:val="16"/>
                <w:szCs w:val="16"/>
              </w:rPr>
              <w:t>Revision</w:t>
            </w:r>
          </w:p>
        </w:tc>
        <w:tc>
          <w:tcPr>
            <w:tcW w:w="3010" w:type="dxa"/>
          </w:tcPr>
          <w:p w14:paraId="23D99E60" w14:textId="77777777" w:rsidR="00FC1013" w:rsidRDefault="004C465B">
            <w:pPr>
              <w:rPr>
                <w:b/>
                <w:bCs/>
              </w:rPr>
              <w:spacing w:before="0" w:after="0" w:line="240" w:lineRule="atLeast"/>
            </w:pPr>
            <w:r>
              <w:rPr>
                <w:rFonts w:eastAsia="Arial" w:ascii="Arial" w:hAnsi="Arial" w:cs="Arial"/>
                <w:b/>
                <w:bCs/>
                <w:sz w:val="16"/>
                <w:szCs w:val="16"/>
              </w:rPr>
              <w:t>Date</w:t>
            </w:r>
          </w:p>
        </w:tc>
      </w:tr>
      <w:tr w:rsidR="00FC1013" w14:paraId="153840A8" w14:textId="77777777">
        <w:trPr>
          <w:trHeight w:val="466"/>
        </w:trPr>
        <w:tc>
          <w:tcPr>
            <w:tcW w:w="3008" w:type="dxa"/>
          </w:tcPr>
          <w:p w14:paraId="2E16B392" w14:textId="77777777" w:rsidR="00FC1013" w:rsidRDefault="004C465B">
            <w:pPr>
              <w:rPr>
                <w:rFonts w:ascii="Arial" w:eastAsia="Arial" w:hAnsi="Arial"/>
              </w:rPr>
              <w:spacing w:before="0" w:after="0" w:line="240" w:lineRule="atLeast"/>
            </w:pPr>
            <w:r>
              <w:rPr>
                <w:rFonts w:eastAsia="Arial" w:ascii="Arial" w:hAnsi="Arial" w:cs="Arial"/>
                <w:sz w:val="16"/>
                <w:szCs w:val="16"/>
              </w:rPr>
              <w:t>RTPR-HSE-PRO-XXXX</w:t>
            </w:r>
          </w:p>
        </w:tc>
        <w:tc>
          <w:tcPr>
            <w:tcW w:w="3008" w:type="dxa"/>
          </w:tcPr>
          <w:p w14:paraId="37F3B8E3" w14:textId="77777777" w:rsidR="00FC1013" w:rsidRDefault="004C465B">
            <w:pPr>
              <w:rPr>
                <w:rFonts w:ascii="Arial" w:eastAsia="Arial" w:hAnsi="Arial"/>
              </w:rPr>
              <w:spacing w:before="0" w:after="0" w:line="240" w:lineRule="atLeast"/>
            </w:pPr>
            <w:r>
              <w:rPr>
                <w:rFonts w:eastAsia="Arial" w:ascii="Arial" w:hAnsi="Arial" w:cs="Arial"/>
                <w:sz w:val="16"/>
                <w:szCs w:val="16"/>
              </w:rPr>
              <w:t>Rev 0</w:t>
            </w:r>
          </w:p>
        </w:tc>
        <w:tc>
          <w:tcPr>
            <w:tcW w:w="3010" w:type="dxa"/>
          </w:tcPr>
          <w:p w14:paraId="1C08B5EF" w14:textId="77777777" w:rsidR="00FC1013" w:rsidRDefault="00C46050">
            <w:pPr>
              <w:rPr>
                <w:rFonts w:ascii="Arial" w:eastAsia="Arial" w:hAnsi="Arial"/>
              </w:rPr>
              <w:spacing w:before="0" w:after="0" w:line="240" w:lineRule="atLeast"/>
            </w:pPr>
            <w:r>
              <w:rPr>
                <w:rFonts w:eastAsia="Arial" w:ascii="Arial" w:hAnsi="Arial" w:cs="Arial"/>
                <w:sz w:val="16"/>
                <w:szCs w:val="16"/>
              </w:rPr>
              <w:t>30/06/2026</w:t>
            </w:r>
          </w:p>
        </w:tc>
      </w:tr>
    </w:tbl>
    <w:p>
      <w:pPr>
        <w:pStyle w:val="NormalNumberedtext"/>
      </w:pPr>
    </w:p>
    <w:tbl>
      <w:tblPr>
        <w:tblStyle w:val="TableGrid"/>
        <w:tblW w:w="9026" w:type="dxa"/>
        <w:tblInd w:w="704" w:type="dxa"/>
        <w:tblLayout w:type="fixed"/>
        <w:tblLook w:val="04A0" w:firstRow="1" w:lastRow="0" w:firstColumn="1" w:lastColumn="0" w:noHBand="0" w:noVBand="1"/>
        <w:tblCellMar>
          <w:top w:type="dxa" w:w="36"/>
          <w:bottom w:type="dxa" w:w="36"/>
          <w:left w:type="dxa" w:w="108"/>
          <w:right w:type="dxa" w:w="108"/>
        </w:tblCellMar>
      </w:tblPr>
      <w:tblGrid>
        <w:gridCol w:w="1419"/>
        <w:gridCol w:w="1847"/>
        <w:gridCol w:w="3260"/>
        <w:gridCol w:w="3071"/>
      </w:tblGrid>
      <w:tr w:rsidR="00FC1013" w14:paraId="42A4BE91" w14:textId="77777777">
        <w:trPr>
          <w:trHeight w:val="340"/>
        </w:trPr>
        <w:tc>
          <w:tcPr>
            <w:tcW w:w="2256" w:type="dxa"/>
            <w:shd w:val="clear" w:color="auto" w:fill="F2F2F2" w:themeFill="background1" w:themeFillShade="F2"/>
          </w:tcPr>
          <w:p w14:paraId="24665189" w14:textId="77777777" w:rsidR="00FC1013" w:rsidRDefault="004C465B">
            <w:pPr>
              <w:rPr>
                <w:b/>
                <w:bCs/>
              </w:rPr>
              <w:spacing w:before="0" w:after="0" w:line="240" w:lineRule="atLeast"/>
            </w:pPr>
            <w:r>
              <w:rPr>
                <w:rFonts w:eastAsia="Arial" w:ascii="Arial" w:hAnsi="Arial" w:cs="Arial"/>
                <w:b/>
                <w:bCs/>
                <w:sz w:val="16"/>
                <w:szCs w:val="16"/>
              </w:rPr>
              <w:t xml:space="preserve"> Status</w:t>
            </w:r>
          </w:p>
        </w:tc>
        <w:tc>
          <w:tcPr>
            <w:tcW w:w="2256" w:type="dxa"/>
            <w:shd w:val="clear" w:color="auto" w:fill="F2F2F2" w:themeFill="background1" w:themeFillShade="F2"/>
          </w:tcPr>
          <w:p w14:paraId="0452B4B0" w14:textId="77777777" w:rsidR="00FC1013" w:rsidRDefault="004C465B">
            <w:pPr>
              <w:rPr>
                <w:b/>
                <w:bCs/>
              </w:rPr>
              <w:spacing w:before="0" w:after="0" w:line="240" w:lineRule="atLeast"/>
            </w:pPr>
            <w:r>
              <w:rPr>
                <w:rFonts w:eastAsia="Arial" w:ascii="Arial" w:hAnsi="Arial" w:cs="Arial"/>
                <w:b/>
                <w:bCs/>
                <w:sz w:val="16"/>
                <w:szCs w:val="16"/>
              </w:rPr>
              <w:t>Name</w:t>
            </w:r>
          </w:p>
        </w:tc>
        <w:tc>
          <w:tcPr>
            <w:tcW w:w="2256" w:type="dxa"/>
            <w:shd w:val="clear" w:color="auto" w:fill="F2F2F2" w:themeFill="background1" w:themeFillShade="F2"/>
          </w:tcPr>
          <w:p w14:paraId="73EA7516" w14:textId="77777777" w:rsidR="00FC1013" w:rsidRDefault="004C465B">
            <w:pPr>
              <w:rPr>
                <w:b/>
                <w:bCs/>
              </w:rPr>
              <w:spacing w:before="0" w:after="0" w:line="240" w:lineRule="atLeast"/>
            </w:pPr>
            <w:r>
              <w:rPr>
                <w:rFonts w:eastAsia="Arial" w:ascii="Arial" w:hAnsi="Arial" w:cs="Arial"/>
                <w:b/>
                <w:bCs/>
                <w:sz w:val="16"/>
                <w:szCs w:val="16"/>
              </w:rPr>
              <w:t>Position</w:t>
            </w:r>
          </w:p>
        </w:tc>
        <w:tc>
          <w:tcPr>
            <w:tcW w:w="2258" w:type="dxa"/>
            <w:shd w:val="clear" w:color="auto" w:fill="F2F2F2" w:themeFill="background1" w:themeFillShade="F2"/>
          </w:tcPr>
          <w:p w14:paraId="049AD331" w14:textId="77777777" w:rsidR="00FC1013" w:rsidRDefault="004C465B">
            <w:pPr>
              <w:rPr>
                <w:b/>
                <w:bCs/>
              </w:rPr>
              <w:spacing w:before="0" w:after="0" w:line="240" w:lineRule="atLeast"/>
            </w:pPr>
            <w:r>
              <w:rPr>
                <w:rFonts w:eastAsia="Arial" w:ascii="Arial" w:hAnsi="Arial" w:cs="Arial"/>
                <w:b/>
                <w:bCs/>
                <w:sz w:val="16"/>
                <w:szCs w:val="16"/>
              </w:rPr>
              <w:t>Signature</w:t>
            </w:r>
          </w:p>
        </w:tc>
      </w:tr>
      <w:tr w:rsidR="00FC1013" w14:paraId="17860165" w14:textId="77777777">
        <w:trPr>
          <w:trHeight w:val="340"/>
        </w:trPr>
        <w:tc>
          <w:tcPr>
            <w:tcW w:w="2256" w:type="dxa"/>
            <w:tcBorders>
              <w:bottom w:val="dotted" w:sz="4" w:space="0" w:color="000000"/>
            </w:tcBorders>
          </w:tcPr>
          <w:p w14:paraId="452F8A41" w14:textId="77777777" w:rsidR="00FC1013" w:rsidRDefault="004C465B">
            <w:pPr>
              <w:rPr>
                <w:rFonts w:ascii="Arial" w:eastAsia="Arial" w:hAnsi="Arial"/>
              </w:rPr>
              <w:spacing w:before="0" w:after="0" w:line="240" w:lineRule="atLeast"/>
            </w:pPr>
            <w:r>
              <w:rPr>
                <w:rFonts w:eastAsia="Arial" w:ascii="Arial" w:hAnsi="Arial" w:cs="Arial"/>
                <w:sz w:val="16"/>
                <w:szCs w:val="16"/>
              </w:rPr>
              <w:t>Originator</w:t>
            </w:r>
          </w:p>
        </w:tc>
        <w:tc>
          <w:tcPr>
            <w:tcW w:w="2256" w:type="dxa"/>
            <w:tcBorders>
              <w:bottom w:val="dotted" w:sz="4" w:space="0" w:color="000000"/>
            </w:tcBorders>
          </w:tcPr>
          <w:p w14:paraId="4BD7C7B0" w14:textId="77777777" w:rsidR="00FC1013" w:rsidRDefault="004C465B">
            <w:pPr>
              <w:rPr>
                <w:rFonts w:ascii="Arial" w:eastAsia="Arial" w:hAnsi="Arial"/>
              </w:rPr>
              <w:spacing w:before="0" w:after="0" w:line="240" w:lineRule="atLeast"/>
            </w:pPr>
            <w:r>
              <w:rPr>
                <w:rFonts w:eastAsia="Arial" w:ascii="Arial" w:hAnsi="Arial" w:cs="Arial"/>
                <w:sz w:val="16"/>
                <w:szCs w:val="16"/>
              </w:rPr>
              <w:t>Ashleigh Phillips</w:t>
            </w:r>
          </w:p>
        </w:tc>
        <w:tc>
          <w:tcPr>
            <w:tcW w:w="2256" w:type="dxa"/>
            <w:tcBorders>
              <w:bottom w:val="dotted" w:sz="4" w:space="0" w:color="000000"/>
            </w:tcBorders>
          </w:tcPr>
          <w:p w14:paraId="3014903E" w14:textId="77777777" w:rsidR="00FC1013" w:rsidRDefault="004C465B">
            <w:pPr>
              <w:rPr>
                <w:rFonts w:ascii="Arial" w:eastAsia="Arial" w:hAnsi="Arial"/>
              </w:rPr>
              <w:spacing w:before="0" w:after="0" w:line="240" w:lineRule="atLeast"/>
            </w:pPr>
            <w:r>
              <w:rPr>
                <w:rFonts w:ascii="Arial" w:hAnsi="Arial" w:cs="Arial" w:eastAsia="Arial"/>
                <w:b/>
                <w:bCs/>
                <w:color w:val="0059D1"/>
                <w:sz w:val="16"/>
                <w:szCs w:val="16"/>
              </w:rPr>
              <w:t>[External]</w:t>
            </w:r>
            <w:r>
              <w:rPr>
                <w:rFonts w:eastAsia="Arial" w:ascii="Arial" w:hAnsi="Arial" w:cs="Arial"/>
                <w:sz w:val="16"/>
                <w:szCs w:val="16"/>
              </w:rPr>
              <w:t xml:space="preserve"> HSES Industry Partners</w:t>
            </w:r>
          </w:p>
        </w:tc>
        <w:tc>
          <w:tcPr>
            <w:tcW w:w="2258" w:type="dxa"/>
            <w:tcBorders>
              <w:bottom w:val="dotted" w:sz="4" w:space="0" w:color="000000"/>
            </w:tcBorders>
          </w:tcPr>
          <w:p w14:paraId="1FEE642E" w14:textId="77777777" w:rsidR="00FC1013" w:rsidRDefault="00FC1013">
            <w:pPr>
              <w:rPr>
                <w:rFonts w:ascii="Arial" w:eastAsia="Arial" w:hAnsi="Arial"/>
              </w:rPr>
              <w:spacing w:before="0" w:after="0" w:line="240" w:lineRule="atLeast"/>
            </w:pPr>
          </w:p>
        </w:tc>
      </w:tr>
      <w:tr w:rsidR="00FC1013" w14:paraId="3F76D41D" w14:textId="77777777">
        <w:trPr>
          <w:trHeight w:val="340"/>
        </w:trPr>
        <w:tc>
          <w:tcPr>
            <w:tcW w:w="2256" w:type="dxa"/>
            <w:tcBorders>
              <w:top w:val="dotted" w:sz="4" w:space="0" w:color="000000"/>
              <w:bottom w:val="dotted" w:sz="4" w:space="0" w:color="000000"/>
            </w:tcBorders>
          </w:tcPr>
          <w:p w14:paraId="0AF03A84"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D017D9F" w14:textId="77777777" w:rsidR="00FC1013" w:rsidRDefault="004C465B">
            <w:pPr>
              <w:rPr>
                <w:rFonts w:ascii="Arial" w:eastAsia="Arial" w:hAnsi="Arial"/>
              </w:rPr>
              <w:spacing w:before="0" w:after="0" w:line="240" w:lineRule="atLeast"/>
            </w:pPr>
            <w:r>
              <w:rPr>
                <w:rFonts w:eastAsia="Arial" w:ascii="Arial" w:hAnsi="Arial" w:cs="Arial"/>
                <w:sz w:val="16"/>
                <w:szCs w:val="16"/>
              </w:rPr>
              <w:t>Kirsten Snyman</w:t>
            </w:r>
          </w:p>
        </w:tc>
        <w:tc>
          <w:tcPr>
            <w:tcW w:w="2256" w:type="dxa"/>
            <w:tcBorders>
              <w:top w:val="dotted" w:sz="4" w:space="0" w:color="000000"/>
              <w:bottom w:val="dotted" w:sz="4" w:space="0" w:color="000000"/>
            </w:tcBorders>
          </w:tcPr>
          <w:p w14:paraId="7D3D01EB"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CSP RioProjects</w:t>
            </w:r>
          </w:p>
        </w:tc>
        <w:tc>
          <w:tcPr>
            <w:tcW w:w="2258" w:type="dxa"/>
            <w:tcBorders>
              <w:top w:val="dotted" w:sz="4" w:space="0" w:color="000000"/>
              <w:bottom w:val="dotted" w:sz="4" w:space="0" w:color="000000"/>
            </w:tcBorders>
          </w:tcPr>
          <w:p w14:paraId="287F8750" w14:textId="77777777" w:rsidR="00FC1013" w:rsidRDefault="00FC1013">
            <w:pPr>
              <w:rPr>
                <w:rFonts w:ascii="Arial" w:eastAsia="Arial" w:hAnsi="Arial"/>
              </w:rPr>
              <w:spacing w:before="0" w:after="0" w:line="240" w:lineRule="atLeast"/>
            </w:pPr>
          </w:p>
        </w:tc>
      </w:tr>
      <w:tr w:rsidR="00FC1013" w14:paraId="14D2A514" w14:textId="77777777">
        <w:trPr>
          <w:trHeight w:val="340"/>
        </w:trPr>
        <w:tc>
          <w:tcPr>
            <w:tcW w:w="2256" w:type="dxa"/>
            <w:tcBorders>
              <w:top w:val="dotted" w:sz="4" w:space="0" w:color="000000"/>
              <w:bottom w:val="dotted" w:sz="4" w:space="0" w:color="000000"/>
            </w:tcBorders>
          </w:tcPr>
          <w:p w14:paraId="4CB44463" w14:textId="77777777" w:rsidR="00FC1013" w:rsidRDefault="004C465B">
            <w:pPr>
              <w:rPr>
                <w:rFonts w:ascii="Arial" w:eastAsia="Arial" w:hAnsi="Arial"/>
              </w:rPr>
              <w:spacing w:before="0" w:after="0" w:line="240" w:lineRule="atLeast"/>
            </w:pPr>
            <w:r>
              <w:rPr>
                <w:rFonts w:eastAsia="Arial" w:ascii="Arial" w:hAnsi="Arial" w:cs="Arial"/>
                <w:sz w:val="16"/>
                <w:szCs w:val="16"/>
              </w:rPr>
              <w:t>Reviewed</w:t>
            </w:r>
          </w:p>
        </w:tc>
        <w:tc>
          <w:tcPr>
            <w:tcW w:w="2256" w:type="dxa"/>
            <w:tcBorders>
              <w:top w:val="dotted" w:sz="4" w:space="0" w:color="000000"/>
              <w:bottom w:val="dotted" w:sz="4" w:space="0" w:color="000000"/>
            </w:tcBorders>
          </w:tcPr>
          <w:p w14:paraId="3AB05A5D" w14:textId="77777777" w:rsidR="00FC1013" w:rsidRDefault="004C465B">
            <w:pPr>
              <w:rPr>
                <w:rFonts w:ascii="Arial" w:eastAsia="Arial" w:hAnsi="Arial"/>
              </w:rPr>
              <w:spacing w:before="0" w:after="0" w:line="240" w:lineRule="atLeast"/>
            </w:pPr>
            <w:r>
              <w:rPr>
                <w:rFonts w:eastAsia="Arial" w:ascii="Arial" w:hAnsi="Arial" w:cs="Arial"/>
                <w:sz w:val="16"/>
                <w:szCs w:val="16"/>
              </w:rPr>
              <w:t>Matt Moroz</w:t>
            </w:r>
          </w:p>
        </w:tc>
        <w:tc>
          <w:tcPr>
            <w:tcW w:w="2256" w:type="dxa"/>
            <w:tcBorders>
              <w:top w:val="dotted" w:sz="4" w:space="0" w:color="000000"/>
              <w:bottom w:val="dotted" w:sz="4" w:space="0" w:color="000000"/>
            </w:tcBorders>
          </w:tcPr>
          <w:p w14:paraId="1A8777CE" w14:textId="77777777" w:rsidR="00FC1013" w:rsidRDefault="004C465B">
            <w:pPr>
              <w:rPr>
                <w:rFonts w:ascii="Arial" w:eastAsia="Arial" w:hAnsi="Arial"/>
              </w:rPr>
              <w:spacing w:before="0" w:after="0" w:line="240" w:lineRule="atLeast"/>
            </w:pPr>
            <w:r>
              <w:rPr>
                <w:rFonts w:eastAsia="Arial" w:ascii="Arial" w:hAnsi="Arial" w:cs="Arial"/>
                <w:sz w:val="16"/>
                <w:szCs w:val="16"/>
              </w:rPr>
              <w:t>Snr Manager, HSES RioProjects</w:t>
            </w:r>
          </w:p>
        </w:tc>
        <w:tc>
          <w:tcPr>
            <w:tcW w:w="2258" w:type="dxa"/>
            <w:tcBorders>
              <w:top w:val="dotted" w:sz="4" w:space="0" w:color="000000"/>
              <w:bottom w:val="dotted" w:sz="4" w:space="0" w:color="000000"/>
            </w:tcBorders>
          </w:tcPr>
          <w:p w14:paraId="5A0BE164" w14:textId="77777777" w:rsidR="00FC1013" w:rsidRDefault="00FC1013">
            <w:pPr>
              <w:rPr>
                <w:rFonts w:ascii="Arial" w:eastAsia="Arial" w:hAnsi="Arial"/>
              </w:rPr>
              <w:spacing w:before="0" w:after="0" w:line="240" w:lineRule="atLeast"/>
            </w:pPr>
          </w:p>
        </w:tc>
      </w:tr>
      <w:tr w:rsidR="00FC1013" w14:paraId="52143E74" w14:textId="77777777">
        <w:trPr>
          <w:trHeight w:val="340"/>
        </w:trPr>
        <w:tc>
          <w:tcPr>
            <w:tcW w:w="2256" w:type="dxa"/>
            <w:tcBorders>
              <w:top w:val="dotted" w:sz="4" w:space="0" w:color="000000"/>
            </w:tcBorders>
          </w:tcPr>
          <w:p w14:paraId="7013AB62" w14:textId="77777777" w:rsidR="00FC1013" w:rsidRDefault="004C465B">
            <w:pPr>
              <w:rPr>
                <w:rFonts w:ascii="Arial" w:eastAsia="Arial" w:hAnsi="Arial"/>
              </w:rPr>
              <w:spacing w:before="0" w:after="0" w:line="240" w:lineRule="atLeast"/>
            </w:pPr>
            <w:r>
              <w:rPr>
                <w:rFonts w:eastAsia="Arial" w:ascii="Arial" w:hAnsi="Arial" w:cs="Arial"/>
                <w:sz w:val="16"/>
                <w:szCs w:val="16"/>
              </w:rPr>
              <w:t>Approved</w:t>
            </w:r>
          </w:p>
        </w:tc>
        <w:tc>
          <w:tcPr>
            <w:tcW w:w="2256" w:type="dxa"/>
            <w:tcBorders>
              <w:top w:val="dotted" w:sz="4" w:space="0" w:color="000000"/>
            </w:tcBorders>
          </w:tcPr>
          <w:p w14:paraId="3DA2B481" w14:textId="77777777" w:rsidR="00FC1013" w:rsidRDefault="004C465B">
            <w:pPr>
              <w:rPr>
                <w:rFonts w:ascii="Arial" w:eastAsia="Arial" w:hAnsi="Arial"/>
              </w:rPr>
              <w:spacing w:before="0" w:after="0" w:line="240" w:lineRule="atLeast"/>
            </w:pPr>
            <w:r>
              <w:rPr>
                <w:rFonts w:eastAsia="Arial" w:ascii="Arial" w:hAnsi="Arial" w:cs="Arial"/>
                <w:sz w:val="16"/>
                <w:szCs w:val="16"/>
              </w:rPr>
              <w:t>Greg Doyle</w:t>
            </w:r>
          </w:p>
        </w:tc>
        <w:tc>
          <w:tcPr>
            <w:tcW w:w="2256" w:type="dxa"/>
            <w:tcBorders>
              <w:top w:val="dotted" w:sz="4" w:space="0" w:color="000000"/>
            </w:tcBorders>
          </w:tcPr>
          <w:p w14:paraId="25F393E7" w14:textId="77777777" w:rsidR="00FC1013" w:rsidRDefault="004C465B">
            <w:pPr>
              <w:rPr>
                <w:rFonts w:ascii="Arial" w:eastAsia="Arial" w:hAnsi="Arial"/>
              </w:rPr>
              <w:spacing w:before="0" w:after="0" w:line="240" w:lineRule="atLeast"/>
            </w:pPr>
            <w:r>
              <w:rPr>
                <w:rFonts w:eastAsia="Arial" w:ascii="Arial" w:hAnsi="Arial" w:cs="Arial"/>
                <w:sz w:val="16"/>
                <w:szCs w:val="16"/>
              </w:rPr>
              <w:t>Vice President HSESC, SD&amp;T</w:t>
            </w:r>
          </w:p>
        </w:tc>
        <w:tc>
          <w:tcPr>
            <w:tcW w:w="2258" w:type="dxa"/>
            <w:tcBorders>
              <w:top w:val="dotted" w:sz="4" w:space="0" w:color="000000"/>
            </w:tcBorders>
          </w:tcPr>
          <w:p w14:paraId="0C7DD2FF" w14:textId="77777777" w:rsidR="00FC1013" w:rsidRDefault="00FC1013">
            <w:pPr>
              <w:rPr>
                <w:rFonts w:ascii="Arial" w:eastAsia="Arial" w:hAnsi="Arial"/>
              </w:rPr>
              <w:spacing w:before="0" w:after="0" w:line="240" w:lineRule="atLeast"/>
            </w:pPr>
          </w:p>
        </w:tc>
      </w:tr>
    </w:tbl>
    <w:p>
      <w:pPr>
        <w:pStyle w:val="NormalNumberedtext"/>
      </w:pPr>
    </w:p>
    <w:p w14:paraId="50532439" w14:textId="77777777" w:rsidR="00FC1013" w:rsidRDefault="004C465B">
      <w:pPr>
        <w:spacing w:after="920"/>
        <w:rPr>
          <w:sz w:val="56"/>
          <w:szCs w:val="56"/>
        </w:rPr>
      </w:pPr>
      <w:r>
        <w:rPr>
          <w:sz w:val="56"/>
          <w:szCs w:val="56"/>
        </w:rPr>
        <w:lastRenderedPageBreak/>
        <w:t>Contents</w:t>
      </w:r>
    </w:p>
    <w:sdt>
      <w:sdtPr>
        <w:id w:val="747538175"/>
        <w:docPartObj>
          <w:docPartGallery w:val="Table of Contents"/>
          <w:docPartUnique/>
        </w:docPartObj>
      </w:sdtPr>
      <w:sdtEndPr/>
      <w:sdtContent>
        <w:p w14:paraId="0D143738" w14:textId="0F56A9A0" w:rsidR="00B03658" w:rsidRDefault="004C465B">
          <w:pPr>
            <w:pStyle w:val="TOC1"/>
            <w:rPr>
              <w:rFonts w:eastAsiaTheme="minorEastAsia"/>
              <w:b w:val="0"/>
              <w:noProof/>
              <w:kern w:val="2"/>
              <w:sz w:val="24"/>
              <w:lang w:val="en-AU" w:eastAsia="en-AU"/>
              <w14:ligatures w14:val="standardContextual"/>
            </w:rPr>
          </w:pPr>
          <w:r>
            <w:fldChar w:fldCharType="begin"/>
          </w:r>
          <w:r>
            <w:rPr>
              <w:rStyle w:val="IndexLink"/>
              <w:webHidden/>
            </w:rPr>
            <w:instrText xml:space="preserve"> TOC \z \o "1-3" \u \h</w:instrText>
          </w:r>
          <w:r>
            <w:rPr>
              <w:rStyle w:val="IndexLink"/>
            </w:rPr>
            <w:fldChar w:fldCharType="separate"/>
          </w:r>
          <w:hyperlink w:anchor="_Toc232534342" w:history="1">
            <w:r w:rsidR="00B03658" w:rsidRPr="00B04E7F">
              <w:rPr>
                <w:rStyle w:val="Hyperlink"/>
                <w:noProof/>
              </w:rPr>
              <w:t>0</w:t>
            </w:r>
            <w:r w:rsidR="00B03658">
              <w:rPr>
                <w:rFonts w:eastAsiaTheme="minorEastAsia"/>
                <w:b w:val="0"/>
                <w:noProof/>
                <w:kern w:val="2"/>
                <w:sz w:val="24"/>
                <w:lang w:val="en-AU" w:eastAsia="en-AU"/>
                <w14:ligatures w14:val="standardContextual"/>
              </w:rPr>
              <w:tab/>
            </w:r>
            <w:r w:rsidR="00B03658" w:rsidRPr="00B04E7F">
              <w:rPr>
                <w:rStyle w:val="Hyperlink"/>
                <w:noProof/>
              </w:rPr>
              <w:t>How to Use This Document</w:t>
            </w:r>
            <w:r w:rsidR="00B03658">
              <w:rPr>
                <w:noProof/>
                <w:webHidden/>
              </w:rPr>
              <w:tab/>
            </w:r>
            <w:r w:rsidR="00B03658">
              <w:rPr>
                <w:noProof/>
                <w:webHidden/>
              </w:rPr>
              <w:fldChar w:fldCharType="begin"/>
            </w:r>
            <w:r w:rsidR="00B03658">
              <w:rPr>
                <w:noProof/>
                <w:webHidden/>
              </w:rPr>
              <w:instrText xml:space="preserve"> PAGEREF _Toc232534342 \h </w:instrText>
            </w:r>
            <w:r w:rsidR="00B03658">
              <w:rPr>
                <w:noProof/>
                <w:webHidden/>
              </w:rPr>
            </w:r>
            <w:r w:rsidR="00B03658">
              <w:rPr>
                <w:noProof/>
                <w:webHidden/>
              </w:rPr>
              <w:fldChar w:fldCharType="separate"/>
            </w:r>
            <w:r w:rsidR="00B03658">
              <w:rPr>
                <w:noProof/>
                <w:webHidden/>
              </w:rPr>
              <w:t>3</w:t>
            </w:r>
            <w:r w:rsidR="00B03658">
              <w:rPr>
                <w:noProof/>
                <w:webHidden/>
              </w:rPr>
              <w:fldChar w:fldCharType="end"/>
            </w:r>
          </w:hyperlink>
        </w:p>
        <w:p w14:paraId="5B971EE2" w14:textId="096CA7A9" w:rsidR="00B03658" w:rsidRDefault="00B03658">
          <w:pPr>
            <w:pStyle w:val="TOC2"/>
            <w:tabs>
              <w:tab w:val="left" w:pos="1134"/>
            </w:tabs>
            <w:rPr>
              <w:rFonts w:eastAsiaTheme="minorEastAsia"/>
              <w:noProof/>
              <w:kern w:val="2"/>
              <w:sz w:val="24"/>
              <w:lang w:val="en-AU" w:eastAsia="en-AU"/>
              <w14:ligatures w14:val="standardContextual"/>
            </w:rPr>
          </w:pPr>
          <w:hyperlink w:anchor="_Toc232534343" w:history="1">
            <w:r w:rsidRPr="00B04E7F">
              <w:rPr>
                <w:rStyle w:val="Hyperlink"/>
                <w:noProof/>
              </w:rPr>
              <w:t>0.1</w:t>
            </w:r>
            <w:r>
              <w:rPr>
                <w:rFonts w:eastAsiaTheme="minorEastAsia"/>
                <w:noProof/>
                <w:kern w:val="2"/>
                <w:sz w:val="24"/>
                <w:lang w:val="en-AU" w:eastAsia="en-AU"/>
                <w14:ligatures w14:val="standardContextual"/>
              </w:rPr>
              <w:tab/>
            </w:r>
            <w:r w:rsidRPr="00B04E7F">
              <w:rPr>
                <w:rStyle w:val="Hyperlink"/>
                <w:noProof/>
              </w:rPr>
              <w:t>Purpose of This Template</w:t>
            </w:r>
            <w:r>
              <w:rPr>
                <w:noProof/>
                <w:webHidden/>
              </w:rPr>
              <w:tab/>
            </w:r>
            <w:r>
              <w:rPr>
                <w:noProof/>
                <w:webHidden/>
              </w:rPr>
              <w:fldChar w:fldCharType="begin"/>
            </w:r>
            <w:r>
              <w:rPr>
                <w:noProof/>
                <w:webHidden/>
              </w:rPr>
              <w:instrText xml:space="preserve"> PAGEREF _Toc232534343 \h </w:instrText>
            </w:r>
            <w:r>
              <w:rPr>
                <w:noProof/>
                <w:webHidden/>
              </w:rPr>
            </w:r>
            <w:r>
              <w:rPr>
                <w:noProof/>
                <w:webHidden/>
              </w:rPr>
              <w:fldChar w:fldCharType="separate"/>
            </w:r>
            <w:r>
              <w:rPr>
                <w:noProof/>
                <w:webHidden/>
              </w:rPr>
              <w:t>3</w:t>
            </w:r>
            <w:r>
              <w:rPr>
                <w:noProof/>
                <w:webHidden/>
              </w:rPr>
              <w:fldChar w:fldCharType="end"/>
            </w:r>
          </w:hyperlink>
        </w:p>
        <w:p w14:paraId="4F889F24" w14:textId="524EB743" w:rsidR="00B03658" w:rsidRDefault="00B03658">
          <w:pPr>
            <w:pStyle w:val="TOC2"/>
            <w:tabs>
              <w:tab w:val="left" w:pos="1134"/>
            </w:tabs>
            <w:rPr>
              <w:rFonts w:eastAsiaTheme="minorEastAsia"/>
              <w:noProof/>
              <w:kern w:val="2"/>
              <w:sz w:val="24"/>
              <w:lang w:val="en-AU" w:eastAsia="en-AU"/>
              <w14:ligatures w14:val="standardContextual"/>
            </w:rPr>
          </w:pPr>
          <w:hyperlink w:anchor="_Toc232534344" w:history="1">
            <w:r w:rsidRPr="00B04E7F">
              <w:rPr>
                <w:rStyle w:val="Hyperlink"/>
                <w:noProof/>
              </w:rPr>
              <w:t>0.2</w:t>
            </w:r>
            <w:r>
              <w:rPr>
                <w:rFonts w:eastAsiaTheme="minorEastAsia"/>
                <w:noProof/>
                <w:kern w:val="2"/>
                <w:sz w:val="24"/>
                <w:lang w:val="en-AU" w:eastAsia="en-AU"/>
                <w14:ligatures w14:val="standardContextual"/>
              </w:rPr>
              <w:tab/>
            </w:r>
            <w:r w:rsidRPr="00B04E7F">
              <w:rPr>
                <w:rStyle w:val="Hyperlink"/>
                <w:noProof/>
              </w:rPr>
              <w:t>How This Document is Structured</w:t>
            </w:r>
            <w:r>
              <w:rPr>
                <w:noProof/>
                <w:webHidden/>
              </w:rPr>
              <w:tab/>
            </w:r>
            <w:r>
              <w:rPr>
                <w:noProof/>
                <w:webHidden/>
              </w:rPr>
              <w:fldChar w:fldCharType="begin"/>
            </w:r>
            <w:r>
              <w:rPr>
                <w:noProof/>
                <w:webHidden/>
              </w:rPr>
              <w:instrText xml:space="preserve"> PAGEREF _Toc232534344 \h </w:instrText>
            </w:r>
            <w:r>
              <w:rPr>
                <w:noProof/>
                <w:webHidden/>
              </w:rPr>
            </w:r>
            <w:r>
              <w:rPr>
                <w:noProof/>
                <w:webHidden/>
              </w:rPr>
              <w:fldChar w:fldCharType="separate"/>
            </w:r>
            <w:r>
              <w:rPr>
                <w:noProof/>
                <w:webHidden/>
              </w:rPr>
              <w:t>3</w:t>
            </w:r>
            <w:r>
              <w:rPr>
                <w:noProof/>
                <w:webHidden/>
              </w:rPr>
              <w:fldChar w:fldCharType="end"/>
            </w:r>
          </w:hyperlink>
        </w:p>
        <w:p w14:paraId="474DF627" w14:textId="1FAF07AB" w:rsidR="00B03658" w:rsidRDefault="00B03658">
          <w:pPr>
            <w:pStyle w:val="TOC2"/>
            <w:tabs>
              <w:tab w:val="left" w:pos="1134"/>
            </w:tabs>
            <w:rPr>
              <w:rFonts w:eastAsiaTheme="minorEastAsia"/>
              <w:noProof/>
              <w:kern w:val="2"/>
              <w:sz w:val="24"/>
              <w:lang w:val="en-AU" w:eastAsia="en-AU"/>
              <w14:ligatures w14:val="standardContextual"/>
            </w:rPr>
          </w:pPr>
          <w:hyperlink w:anchor="_Toc232534345" w:history="1">
            <w:r w:rsidRPr="00B04E7F">
              <w:rPr>
                <w:rStyle w:val="Hyperlink"/>
                <w:noProof/>
              </w:rPr>
              <w:t>0.3</w:t>
            </w:r>
            <w:r>
              <w:rPr>
                <w:rFonts w:eastAsiaTheme="minorEastAsia"/>
                <w:noProof/>
                <w:kern w:val="2"/>
                <w:sz w:val="24"/>
                <w:lang w:val="en-AU" w:eastAsia="en-AU"/>
                <w14:ligatures w14:val="standardContextual"/>
              </w:rPr>
              <w:tab/>
            </w:r>
            <w:r w:rsidRPr="00B04E7F">
              <w:rPr>
                <w:rStyle w:val="Hyperlink"/>
                <w:noProof/>
              </w:rPr>
              <w:t>Step-by-Step Completion Instructions</w:t>
            </w:r>
            <w:r>
              <w:rPr>
                <w:noProof/>
                <w:webHidden/>
              </w:rPr>
              <w:tab/>
            </w:r>
            <w:r>
              <w:rPr>
                <w:noProof/>
                <w:webHidden/>
              </w:rPr>
              <w:fldChar w:fldCharType="begin"/>
            </w:r>
            <w:r>
              <w:rPr>
                <w:noProof/>
                <w:webHidden/>
              </w:rPr>
              <w:instrText xml:space="preserve"> PAGEREF _Toc232534345 \h </w:instrText>
            </w:r>
            <w:r>
              <w:rPr>
                <w:noProof/>
                <w:webHidden/>
              </w:rPr>
            </w:r>
            <w:r>
              <w:rPr>
                <w:noProof/>
                <w:webHidden/>
              </w:rPr>
              <w:fldChar w:fldCharType="separate"/>
            </w:r>
            <w:r>
              <w:rPr>
                <w:noProof/>
                <w:webHidden/>
              </w:rPr>
              <w:t>3</w:t>
            </w:r>
            <w:r>
              <w:rPr>
                <w:noProof/>
                <w:webHidden/>
              </w:rPr>
              <w:fldChar w:fldCharType="end"/>
            </w:r>
          </w:hyperlink>
        </w:p>
        <w:p w14:paraId="14E91A5A" w14:textId="7B88F346" w:rsidR="00B03658" w:rsidRDefault="00B03658">
          <w:pPr>
            <w:pStyle w:val="TOC2"/>
            <w:tabs>
              <w:tab w:val="left" w:pos="1134"/>
            </w:tabs>
            <w:rPr>
              <w:rFonts w:eastAsiaTheme="minorEastAsia"/>
              <w:noProof/>
              <w:kern w:val="2"/>
              <w:sz w:val="24"/>
              <w:lang w:val="en-AU" w:eastAsia="en-AU"/>
              <w14:ligatures w14:val="standardContextual"/>
            </w:rPr>
          </w:pPr>
          <w:hyperlink w:anchor="_Toc232534346" w:history="1">
            <w:r w:rsidRPr="00B04E7F">
              <w:rPr>
                <w:rStyle w:val="Hyperlink"/>
                <w:noProof/>
              </w:rPr>
              <w:t>0.4</w:t>
            </w:r>
            <w:r>
              <w:rPr>
                <w:rFonts w:eastAsiaTheme="minorEastAsia"/>
                <w:noProof/>
                <w:kern w:val="2"/>
                <w:sz w:val="24"/>
                <w:lang w:val="en-AU" w:eastAsia="en-AU"/>
                <w14:ligatures w14:val="standardContextual"/>
              </w:rPr>
              <w:tab/>
            </w:r>
            <w:r w:rsidRPr="00B04E7F">
              <w:rPr>
                <w:rStyle w:val="Hyperlink"/>
                <w:noProof/>
              </w:rPr>
              <w:t>Pre-Issue Checklist</w:t>
            </w:r>
            <w:r>
              <w:rPr>
                <w:noProof/>
                <w:webHidden/>
              </w:rPr>
              <w:tab/>
            </w:r>
            <w:r>
              <w:rPr>
                <w:noProof/>
                <w:webHidden/>
              </w:rPr>
              <w:fldChar w:fldCharType="begin"/>
            </w:r>
            <w:r>
              <w:rPr>
                <w:noProof/>
                <w:webHidden/>
              </w:rPr>
              <w:instrText xml:space="preserve"> PAGEREF _Toc232534346 \h </w:instrText>
            </w:r>
            <w:r>
              <w:rPr>
                <w:noProof/>
                <w:webHidden/>
              </w:rPr>
            </w:r>
            <w:r>
              <w:rPr>
                <w:noProof/>
                <w:webHidden/>
              </w:rPr>
              <w:fldChar w:fldCharType="separate"/>
            </w:r>
            <w:r>
              <w:rPr>
                <w:noProof/>
                <w:webHidden/>
              </w:rPr>
              <w:t>4</w:t>
            </w:r>
            <w:r>
              <w:rPr>
                <w:noProof/>
                <w:webHidden/>
              </w:rPr>
              <w:fldChar w:fldCharType="end"/>
            </w:r>
          </w:hyperlink>
        </w:p>
        <w:p w14:paraId="4DA49C8D" w14:textId="567CA8C6" w:rsidR="00B03658" w:rsidRDefault="00B03658">
          <w:pPr>
            <w:pStyle w:val="TOC2"/>
            <w:tabs>
              <w:tab w:val="left" w:pos="1134"/>
            </w:tabs>
            <w:rPr>
              <w:rFonts w:eastAsiaTheme="minorEastAsia"/>
              <w:noProof/>
              <w:kern w:val="2"/>
              <w:sz w:val="24"/>
              <w:lang w:val="en-AU" w:eastAsia="en-AU"/>
              <w14:ligatures w14:val="standardContextual"/>
            </w:rPr>
          </w:pPr>
          <w:hyperlink w:anchor="_Toc232534347" w:history="1">
            <w:r w:rsidRPr="00B04E7F">
              <w:rPr>
                <w:rStyle w:val="Hyperlink"/>
                <w:noProof/>
              </w:rPr>
              <w:t>0.5</w:t>
            </w:r>
            <w:r>
              <w:rPr>
                <w:rFonts w:eastAsiaTheme="minorEastAsia"/>
                <w:noProof/>
                <w:kern w:val="2"/>
                <w:sz w:val="24"/>
                <w:lang w:val="en-AU" w:eastAsia="en-AU"/>
                <w14:ligatures w14:val="standardContextual"/>
              </w:rPr>
              <w:tab/>
            </w:r>
            <w:r w:rsidRPr="00B04E7F">
              <w:rPr>
                <w:rStyle w:val="Hyperlink"/>
                <w:noProof/>
              </w:rPr>
              <w:t>Document Relationships</w:t>
            </w:r>
            <w:r>
              <w:rPr>
                <w:noProof/>
                <w:webHidden/>
              </w:rPr>
              <w:tab/>
            </w:r>
            <w:r>
              <w:rPr>
                <w:noProof/>
                <w:webHidden/>
              </w:rPr>
              <w:fldChar w:fldCharType="begin"/>
            </w:r>
            <w:r>
              <w:rPr>
                <w:noProof/>
                <w:webHidden/>
              </w:rPr>
              <w:instrText xml:space="preserve"> PAGEREF _Toc232534347 \h </w:instrText>
            </w:r>
            <w:r>
              <w:rPr>
                <w:noProof/>
                <w:webHidden/>
              </w:rPr>
            </w:r>
            <w:r>
              <w:rPr>
                <w:noProof/>
                <w:webHidden/>
              </w:rPr>
              <w:fldChar w:fldCharType="separate"/>
            </w:r>
            <w:r>
              <w:rPr>
                <w:noProof/>
                <w:webHidden/>
              </w:rPr>
              <w:t>4</w:t>
            </w:r>
            <w:r>
              <w:rPr>
                <w:noProof/>
                <w:webHidden/>
              </w:rPr>
              <w:fldChar w:fldCharType="end"/>
            </w:r>
          </w:hyperlink>
        </w:p>
        <w:p w14:paraId="3F16AD5B" w14:textId="1087B8A6" w:rsidR="00B03658" w:rsidRDefault="00B03658">
          <w:pPr>
            <w:pStyle w:val="TOC1"/>
            <w:rPr>
              <w:rFonts w:eastAsiaTheme="minorEastAsia"/>
              <w:b w:val="0"/>
              <w:noProof/>
              <w:kern w:val="2"/>
              <w:sz w:val="24"/>
              <w:lang w:val="en-AU" w:eastAsia="en-AU"/>
              <w14:ligatures w14:val="standardContextual"/>
            </w:rPr>
          </w:pPr>
          <w:hyperlink w:anchor="_Toc232534348" w:history="1">
            <w:r w:rsidRPr="00B04E7F">
              <w:rPr>
                <w:rStyle w:val="Hyperlink"/>
                <w:noProof/>
              </w:rPr>
              <w:t>1</w:t>
            </w:r>
            <w:r>
              <w:rPr>
                <w:rFonts w:eastAsiaTheme="minorEastAsia"/>
                <w:b w:val="0"/>
                <w:noProof/>
                <w:kern w:val="2"/>
                <w:sz w:val="24"/>
                <w:lang w:val="en-AU" w:eastAsia="en-AU"/>
                <w14:ligatures w14:val="standardContextual"/>
              </w:rPr>
              <w:tab/>
            </w:r>
            <w:r w:rsidRPr="00B04E7F">
              <w:rPr>
                <w:rStyle w:val="Hyperlink"/>
                <w:noProof/>
              </w:rPr>
              <w:t>Heading</w:t>
            </w:r>
            <w:r>
              <w:rPr>
                <w:noProof/>
                <w:webHidden/>
              </w:rPr>
              <w:tab/>
            </w:r>
            <w:r>
              <w:rPr>
                <w:noProof/>
                <w:webHidden/>
              </w:rPr>
              <w:fldChar w:fldCharType="begin"/>
            </w:r>
            <w:r>
              <w:rPr>
                <w:noProof/>
                <w:webHidden/>
              </w:rPr>
              <w:instrText xml:space="preserve"> PAGEREF _Toc232534348 \h </w:instrText>
            </w:r>
            <w:r>
              <w:rPr>
                <w:noProof/>
                <w:webHidden/>
              </w:rPr>
            </w:r>
            <w:r>
              <w:rPr>
                <w:noProof/>
                <w:webHidden/>
              </w:rPr>
              <w:fldChar w:fldCharType="separate"/>
            </w:r>
            <w:r>
              <w:rPr>
                <w:noProof/>
                <w:webHidden/>
              </w:rPr>
              <w:t>6</w:t>
            </w:r>
            <w:r>
              <w:rPr>
                <w:noProof/>
                <w:webHidden/>
              </w:rPr>
              <w:fldChar w:fldCharType="end"/>
            </w:r>
          </w:hyperlink>
        </w:p>
        <w:p w14:paraId="7EBEFCE2" w14:textId="6405579E" w:rsidR="00FC1013" w:rsidRDefault="004C465B">
          <w:pPr>
            <w:pStyle w:val="TOC1"/>
            <w:rPr>
              <w:rFonts w:eastAsiaTheme="minorEastAsia"/>
              <w:b w:val="0"/>
              <w:kern w:val="2"/>
              <w:sz w:val="24"/>
              <w:lang w:val="en-AU" w:eastAsia="en-AU"/>
              <w14:ligatures w14:val="standardContextual"/>
            </w:rPr>
          </w:pPr>
          <w:r>
            <w:rPr>
              <w:rStyle w:val="IndexLink"/>
            </w:rPr>
            <w:fldChar w:fldCharType="end"/>
          </w:r>
        </w:p>
      </w:sdtContent>
    </w:sdt>
    <w:p>
      <w:pPr>
        <w:pStyle w:val="NormalNumberedtext"/>
      </w:pPr>
    </w:p>
    <w:p w14:paraId="3F00B330" w14:textId="077DD352" w:rsidR="004C5CA9" w:rsidRDefault="00B03658" w:rsidP="000726E8">
      <w:pPr>
        <w:pStyle w:val="Heading1Numbered"/>
        <w:numPr>
          <w:ilvl w:val="0"/>
          <w:numId w:val="1"/>
        </w:numPr>
      </w:pPr>
      <w:bookmarkStart w:id="0" w:name="_Toc232534348"/>
      <w:r>
        <w:rPr>
          <w:rFonts w:ascii="Arial" w:hAnsi="Arial" w:cs="Arial" w:eastAsia="Arial"/>
        </w:rPr>
        <w:lastRenderedPageBreak/>
        <w:t>Heading</w:t>
      </w:r>
      <w:bookmarkEnd w:id="0"/>
    </w:p>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INSTRUCTION: Read, action and delete this box before this procedure is issued. Delete the entire Section 0 before this document is submitted for review or approval. It must not appear in any approved version of this procedure.</w:t>
            </w:r>
          </w:p>
        </w:tc>
      </w:tr>
    </w:tbl>
    <w:p>
      <w:pPr>
        <w:pStyle w:val="NormalNumberedtext"/>
      </w:pPr>
    </w:p>
    <w:p>
      <w:pPr>
        <w:pStyle w:val="Heading1Numbered"/>
        <w:numPr>
          <w:ilvl w:val="0"/>
          <w:numId w:val="1"/>
        </w:numPr>
      </w:pPr>
      <w:r>
        <w:rPr>
          <w:rFonts w:ascii="Arial" w:hAnsi="Arial" w:cs="Arial" w:eastAsia="Arial"/>
        </w:rPr>
        <w:t>How to Use This Document</w:t>
      </w:r>
    </w:p>
    <w:p>
      <w:pPr>
        <w:pStyle w:val="NormalNumberedtext"/>
      </w:pPr>
      <w:r>
        <w:t>This section explains the purpose of the template, how it is structured, the sequence for completing it and the checks required before it is issued. It must be read in full before any section of this document is completed. Delete Section 0 in its entirety before issue.</w:t>
      </w:r>
    </w:p>
    <w:p>
      <w:pPr>
        <w:pStyle w:val="NormalNumberedtext"/>
      </w:pPr>
    </w:p>
    <w:p>
      <w:pPr>
        <w:pStyle w:val="Heading2Numbered"/>
        <w:numPr>
          <w:ilvl w:val="1"/>
          <w:numId w:val="1"/>
        </w:numPr>
      </w:pPr>
      <w:r>
        <w:rPr>
          <w:rFonts w:ascii="Arial" w:hAnsi="Arial" w:cs="Arial" w:eastAsia="Arial"/>
        </w:rPr>
        <w:t>Purpose of This Template</w:t>
      </w:r>
    </w:p>
    <w:p>
      <w:pPr>
        <w:pStyle w:val="NormalNumberedtext"/>
      </w:pPr>
      <w:r>
        <w:t>This template supports the preparation of a project-specific Security Management Procedure for projects delivered under an Owner-Led model. Under this model, Rio Tinto directly manages all project activities, and this procedure applies to all personnel on the project, including Rio Tinto staff and all contractor organisations.</w:t>
      </w:r>
    </w:p>
    <w:p>
      <w:pPr>
        <w:pStyle w:val="NormalNumberedtext"/>
      </w:pPr>
      <w:r>
        <w:t>This template is provided as a 90% draft. Fixed content reflects the minimum Rio Tinto requirement and must not be reduced. The remaining 10% covers role names, register locations, schedules and project-specific triggers, and must be completed by the project team before issue.</w:t>
      </w:r>
    </w:p>
    <w:p>
      <w:pPr>
        <w:pStyle w:val="NormalNumberedtext"/>
      </w:pPr>
    </w:p>
    <w:p>
      <w:pPr>
        <w:pStyle w:val="Heading2Numbered"/>
        <w:numPr>
          <w:ilvl w:val="1"/>
          <w:numId w:val="1"/>
        </w:numPr>
      </w:pPr>
      <w:r>
        <w:rPr>
          <w:rFonts w:ascii="Arial" w:hAnsi="Arial" w:cs="Arial" w:eastAsia="Arial"/>
        </w:rPr>
        <w:t>How This Document is Structured</w:t>
      </w:r>
    </w:p>
    <w:p>
      <w:pPr>
        <w:pStyle w:val="NormalNumberedtext"/>
      </w:pPr>
      <w:r>
        <w:t>This document contains four content types:</w:t>
      </w:r>
    </w:p>
    <w:p>
      <w:pPr>
        <w:pStyle w:val="NormalNumberedtext"/>
      </w:pPr>
      <w:r>
        <w:rPr>
          <w:b/>
          <w:bCs/>
        </w:rPr>
        <w:t xml:space="preserve">Fixed content </w:t>
      </w:r>
      <w:r>
        <w:rPr/>
        <w:t>is plain black text reflecting minimum Rio Tinto requirements. Fixed content must not be reduced, deleted or overridden.</w:t>
      </w:r>
    </w:p>
    <w:p>
      <w:pPr>
        <w:pStyle w:val="NormalNumberedtext"/>
      </w:pPr>
      <w:r>
        <w:rPr>
          <w:b/>
          <w:bCs/>
          <w:color w:val="0059D1"/>
        </w:rPr>
        <w:t xml:space="preserve">[INSERT: placeholder text] </w:t>
      </w:r>
      <w:r>
        <w:rPr>
          <w:rFonts w:ascii="Arial" w:hAnsi="Arial" w:cs="Arial" w:eastAsia="Arial"/>
        </w:rPr>
        <w:t>appears in blue bold. Each placeholder must be replaced with accurate, project-specific information before issue.</w:t>
      </w:r>
    </w:p>
    <w:p>
      <w:pPr>
        <w:pStyle w:val="NormalNumberedtext"/>
      </w:pPr>
      <w:r>
        <w:rPr>
          <w:color w:val="C55A11"/>
        </w:rPr>
        <w:t xml:space="preserve">Orange text </w:t>
      </w:r>
      <w:r>
        <w:rPr/>
        <w:t>marks specific who, what, when, or how detail included as a best practice suggestion. The project team may retain, modify, or replace orange detail.</w:t>
      </w:r>
    </w:p>
    <w:p>
      <w:pPr>
        <w:pStyle w:val="NormalNumberedtext"/>
      </w:pPr>
    </w:p>
    <w:p>
      <w:pPr>
        <w:pStyle w:val="Heading2Numbered"/>
        <w:numPr>
          <w:ilvl w:val="1"/>
          <w:numId w:val="1"/>
        </w:numPr>
      </w:pPr>
      <w:r>
        <w:rPr>
          <w:rFonts w:ascii="Arial" w:hAnsi="Arial" w:cs="Arial" w:eastAsia="Arial"/>
        </w:rPr>
        <w:t>Pre-Issue Checklist</w:t>
      </w:r>
    </w:p>
    <w:p>
      <w:pPr>
        <w:pStyle w:val="NormalNumberedtext"/>
      </w:pPr>
      <w:r>
        <w:t>Before submitting this document for review or approval, confirm all items below are complete, then delete this checklist together with the rest of Section 0.</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Check</w:t>
            </w:r>
          </w:p>
        </w:tc>
        <w:tc>
          <w:tcPr>
            <w:shd w:val="clear" w:color="auto" w:fill="1F3864"/>
            <w:tcW w:type="dxa" w:w="4513"/>
          </w:tcPr>
          <w:p>
            <w:pPr>
              <w:pStyle w:val="TableContents"/>
              <w:spacing w:before="0" w:after="0" w:line="240" w:lineRule="atLeast"/>
            </w:pPr>
            <w:r>
              <w:rPr>
                <w:rFonts w:ascii="Arial" w:hAnsi="Arial" w:cs="Arial" w:eastAsia="Arial"/>
                <w:b/>
                <w:bCs/>
                <w:color w:val="FFFFFF"/>
                <w:sz w:val="16"/>
                <w:szCs w:val="16"/>
              </w:rPr>
              <w:t>Complete?</w:t>
            </w:r>
          </w:p>
        </w:tc>
      </w:tr>
      <w:tr>
        <w:tc>
          <w:tcPr>
            <w:tcW w:type="dxa" w:w="4513"/>
          </w:tcPr>
          <w:p>
            <w:pPr>
              <w:pStyle w:val="TableContents"/>
              <w:spacing w:before="0" w:after="0" w:line="240" w:lineRule="atLeast"/>
            </w:pPr>
            <w:r>
              <w:rPr>
                <w:rFonts w:ascii="Arial" w:hAnsi="Arial" w:cs="Arial" w:eastAsia="Arial"/>
                <w:sz w:val="16"/>
                <w:szCs w:val="16"/>
              </w:rPr>
              <w:t>Cover page is complete including document number, revision, date and signatories</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 xml:space="preserve">All </w:t>
            </w:r>
            <w:r>
              <w:rPr>
                <w:rFonts w:ascii="Arial" w:hAnsi="Arial" w:cs="Arial" w:eastAsia="Arial"/>
                <w:b/>
                <w:bCs/>
                <w:color w:val="0059D1"/>
                <w:sz w:val="16"/>
                <w:szCs w:val="16"/>
              </w:rPr>
              <w:t>[INSERT:]</w:t>
            </w:r>
            <w:r>
              <w:rPr>
                <w:rFonts w:ascii="Arial" w:hAnsi="Arial" w:cs="Arial" w:eastAsia="Arial"/>
                <w:sz w:val="16"/>
                <w:szCs w:val="16"/>
              </w:rPr>
              <w:t xml:space="preserve"> placeholder text has been replaced with project-specific information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instruction boxes have been read, actioned and deleted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role titles match the actual project organisational structure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system and register locations are confirmed and inserted</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All workshop and meeting dates are confirmed against the project programme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Related procedures in the References section are issued or being issued concurrently</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17 (Source Requirements Traceability) will be deleted before final issue</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16 (Project Localisation Edits) has been populated with all changes made during preparation</w:t>
            </w:r>
          </w:p>
        </w:tc>
        <w:tc>
          <w:tcPr>
            <w:tcW w:type="dxa" w:w="4513"/>
          </w:tcPr>
          <w:p>
            <w:pPr>
              <w:pStyle w:val="TableContents"/>
              <w:spacing w:before="0" w:after="0" w:line="240" w:lineRule="atLeast"/>
            </w:pPr>
            <w:r>
              <w:rPr>
                <w:rFonts w:ascii="Arial" w:hAnsi="Arial" w:cs="Arial" w:eastAsia="Arial"/>
                <w:sz w:val="16"/>
                <w:szCs w:val="16"/>
              </w:rPr>
              <w:t>☐</w:t>
            </w:r>
          </w:p>
        </w:tc>
      </w:tr>
      <w:tr>
        <w:tc>
          <w:tcPr>
            <w:tcW w:type="dxa" w:w="4513"/>
          </w:tcPr>
          <w:p>
            <w:pPr>
              <w:pStyle w:val="TableContents"/>
              <w:spacing w:before="0" w:after="0" w:line="240" w:lineRule="atLeast"/>
            </w:pPr>
            <w:r>
              <w:rPr>
                <w:rFonts w:ascii="Arial" w:hAnsi="Arial" w:cs="Arial" w:eastAsia="Arial"/>
                <w:sz w:val="16"/>
                <w:szCs w:val="16"/>
              </w:rPr>
              <w:t>Section 0 has been deleted in its entirety</w:t>
            </w:r>
          </w:p>
        </w:tc>
        <w:tc>
          <w:tcPr>
            <w:tcW w:type="dxa" w:w="4513"/>
          </w:tcPr>
          <w:p>
            <w:pPr>
              <w:pStyle w:val="TableContents"/>
              <w:spacing w:before="0" w:after="0" w:line="240" w:lineRule="atLeast"/>
            </w:pPr>
            <w:r>
              <w:rPr>
                <w:rFonts w:ascii="Arial" w:hAnsi="Arial" w:cs="Arial" w:eastAsia="Arial"/>
                <w:sz w:val="16"/>
                <w:szCs w:val="16"/>
              </w:rPr>
              <w:t>☐</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project lifecycle phases within scope, and the obligations it establishes from project Execution through to Handover.</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requirements it establishes for the project.</w:t>
      </w:r>
    </w:p>
    <w:p>
      <w:pPr>
        <w:pStyle w:val="NormalNumberedtext"/>
      </w:pPr>
      <w:r>
        <w:t>This procedure defines requirements for managing security risks to project personnel, property, information, and the organisation's social licence, including the ethical use of security personnel and compliance with the Voluntary Principles on Security and Human Rights.</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activities and lifecycle phases are governed by this document.</w:t>
      </w:r>
    </w:p>
    <w:p>
      <w:pPr>
        <w:pStyle w:val="NormalNumberedtext"/>
      </w:pPr>
      <w:r>
        <w:t>This procedure applies to all Rio Tinto project personnel and all contractor organisations performing work under an Owner-Led project. It governs security management from project Execution through to Handover.</w:t>
      </w:r>
    </w:p>
    <w:p>
      <w:pPr>
        <w:pStyle w:val="NormalNumberedtext"/>
      </w:pPr>
      <w:r>
        <w:rPr>
          <w:b/>
          <w:bCs/>
          <w:color w:val="0059D1"/>
        </w:rPr>
        <w:t>[INSERT: scope qualifications] — note any activities, phases, or locations excluded from this procedure's scope</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the responsibilities for all project roles relevant to this procedure, covering the Rio Tinto project team and all contractor organisations. Responsibilities are aligned to governance, oversight, assessment execution, reporting, and control verification.</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Responsibilities</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Company</w:t>
            </w:r>
          </w:p>
        </w:tc>
        <w:tc>
          <w:tcPr>
            <w:shd w:val="clear" w:color="auto" w:fill="1F3864"/>
            <w:tcW w:type="dxa" w:w="2444"/>
          </w:tcPr>
          <w:p>
            <w:pPr>
              <w:pStyle w:val="TableContents"/>
              <w:spacing w:before="0" w:after="0" w:line="240" w:lineRule="atLeast"/>
            </w:pPr>
            <w:r>
              <w:rPr>
                <w:rFonts w:ascii="Arial" w:hAnsi="Arial" w:cs="Arial" w:eastAsia="Arial"/>
                <w:b/>
                <w:bCs/>
                <w:color w:val="FFFFFF"/>
                <w:sz w:val="16"/>
                <w:szCs w:val="16"/>
              </w:rPr>
              <w:t>Contractor</w:t>
            </w:r>
          </w:p>
        </w:tc>
        <w:tc>
          <w:tcPr>
            <w:shd w:val="clear" w:color="auto" w:fill="1F3864"/>
            <w:tcW w:type="dxa" w:w="2445"/>
          </w:tcPr>
          <w:p>
            <w:pPr>
              <w:pStyle w:val="TableContents"/>
              <w:spacing w:before="0" w:after="0" w:line="240" w:lineRule="atLeast"/>
            </w:pPr>
            <w:r>
              <w:rPr>
                <w:rFonts w:ascii="Arial" w:hAnsi="Arial" w:cs="Arial" w:eastAsia="Arial"/>
                <w:b/>
                <w:bCs/>
                <w:color w:val="FFFFFF"/>
                <w:sz w:val="16"/>
                <w:szCs w:val="16"/>
              </w:rPr>
              <w:t>Section</w:t>
            </w:r>
          </w:p>
        </w:tc>
      </w:tr>
      <w:tr>
        <w:tc>
          <w:tcPr>
            <w:gridSpan w:val="4"/>
            <w:tcW w:type="dxa" w:w="9777"/>
          </w:tcPr>
          <w:p>
            <w:pPr>
              <w:pStyle w:val="TableHeading"/>
              <w:spacing w:before="0" w:after="0" w:line="240" w:lineRule="atLeast"/>
            </w:pPr>
            <w:r>
              <w:rPr>
                <w:rFonts w:ascii="Arial" w:hAnsi="Arial" w:cs="Arial" w:eastAsia="Arial"/>
                <w:sz w:val="16"/>
                <w:szCs w:val="16"/>
              </w:rPr>
              <w:t>Project Management</w:t>
            </w:r>
          </w:p>
        </w:tc>
      </w:tr>
      <w:tr>
        <w:tc>
          <w:tcPr>
            <w:tcW w:type="dxa" w:w="2444"/>
          </w:tcPr>
          <w:p>
            <w:pPr>
              <w:pStyle w:val="TableBulletPoints"/>
              <w:spacing w:before="0" w:after="0" w:line="240" w:lineRule="atLeast"/>
            </w:pPr>
            <w:r>
              <w:rPr>
                <w:rFonts w:ascii="Arial" w:hAnsi="Arial" w:cs="Arial" w:eastAsia="Arial"/>
                <w:sz w:val="16"/>
                <w:szCs w:val="16"/>
              </w:rPr>
              <w:t>Holds overall accountability for project compliance with this procedure and approves this procedure and any material amendment.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Accepts residual risk at the highest risk class level and authorises continuation where escalation is required.</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HSE/CSP Management</w:t>
            </w:r>
          </w:p>
        </w:tc>
      </w:tr>
      <w:tr>
        <w:tc>
          <w:tcPr>
            <w:tcW w:type="dxa" w:w="2444"/>
          </w:tcPr>
          <w:p>
            <w:pPr>
              <w:pStyle w:val="TableBulletPoints"/>
              <w:spacing w:before="0" w:after="0" w:line="240" w:lineRule="atLeast"/>
            </w:pPr>
            <w:r>
              <w:rPr>
                <w:rFonts w:ascii="Arial" w:hAnsi="Arial" w:cs="Arial" w:eastAsia="Arial"/>
                <w:sz w:val="16"/>
                <w:szCs w:val="16"/>
              </w:rPr>
              <w:t>Maintains and implements this procedure and confirms all activities meet its requirements before work proceeds.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and approves all required assessments, plans, and registers produced under this procedure.</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performance against this procedure at the agreed project HSESC performance meeting.</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Reviews performance data, identifies trends, and incorporates systemic findings into corrective action programmes.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Frontline Supervision</w:t>
            </w:r>
          </w:p>
        </w:tc>
      </w:tr>
      <w:tr>
        <w:tc>
          <w:tcPr>
            <w:tcW w:type="dxa" w:w="2444"/>
          </w:tcPr>
          <w:p>
            <w:pPr>
              <w:pStyle w:val="TableBulletPoints"/>
              <w:spacing w:before="0" w:after="0" w:line="240" w:lineRule="atLeast"/>
            </w:pPr>
            <w:r>
              <w:rPr>
                <w:rFonts w:ascii="Arial" w:hAnsi="Arial" w:cs="Arial" w:eastAsia="Arial"/>
                <w:sz w:val="16"/>
                <w:szCs w:val="16"/>
              </w:rPr>
              <w:t>Ensures work crew compliance with this procedure before and during all relevant task executions.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Stops work when the requirements of this procedure cannot be met and notifies the HSESC Manager.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Confirms all personnel under their supervision are trained and competent before commencing relevant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r>
        <w:tc>
          <w:tcPr>
            <w:gridSpan w:val="4"/>
            <w:tcW w:type="dxa" w:w="9777"/>
          </w:tcPr>
          <w:p>
            <w:pPr>
              <w:pStyle w:val="TableHeading"/>
              <w:spacing w:before="0" w:after="0" w:line="240" w:lineRule="atLeast"/>
            </w:pPr>
            <w:r>
              <w:rPr>
                <w:rFonts w:ascii="Arial" w:hAnsi="Arial" w:cs="Arial" w:eastAsia="Arial"/>
                <w:sz w:val="16"/>
                <w:szCs w:val="16"/>
              </w:rPr>
              <w:t>All Project Personnel / Workers</w:t>
            </w:r>
          </w:p>
        </w:tc>
      </w:tr>
      <w:tr>
        <w:tc>
          <w:tcPr>
            <w:tcW w:type="dxa" w:w="2444"/>
          </w:tcPr>
          <w:p>
            <w:pPr>
              <w:pStyle w:val="TableBulletPoints"/>
              <w:spacing w:before="0" w:after="0" w:line="240" w:lineRule="atLeast"/>
            </w:pPr>
            <w:r>
              <w:rPr>
                <w:rFonts w:ascii="Arial" w:hAnsi="Arial" w:cs="Arial" w:eastAsia="Arial"/>
                <w:sz w:val="16"/>
                <w:szCs w:val="16"/>
              </w:rPr>
              <w:t>Complies with the requirements of this procedure in all relevant work activities.</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tcW w:type="dxa" w:w="2444"/>
          </w:tcPr>
          <w:p>
            <w:pPr>
              <w:pStyle w:val="TableBulletPoints"/>
              <w:spacing w:before="0" w:after="0" w:line="240" w:lineRule="atLeast"/>
            </w:pPr>
            <w:r>
              <w:rPr>
                <w:rFonts w:ascii="Arial" w:hAnsi="Arial" w:cs="Arial" w:eastAsia="Arial"/>
                <w:sz w:val="16"/>
                <w:szCs w:val="16"/>
              </w:rPr>
              <w:t>Reports any non-compliance with this procedure immediately to their supervisor.</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4"/>
          </w:tcPr>
          <w:p>
            <w:pPr>
              <w:pStyle w:val="TableContents"/>
              <w:spacing w:before="0" w:after="0" w:line="240" w:lineRule="atLeast"/>
            </w:pPr>
            <w:r>
              <w:rPr>
                <w:rFonts w:ascii="Arial" w:hAnsi="Arial" w:cs="Arial" w:eastAsia="Arial"/>
                <w:b/>
                <w:bCs/>
                <w:sz w:val="16"/>
                <w:szCs w:val="16"/>
              </w:rPr>
              <w:t>✓</w:t>
            </w:r>
          </w:p>
        </w:tc>
        <w:tc>
          <w:tcPr>
            <w:tcW w:type="dxa" w:w="2445"/>
          </w:tcPr>
          <w:p>
            <w:pPr>
              <w:pStyle w:val="TableContents"/>
              <w:spacing w:before="0" w:after="0" w:line="240" w:lineRule="atLeast"/>
            </w:pPr>
          </w:p>
        </w:tc>
      </w:tr>
      <w:tr>
        <w:tc>
          <w:tcPr>
            <w:gridSpan w:val="4"/>
            <w:tcW w:type="dxa" w:w="9777"/>
          </w:tcPr>
          <w:p>
            <w:pPr>
              <w:pStyle w:val="TableContents"/>
              <w:spacing w:before="0" w:after="0" w:line="240" w:lineRule="atLeast"/>
            </w:pPr>
            <w:r>
              <w:rPr>
                <w:rFonts w:ascii="Arial" w:hAnsi="Arial" w:cs="Arial" w:eastAsia="Arial"/>
                <w:b/>
                <w:bCs/>
                <w:color w:val="0059D1"/>
                <w:sz w:val="16"/>
                <w:szCs w:val="16"/>
              </w:rPr>
              <w:t>[INSERT: add further responsibilities as required]</w:t>
            </w:r>
          </w:p>
        </w:tc>
      </w:tr>
    </w:tbl>
    <w:p>
      <w:pPr>
        <w:pStyle w:val="NormalNumberedtext"/>
      </w:pPr>
    </w:p>
    <w:p>
      <w:pPr>
        <w:pStyle w:val="Heading1Numbered"/>
        <w:numPr>
          <w:ilvl w:val="0"/>
          <w:numId w:val="1"/>
        </w:numPr>
      </w:pPr>
      <w:r>
        <w:rPr>
          <w:rFonts w:ascii="Arial" w:hAnsi="Arial" w:cs="Arial" w:eastAsia="Arial"/>
        </w:rPr>
        <w:t>Purpose and Scope</w:t>
      </w:r>
    </w:p>
    <w:p>
      <w:pPr>
        <w:pStyle w:val="NormalNumberedtext"/>
      </w:pPr>
      <w:r>
        <w:t>This section defines the purpose of this procedure, the security management domains within scope, and the relationship between this procedure and the project HSESC management system.</w:t>
      </w:r>
    </w:p>
    <w:p>
      <w:pPr>
        <w:pStyle w:val="NormalNumberedtext"/>
      </w:pPr>
    </w:p>
    <w:p>
      <w:pPr>
        <w:pStyle w:val="Heading2Numbered"/>
        <w:numPr>
          <w:ilvl w:val="1"/>
          <w:numId w:val="1"/>
        </w:numPr>
      </w:pPr>
      <w:r>
        <w:rPr>
          <w:rFonts w:ascii="Arial" w:hAnsi="Arial" w:cs="Arial" w:eastAsia="Arial"/>
        </w:rPr>
        <w:t>Purpose of This Document</w:t>
      </w:r>
    </w:p>
    <w:p>
      <w:pPr>
        <w:pStyle w:val="NormalNumberedtext"/>
      </w:pPr>
      <w:r>
        <w:t>This section states the purpose of this procedure and the security requirements it establishes for the project from Execution through to Handover.</w:t>
      </w:r>
    </w:p>
    <w:p>
      <w:pPr>
        <w:pStyle w:val="NormalNumberedtext"/>
      </w:pPr>
      <w:r>
        <w:t>This procedure meets the following purpose requirements:</w:t>
      </w:r>
    </w:p>
    <w:p>
      <w:pPr>
        <w:pStyle w:val="NormalNumberedtext"/>
      </w:pPr>
      <w:r>
        <w:t>This procedure establishes security management requirements for the project, covering:</w:t>
      </w:r>
    </w:p>
    <w:p>
      <w:pPr>
        <w:pStyle w:val="NumberedBulletL1"/>
      </w:pPr>
      <w:r>
        <w:t>The conduct and documentation of the project security risk assessment.</w:t>
      </w:r>
    </w:p>
    <w:p>
      <w:pPr>
        <w:pStyle w:val="NumberedBulletL1"/>
      </w:pPr>
      <w:r>
        <w:t>The development, submission, and maintenance of the Site Security Management Plan.</w:t>
      </w:r>
    </w:p>
    <w:p>
      <w:pPr>
        <w:pStyle w:val="NumberedBulletL1"/>
      </w:pPr>
      <w:r>
        <w:t>The qualification and oversight of security suppliers and armed personnel.</w:t>
      </w:r>
    </w:p>
    <w:p>
      <w:pPr>
        <w:pStyle w:val="NumberedBulletL1"/>
      </w:pPr>
      <w:r>
        <w:t>The training obligations for all security personnel.</w:t>
      </w:r>
    </w:p>
    <w:p>
      <w:pPr>
        <w:pStyle w:val="NumberedBulletL1"/>
      </w:pPr>
      <w:r>
        <w:t>The recording, reporting, and investigation of security incidents.</w:t>
      </w:r>
    </w:p>
    <w:p>
      <w:pPr>
        <w:pStyle w:val="NormalNumberedtext"/>
      </w:pPr>
      <w:r>
        <w:t>This procedure operationalises Rio Tinto Group security requirements and applicable IFC Performance Standards into a documented, project-specific process. It applies to all Rio Tinto project personnel and all contractor organisations engaged on the project.</w:t>
      </w:r>
    </w:p>
    <w:p>
      <w:pPr>
        <w:pStyle w:val="NormalNumberedtext"/>
      </w:pPr>
    </w:p>
    <w:p>
      <w:pPr>
        <w:pStyle w:val="Heading2Numbered"/>
        <w:numPr>
          <w:ilvl w:val="1"/>
          <w:numId w:val="1"/>
        </w:numPr>
      </w:pPr>
      <w:r>
        <w:rPr>
          <w:rFonts w:ascii="Arial" w:hAnsi="Arial" w:cs="Arial" w:eastAsia="Arial"/>
        </w:rPr>
        <w:t>Scope of This Document</w:t>
      </w:r>
    </w:p>
    <w:p>
      <w:pPr>
        <w:pStyle w:val="NormalNumberedtext"/>
      </w:pPr>
      <w:r>
        <w:t>This section defines which security management activities and lifecycle phases are governed by this document and how this procedure connects to the wider HSESC system.</w:t>
      </w:r>
    </w:p>
    <w:p>
      <w:pPr>
        <w:pStyle w:val="NormalNumberedtext"/>
      </w:pPr>
      <w:r>
        <w:t>This procedure applies the following scope requirements:</w:t>
      </w:r>
    </w:p>
    <w:p>
      <w:pPr>
        <w:pStyle w:val="NormalNumberedtext"/>
      </w:pPr>
      <w:r>
        <w:t>This procedure governs security management activities across the following project phases and domains:</w:t>
      </w:r>
    </w:p>
    <w:p>
      <w:pPr>
        <w:pStyle w:val="NumberedBulletL1"/>
      </w:pPr>
      <w:r>
        <w:t>Execution, commissioning, and handover phases of the project.</w:t>
      </w:r>
    </w:p>
    <w:p>
      <w:pPr>
        <w:pStyle w:val="NumberedBulletL1"/>
      </w:pPr>
      <w:r>
        <w:t>All work locations, transportation routes, key subcontractors, and supply chain nodes associated with the project.</w:t>
      </w:r>
    </w:p>
    <w:p>
      <w:pPr>
        <w:pStyle w:val="NumberedBulletL1"/>
      </w:pPr>
      <w:r>
        <w:t>All security personnel, whether engaged directly by Rio Tinto or through a contractor organisation.</w:t>
      </w:r>
    </w:p>
    <w:p>
      <w:pPr>
        <w:pStyle w:val="NumberedBulletL1"/>
      </w:pPr>
      <w:r>
        <w:t>Community interface risks arising from security operations conducted on or near the project site.</w:t>
      </w:r>
    </w:p>
    <w:p>
      <w:pPr>
        <w:pStyle w:val="NormalNumberedtext"/>
      </w:pPr>
      <w:r>
        <w:t>Security risk is managed as part of the project risk register in accordance with [INSERT: Project Document Number]. Security incidents are reported and investigated in accordance with [INSERT: Project Document Number]. Security events that escalate to emergency scenarios are managed in accordance with [INSERT: Project Document Number]. Security awareness training is governed by [INSERT: Project Document Number]. Security alerts issued as project communications are managed in accordance with [INSERT: Project Document Number].</w:t>
      </w:r>
    </w:p>
    <w:p>
      <w:pPr>
        <w:pStyle w:val="NormalNumberedtext"/>
      </w:pPr>
    </w:p>
    <w:p>
      <w:pPr>
        <w:pStyle w:val="Heading1Numbered"/>
        <w:numPr>
          <w:ilvl w:val="0"/>
          <w:numId w:val="1"/>
        </w:numPr>
      </w:pPr>
      <w:r>
        <w:rPr>
          <w:rFonts w:ascii="Arial" w:hAnsi="Arial" w:cs="Arial" w:eastAsia="Arial"/>
        </w:rPr>
        <w:t>Roles and Responsibilities</w:t>
      </w:r>
    </w:p>
    <w:p>
      <w:pPr>
        <w:pStyle w:val="NormalNumberedtext"/>
      </w:pPr>
      <w:r>
        <w:t>This section defines security management responsibilities for all project roles, covering the Rio Tinto project team and all contractor organisations engaged on the project.</w:t>
      </w:r>
    </w:p>
    <w:p>
      <w:pPr>
        <w:pStyle w:val="NormalNumberedtext"/>
      </w:pPr>
      <w:r>
        <w:t>The following table defines the primary security management responsibilities assigned to each project role. All responsibilities apply from the commencement of site activities through to project handover.</w:t>
      </w:r>
    </w:p>
    <w:p>
      <w:pPr>
        <w:pStyle w:val="NormalNumberedtext"/>
      </w:pPr>
      <w:r>
        <w:t>Table 1: Security Management Roles and Responsibilities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Role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Responsibility</w:t>
            </w:r>
          </w:p>
        </w:tc>
      </w:tr>
      <w:tr>
        <w:tc>
          <w:tcPr>
            <w:tcW w:type="dxa" w:w="4888"/>
          </w:tcPr>
          <w:p>
            <w:pPr>
              <w:pStyle w:val="TableContents"/>
              <w:spacing w:before="0" w:after="0" w:line="240" w:lineRule="atLeast"/>
            </w:pPr>
            <w:r>
              <w:rPr>
                <w:rFonts w:ascii="Arial" w:hAnsi="Arial" w:cs="Arial" w:eastAsia="Arial"/>
                <w:sz w:val="16"/>
                <w:szCs w:val="16"/>
              </w:rPr>
              <w:t>Project Director</w:t>
            </w:r>
          </w:p>
        </w:tc>
        <w:tc>
          <w:tcPr>
            <w:tcW w:type="dxa" w:w="4889"/>
          </w:tcPr>
          <w:p>
            <w:pPr>
              <w:pStyle w:val="TableContents"/>
              <w:spacing w:before="0" w:after="0" w:line="240" w:lineRule="atLeast"/>
            </w:pPr>
            <w:r>
              <w:rPr>
                <w:rFonts w:ascii="Arial" w:hAnsi="Arial" w:cs="Arial" w:eastAsia="Arial"/>
                <w:sz w:val="16"/>
                <w:szCs w:val="16"/>
              </w:rPr>
              <w:t>Approves the Site Security Management Plan. Provides written approval before any armed security personnel are deployed. Escalates significant security events to the RT Group Security function.</w:t>
            </w:r>
          </w:p>
        </w:tc>
      </w:tr>
      <w:tr>
        <w:tc>
          <w:tcPr>
            <w:tcW w:type="dxa" w:w="4888"/>
          </w:tcPr>
          <w:p>
            <w:pPr>
              <w:pStyle w:val="TableContents"/>
              <w:spacing w:before="0" w:after="0" w:line="240" w:lineRule="atLeast"/>
            </w:pPr>
            <w:r>
              <w:rPr>
                <w:rFonts w:ascii="Arial" w:hAnsi="Arial" w:cs="Arial" w:eastAsia="Arial"/>
                <w:sz w:val="16"/>
                <w:szCs w:val="16"/>
              </w:rPr>
              <w:t>HSESC Manager</w:t>
            </w:r>
          </w:p>
        </w:tc>
        <w:tc>
          <w:tcPr>
            <w:tcW w:type="dxa" w:w="4889"/>
          </w:tcPr>
          <w:p>
            <w:pPr>
              <w:pStyle w:val="TableContents"/>
              <w:spacing w:before="0" w:after="0" w:line="240" w:lineRule="atLeast"/>
            </w:pPr>
            <w:r>
              <w:rPr>
                <w:rFonts w:ascii="Arial" w:hAnsi="Arial" w:cs="Arial" w:eastAsia="Arial"/>
                <w:sz w:val="16"/>
                <w:szCs w:val="16"/>
              </w:rPr>
              <w:t>Oversees the preparation and revalidation of the security risk assessment. Reviews the Site Security Management Plan before submission to the project owner. Monitors security supplier qualification status.</w:t>
            </w:r>
          </w:p>
        </w:tc>
      </w:tr>
      <w:tr>
        <w:tc>
          <w:tcPr>
            <w:tcW w:type="dxa" w:w="4888"/>
          </w:tcPr>
          <w:p>
            <w:pPr>
              <w:pStyle w:val="TableContents"/>
              <w:spacing w:before="0" w:after="0" w:line="240" w:lineRule="atLeast"/>
            </w:pPr>
            <w:r>
              <w:rPr>
                <w:rFonts w:ascii="Arial" w:hAnsi="Arial" w:cs="Arial" w:eastAsia="Arial"/>
                <w:b/>
                <w:bCs/>
                <w:color w:val="0059D1"/>
                <w:sz w:val="16"/>
                <w:szCs w:val="16"/>
              </w:rPr>
              <w:t>[INSERT: Site Security Champion name and position]</w:t>
            </w:r>
          </w:p>
        </w:tc>
        <w:tc>
          <w:tcPr>
            <w:tcW w:type="dxa" w:w="4889"/>
          </w:tcPr>
          <w:p>
            <w:pPr>
              <w:pStyle w:val="TableContents"/>
              <w:spacing w:before="0" w:after="0" w:line="240" w:lineRule="atLeast"/>
            </w:pPr>
            <w:r>
              <w:rPr>
                <w:rFonts w:ascii="Arial" w:hAnsi="Arial" w:cs="Arial" w:eastAsia="Arial"/>
                <w:b/>
                <w:bCs/>
                <w:color w:val="0059D1"/>
                <w:sz w:val="16"/>
                <w:szCs w:val="16"/>
              </w:rPr>
              <w:t>[INSERT: Define escalation responsibilities and contact details for the Site Security Champion, including the escalation pathway to the RT Group Security function.]</w:t>
            </w:r>
          </w:p>
        </w:tc>
      </w:tr>
      <w:tr>
        <w:tc>
          <w:tcPr>
            <w:tcW w:type="dxa" w:w="4888"/>
          </w:tcPr>
          <w:p>
            <w:pPr>
              <w:pStyle w:val="TableContents"/>
              <w:spacing w:before="0" w:after="0" w:line="240" w:lineRule="atLeast"/>
            </w:pPr>
            <w:r>
              <w:rPr>
                <w:rFonts w:ascii="Arial" w:hAnsi="Arial" w:cs="Arial" w:eastAsia="Arial"/>
                <w:sz w:val="16"/>
                <w:szCs w:val="16"/>
              </w:rPr>
              <w:t>Project Manager</w:t>
            </w:r>
          </w:p>
        </w:tc>
        <w:tc>
          <w:tcPr>
            <w:tcW w:type="dxa" w:w="4889"/>
          </w:tcPr>
          <w:p>
            <w:pPr>
              <w:pStyle w:val="TableContents"/>
              <w:spacing w:before="0" w:after="0" w:line="240" w:lineRule="atLeast"/>
            </w:pPr>
            <w:r>
              <w:rPr>
                <w:rFonts w:ascii="Arial" w:hAnsi="Arial" w:cs="Arial" w:eastAsia="Arial"/>
                <w:sz w:val="16"/>
                <w:szCs w:val="16"/>
              </w:rPr>
              <w:t>Ensures security risk assessment outputs are incorporated into the project risk register. Confirms security training obligations are met before personnel are mobilised to site.</w:t>
            </w:r>
          </w:p>
        </w:tc>
      </w:tr>
      <w:tr>
        <w:tc>
          <w:tcPr>
            <w:tcW w:type="dxa" w:w="4888"/>
          </w:tcPr>
          <w:p>
            <w:pPr>
              <w:pStyle w:val="TableContents"/>
              <w:spacing w:before="0" w:after="0" w:line="240" w:lineRule="atLeast"/>
            </w:pPr>
            <w:r>
              <w:rPr>
                <w:rFonts w:ascii="Arial" w:hAnsi="Arial" w:cs="Arial" w:eastAsia="Arial"/>
                <w:sz w:val="16"/>
                <w:szCs w:val="16"/>
              </w:rPr>
              <w:t>Security Supplier Representative</w:t>
            </w:r>
          </w:p>
        </w:tc>
        <w:tc>
          <w:tcPr>
            <w:tcW w:type="dxa" w:w="4889"/>
          </w:tcPr>
          <w:p>
            <w:pPr>
              <w:pStyle w:val="TableContents"/>
              <w:spacing w:before="0" w:after="0" w:line="240" w:lineRule="atLeast"/>
            </w:pPr>
            <w:r>
              <w:rPr>
                <w:rFonts w:ascii="Arial" w:hAnsi="Arial" w:cs="Arial" w:eastAsia="Arial"/>
                <w:sz w:val="16"/>
                <w:szCs w:val="16"/>
              </w:rPr>
              <w:t>Implements the Site Security Management Plan at the workface. Ensures all security personnel hold the required training, licences, and qualifications before commencing duties. Reports all security incidents to the HSESC Manager.</w:t>
            </w:r>
          </w:p>
        </w:tc>
      </w:tr>
      <w:tr>
        <w:tc>
          <w:tcPr>
            <w:tcW w:type="dxa" w:w="4888"/>
          </w:tcPr>
          <w:p>
            <w:pPr>
              <w:pStyle w:val="TableContents"/>
              <w:spacing w:before="0" w:after="0" w:line="240" w:lineRule="atLeast"/>
            </w:pPr>
            <w:r>
              <w:rPr>
                <w:rFonts w:ascii="Arial" w:hAnsi="Arial" w:cs="Arial" w:eastAsia="Arial"/>
                <w:sz w:val="16"/>
                <w:szCs w:val="16"/>
              </w:rPr>
              <w:t>All Personnel</w:t>
            </w:r>
          </w:p>
        </w:tc>
        <w:tc>
          <w:tcPr>
            <w:tcW w:type="dxa" w:w="4889"/>
          </w:tcPr>
          <w:p>
            <w:pPr>
              <w:pStyle w:val="TableContents"/>
              <w:spacing w:before="0" w:after="0" w:line="240" w:lineRule="atLeast"/>
            </w:pPr>
            <w:r>
              <w:rPr>
                <w:rFonts w:ascii="Arial" w:hAnsi="Arial" w:cs="Arial" w:eastAsia="Arial"/>
                <w:sz w:val="16"/>
                <w:szCs w:val="16"/>
              </w:rPr>
              <w:t>Report security incidents and concerns to the Site Security Champion or HSESC Manager. Comply with site security protocols as defined in the Site Security Management Plan.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FF2CC"/>
            <w:tcW w:type="dxa" w:w="9777"/>
          </w:tcPr>
          <w:p>
            <w:pPr>
              <w:pStyle w:val="Instructions"/>
              <w:spacing w:before="0" w:after="0" w:line="240" w:lineRule="atLeast"/>
            </w:pPr>
            <w:r>
              <w:rPr>
                <w:rFonts w:ascii="Arial" w:hAnsi="Arial" w:cs="Arial" w:eastAsia="Arial"/>
                <w:b/>
                <w:bCs/>
                <w:color w:val="C55A11"/>
                <w:sz w:val="16"/>
                <w:szCs w:val="16"/>
              </w:rPr>
              <w:t>PROJECT COMPLETION REQUIRED - Identify the Site Security Champion for this project by name and position. Insert contact details in the table above and define the escalation process to the RT Group Security function in the row provided.</w:t>
            </w:r>
          </w:p>
        </w:tc>
      </w:tr>
    </w:tbl>
    <w:p>
      <w:pPr>
        <w:pStyle w:val="NormalNumberedtext"/>
      </w:pPr>
    </w:p>
    <w:p>
      <w:pPr>
        <w:pStyle w:val="Heading1Numbered"/>
        <w:numPr>
          <w:ilvl w:val="0"/>
          <w:numId w:val="1"/>
        </w:numPr>
      </w:pPr>
      <w:r>
        <w:rPr>
          <w:rFonts w:ascii="Arial" w:hAnsi="Arial" w:cs="Arial" w:eastAsia="Arial"/>
        </w:rPr>
        <w:t>Security Risk Assessment</w:t>
      </w:r>
    </w:p>
    <w:p>
      <w:pPr>
        <w:pStyle w:val="NormalNumberedtext"/>
      </w:pPr>
      <w:r>
        <w:t>This section defines the requirements for conducting, documenting, and maintaining the project security risk assessment across all work locations and project interfaces.</w:t>
      </w:r>
    </w:p>
    <w:p>
      <w:pPr>
        <w:pStyle w:val="NormalNumberedtext"/>
      </w:pPr>
    </w:p>
    <w:p>
      <w:pPr>
        <w:pStyle w:val="Heading2Numbered"/>
        <w:numPr>
          <w:ilvl w:val="1"/>
          <w:numId w:val="1"/>
        </w:numPr>
      </w:pPr>
      <w:r>
        <w:rPr>
          <w:rFonts w:ascii="Arial" w:hAnsi="Arial" w:cs="Arial" w:eastAsia="Arial"/>
        </w:rPr>
        <w:t>Assessment Scope and Conduct</w:t>
      </w:r>
    </w:p>
    <w:p>
      <w:pPr>
        <w:pStyle w:val="NormalNumberedtext"/>
      </w:pPr>
      <w:r>
        <w:t>This section defines the scope, participation requirements, and submission obligations for the project security risk assessment.</w:t>
      </w:r>
    </w:p>
    <w:p>
      <w:pPr>
        <w:pStyle w:val="NormalNumberedtext"/>
      </w:pPr>
      <w:r>
        <w:t>The HSESC Manager ensures a comprehensive security risk assessment is completed for the project. The assessment covers all work locations, transportation routes, key subcontractors, and supply chain nodes associated with the project.</w:t>
      </w:r>
    </w:p>
    <w:p>
      <w:pPr>
        <w:pStyle w:val="NormalNumberedtext"/>
      </w:pPr>
      <w:r>
        <w:t>The security risk assessment must address the following as a minimum:</w:t>
      </w:r>
    </w:p>
    <w:p>
      <w:pPr>
        <w:pStyle w:val="NumberedBulletL1"/>
      </w:pPr>
      <w:r>
        <w:t>Physical security threats to personnel, assets, and infrastructure at all project work locations.</w:t>
      </w:r>
    </w:p>
    <w:p>
      <w:pPr>
        <w:pStyle w:val="NumberedBulletL1"/>
      </w:pPr>
      <w:r>
        <w:t>Security risks associated with transportation routes and logistics movements.</w:t>
      </w:r>
    </w:p>
    <w:p>
      <w:pPr>
        <w:pStyle w:val="NumberedBulletL1"/>
      </w:pPr>
      <w:r>
        <w:t>Security risks arising from key subcontractors and supply chain nodes.</w:t>
      </w:r>
    </w:p>
    <w:p>
      <w:pPr>
        <w:pStyle w:val="NumberedBulletL1"/>
      </w:pPr>
      <w:r>
        <w:t>Community interface risks and potential human rights issues, consistent with the Voluntary Principles on Security and Human Rights.</w:t>
      </w:r>
    </w:p>
    <w:p>
      <w:pPr>
        <w:pStyle w:val="NumberedBulletL1"/>
      </w:pPr>
      <w:r>
        <w:t>The risk of communities being adversely affected by security operations conducted on or near the project site.</w:t>
      </w:r>
    </w:p>
    <w:p>
      <w:pPr>
        <w:pStyle w:val="NumberedBulletL1"/>
      </w:pPr>
      <w:r>
        <w:t>The site security risk classification determined in consultation with the RT Group Security Standard, and any additional requirements applicable to that classification.</w:t>
      </w:r>
    </w:p>
    <w:p>
      <w:pPr>
        <w:pStyle w:val="NormalNumberedtext"/>
      </w:pPr>
      <w:r>
        <w:t>The security risk assessment is conducted with multi-disciplinary participation. The HSESC Manager confirms that representatives from the Community and Social Performance function, the project owner, and any relevant CSP representatives participate in the assessment process.</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REQUIRED - Complete the security risk assessment for this project and insert or reference the completed assessment below. The completed assessment must be submitted to the project owner within 90 days of the Effective Date.</w:t>
            </w:r>
          </w:p>
        </w:tc>
      </w:tr>
    </w:tbl>
    <w:p>
      <w:pPr>
        <w:pStyle w:val="NormalNumberedtext"/>
      </w:pPr>
    </w:p>
    <w:p>
      <w:pPr>
        <w:pStyle w:val="NormalNumberedtext"/>
      </w:pPr>
      <w:r>
        <w:rPr>
          <w:b/>
          <w:bCs/>
          <w:color w:val="0059D1"/>
        </w:rPr>
        <w:t>[INSERT: security_risk_assessment_reference] — Insert the document reference or location of the completed project security risk assessment, or confirm the submission date and document number once complete.</w:t>
      </w:r>
    </w:p>
    <w:p>
      <w:pPr>
        <w:pStyle w:val="NormalNumberedtext"/>
      </w:pPr>
    </w:p>
    <w:p>
      <w:pPr>
        <w:pStyle w:val="Heading2Numbered"/>
        <w:numPr>
          <w:ilvl w:val="1"/>
          <w:numId w:val="1"/>
        </w:numPr>
      </w:pPr>
      <w:r>
        <w:rPr>
          <w:rFonts w:ascii="Arial" w:hAnsi="Arial" w:cs="Arial" w:eastAsia="Arial"/>
        </w:rPr>
        <w:t>Documentation and Registration</w:t>
      </w:r>
    </w:p>
    <w:p>
      <w:pPr>
        <w:pStyle w:val="NormalNumberedtext"/>
      </w:pPr>
      <w:r>
        <w:t>This section defines how security risk assessment outputs are documented, registered, and submitted to the project owner.</w:t>
      </w:r>
    </w:p>
    <w:p>
      <w:pPr>
        <w:pStyle w:val="NormalNumberedtext"/>
      </w:pPr>
      <w:r>
        <w:t>The HSESC Manager documents the security risk assessment outcomes and registers them in the project risk register in accordance with [INSERT: Project Document Number]. The completed assessment is submitted to the project owner within 90 days of the Effective Date of the contract or project authorisation.</w:t>
      </w:r>
    </w:p>
    <w:p>
      <w:pPr>
        <w:pStyle w:val="NormalNumberedtext"/>
      </w:pPr>
      <w:r>
        <w:t>The HSESC Manager consults the RT Group Security Standard to confirm the site security risk classification and any additional requirements applicable to that classification before finalising the assessment.</w:t>
      </w:r>
    </w:p>
    <w:p>
      <w:pPr>
        <w:pStyle w:val="NormalNumberedtext"/>
      </w:pPr>
    </w:p>
    <w:p>
      <w:pPr>
        <w:pStyle w:val="Heading2Numbered"/>
        <w:numPr>
          <w:ilvl w:val="1"/>
          <w:numId w:val="1"/>
        </w:numPr>
      </w:pPr>
      <w:r>
        <w:rPr>
          <w:rFonts w:ascii="Arial" w:hAnsi="Arial" w:cs="Arial" w:eastAsia="Arial"/>
        </w:rPr>
        <w:t>Revalidation and Reassessment</w:t>
      </w:r>
    </w:p>
    <w:p>
      <w:pPr>
        <w:pStyle w:val="NormalNumberedtext"/>
      </w:pPr>
      <w:r>
        <w:t>This section defines the conditions and frequency for revalidation and reassessment of the security risk assessment.</w:t>
      </w:r>
    </w:p>
    <w:p>
      <w:pPr>
        <w:pStyle w:val="NormalNumberedtext"/>
      </w:pPr>
      <w:r>
        <w:t>The HSESC Manager revalidates the security risk assessment on an annual basis. A reassessment is also triggered by the following events:</w:t>
      </w:r>
    </w:p>
    <w:p>
      <w:pPr>
        <w:pStyle w:val="NormalNumberedtext"/>
      </w:pPr>
      <w:r>
        <w:t>A security risk reassessment is initiated when any of the following occur:</w:t>
      </w:r>
    </w:p>
    <w:p>
      <w:pPr>
        <w:pStyle w:val="NumberedBulletL1"/>
      </w:pPr>
      <w:r>
        <w:t>A significant security incident affecting the project or a comparable project in the region.</w:t>
      </w:r>
    </w:p>
    <w:p>
      <w:pPr>
        <w:pStyle w:val="NumberedBulletL1"/>
      </w:pPr>
      <w:r>
        <w:t>A material change to the project scope, work locations, or transportation routes.</w:t>
      </w:r>
    </w:p>
    <w:p>
      <w:pPr>
        <w:pStyle w:val="NumberedBulletL1"/>
      </w:pPr>
      <w:r>
        <w:t>A change in the local security environment, including political, civil, or social instability.</w:t>
      </w:r>
    </w:p>
    <w:p>
      <w:pPr>
        <w:pStyle w:val="NumberedBulletL1"/>
      </w:pPr>
      <w:r>
        <w:t>A change in the security supplier or the nature of security services provided.</w:t>
      </w:r>
    </w:p>
    <w:p>
      <w:pPr>
        <w:pStyle w:val="NumberedBulletL1"/>
      </w:pPr>
      <w:r>
        <w:rPr>
          <w:color w:val="C55A11"/>
        </w:rPr>
        <w:t>A regulatory or legal change affecting security operations in the project jurisdiction.</w:t>
      </w:r>
    </w:p>
    <w:p>
      <w:pPr>
        <w:pStyle w:val="NormalNumberedtext"/>
      </w:pPr>
      <w:r>
        <w:t>The reassessment process follows the same scope, participation, and documentation requirements defined in Section 3.1. The updated assessment is submitted to the project owner within the timeframe agreed with the project owner upon trigger identification.</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REQUIRED - Define the project-specific community engagement considerations that affect the security approach, including the presence of community members near site, local political context, and heritage site proximity. Insert these details in the field below to ensure the security risk assessment reflects the project's operating environment.</w:t>
            </w:r>
          </w:p>
        </w:tc>
      </w:tr>
    </w:tbl>
    <w:p>
      <w:pPr>
        <w:pStyle w:val="NormalNumberedtext"/>
      </w:pPr>
    </w:p>
    <w:p>
      <w:pPr>
        <w:pStyle w:val="NormalNumberedtext"/>
      </w:pPr>
      <w:r>
        <w:rPr>
          <w:b/>
          <w:bCs/>
          <w:color w:val="0059D1"/>
        </w:rPr>
        <w:t>[INSERT: community_security_context] — Describe project-specific community interface factors relevant to the security approach, such as community presence near site, local political context, and heritage or cultural site proximity.</w:t>
      </w:r>
    </w:p>
    <w:p>
      <w:pPr>
        <w:pStyle w:val="NormalNumberedtext"/>
      </w:pPr>
    </w:p>
    <w:p>
      <w:pPr>
        <w:pStyle w:val="Heading1Numbered"/>
        <w:numPr>
          <w:ilvl w:val="0"/>
          <w:numId w:val="1"/>
        </w:numPr>
      </w:pPr>
      <w:r>
        <w:rPr>
          <w:rFonts w:ascii="Arial" w:hAnsi="Arial" w:cs="Arial" w:eastAsia="Arial"/>
        </w:rPr>
        <w:t>Site Security Management Plan</w:t>
      </w:r>
    </w:p>
    <w:p>
      <w:pPr>
        <w:pStyle w:val="NormalNumberedtext"/>
      </w:pPr>
      <w:r>
        <w:t>This section defines the requirements for developing, submitting, and maintaining the Site Security Management Plan based on security risk assessment outcomes.</w:t>
      </w:r>
    </w:p>
    <w:p>
      <w:pPr>
        <w:pStyle w:val="NormalNumberedtext"/>
      </w:pPr>
    </w:p>
    <w:p>
      <w:pPr>
        <w:pStyle w:val="Heading2Numbered"/>
        <w:numPr>
          <w:ilvl w:val="1"/>
          <w:numId w:val="1"/>
        </w:numPr>
      </w:pPr>
      <w:r>
        <w:rPr>
          <w:rFonts w:ascii="Arial" w:hAnsi="Arial" w:cs="Arial" w:eastAsia="Arial"/>
        </w:rPr>
        <w:t>Plan Development and Content</w:t>
      </w:r>
    </w:p>
    <w:p>
      <w:pPr>
        <w:pStyle w:val="NormalNumberedtext"/>
      </w:pPr>
      <w:r>
        <w:t>This section defines the minimum content requirements for the Site Security Management Plan and the basis on which it is developed.</w:t>
      </w:r>
    </w:p>
    <w:p>
      <w:pPr>
        <w:pStyle w:val="NormalNumberedtext"/>
      </w:pPr>
      <w:r>
        <w:t>The HSESC Manager oversees the development of the Site Security Management Plan. The plan is based on the outcomes of the security risk assessment and is specific to this project. The plan must not be a generic document reproduced from another project.</w:t>
      </w:r>
    </w:p>
    <w:p>
      <w:pPr>
        <w:pStyle w:val="NormalNumberedtext"/>
      </w:pPr>
      <w:r>
        <w:t>The Site Security Management Plan must include as a minimum:</w:t>
      </w:r>
    </w:p>
    <w:p>
      <w:pPr>
        <w:pStyle w:val="NumberedBulletL1"/>
      </w:pPr>
      <w:r>
        <w:t>The security risks identified in the security risk assessment and the controls assigned to address each risk.</w:t>
      </w:r>
    </w:p>
    <w:p>
      <w:pPr>
        <w:pStyle w:val="NumberedBulletL1"/>
      </w:pPr>
      <w:r>
        <w:t>The control owner responsible for implementing and maintaining each control.</w:t>
      </w:r>
    </w:p>
    <w:p>
      <w:pPr>
        <w:pStyle w:val="NumberedBulletL1"/>
      </w:pPr>
      <w:r>
        <w:t>The process for monitoring control effectiveness and implementing continuous improvement.</w:t>
      </w:r>
    </w:p>
    <w:p>
      <w:pPr>
        <w:pStyle w:val="NumberedBulletL1"/>
      </w:pPr>
      <w:r>
        <w:t>The security training requirements for all security personnel, including human rights and emergency response.</w:t>
      </w:r>
    </w:p>
    <w:p>
      <w:pPr>
        <w:pStyle w:val="NumberedBulletL1"/>
      </w:pPr>
      <w:r>
        <w:t>The protocols for managing community interactions involving security personnel.</w:t>
      </w:r>
    </w:p>
    <w:p>
      <w:pPr>
        <w:pStyle w:val="NumberedBulletL1"/>
      </w:pPr>
      <w:r>
        <w:t>The process for recording, reporting, and investigating security incidents, consistent with [INSERT: Project Document Number].</w:t>
      </w:r>
    </w:p>
    <w:p>
      <w:pPr>
        <w:pStyle w:val="NumberedBulletL1"/>
      </w:pPr>
      <w:r>
        <w:rPr>
          <w:color w:val="C55A11"/>
        </w:rPr>
        <w:t>Site access control procedures, including visitor management and vehicle inspection protocols.</w:t>
      </w:r>
    </w:p>
    <w:p>
      <w:pPr>
        <w:pStyle w:val="NumberedBulletL1"/>
      </w:pPr>
      <w:r>
        <w:rPr>
          <w:color w:val="C55A11"/>
        </w:rPr>
        <w:t>The escalation pathway for security events, including contact details for the RT Group Security function.</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REQUIRED - Develop the Site Security Management Plan for this project and insert or reference it as Appendix A. The procedure defines the minimum SMP content - the project team develops the plan. The completed SMP must be submitted to the project owner 60 days before commencement of work.</w:t>
            </w:r>
          </w:p>
        </w:tc>
      </w:tr>
    </w:tbl>
    <w:p>
      <w:pPr>
        <w:pStyle w:val="NormalNumberedtext"/>
      </w:pPr>
    </w:p>
    <w:p>
      <w:pPr>
        <w:pStyle w:val="NormalNumberedtext"/>
      </w:pPr>
      <w:r>
        <w:rPr>
          <w:b/>
          <w:bCs/>
          <w:color w:val="0059D1"/>
        </w:rPr>
        <w:t>[INSERT: smp_appendix_reference] — Insert the reference to the completed Site Security Management Plan as Appendix A, or confirm the document number and planned submission date.</w:t>
      </w:r>
    </w:p>
    <w:p>
      <w:pPr>
        <w:pStyle w:val="NormalNumberedtext"/>
      </w:pPr>
    </w:p>
    <w:p>
      <w:pPr>
        <w:pStyle w:val="Heading2Numbered"/>
        <w:numPr>
          <w:ilvl w:val="1"/>
          <w:numId w:val="1"/>
        </w:numPr>
      </w:pPr>
      <w:r>
        <w:rPr>
          <w:rFonts w:ascii="Arial" w:hAnsi="Arial" w:cs="Arial" w:eastAsia="Arial"/>
        </w:rPr>
        <w:t>Submission and Revalidation</w:t>
      </w:r>
    </w:p>
    <w:p>
      <w:pPr>
        <w:pStyle w:val="NormalNumberedtext"/>
      </w:pPr>
      <w:r>
        <w:t>This section defines the submission timeline and annual revalidation obligations for the Site Security Management Plan.</w:t>
      </w:r>
    </w:p>
    <w:p>
      <w:pPr>
        <w:pStyle w:val="NormalNumberedtext"/>
      </w:pPr>
      <w:r>
        <w:t>The HSESC Manager submits the completed Site Security Management Plan to the project owner no later than 60 days before commencement of site work. The project owner reviews and provides written acknowledgement of the submitted plan before site work commences.</w:t>
      </w:r>
    </w:p>
    <w:p>
      <w:pPr>
        <w:pStyle w:val="NormalNumberedtext"/>
      </w:pPr>
      <w:r>
        <w:t>The HSESC Manager revalidates the Site Security Management Plan on an annual basis. Revalidation confirms that identified risks, assigned controls, and control owners remain current. The revalidated plan is resubmitted to the project owner and stored in</w:t>
      </w:r>
    </w:p>
    <w:p>
      <w:pPr>
        <w:pStyle w:val="NormalNumberedtext"/>
      </w:pPr>
      <w:r>
        <w:rPr>
          <w:b/>
          <w:bCs/>
          <w:color w:val="0059D1"/>
        </w:rPr>
        <w:t>[INSERT: document_management_system] — Insert the name and location of the project document management system where the SMP and revalidation records are stored.</w:t>
      </w:r>
    </w:p>
    <w:p>
      <w:pPr>
        <w:pStyle w:val="NormalNumberedtext"/>
      </w:pPr>
    </w:p>
    <w:p>
      <w:pPr>
        <w:pStyle w:val="Heading1Numbered"/>
        <w:numPr>
          <w:ilvl w:val="0"/>
          <w:numId w:val="1"/>
        </w:numPr>
      </w:pPr>
      <w:r>
        <w:rPr>
          <w:rFonts w:ascii="Arial" w:hAnsi="Arial" w:cs="Arial" w:eastAsia="Arial"/>
        </w:rPr>
        <w:t>Security Suppliers and Armed Personnel</w:t>
      </w:r>
    </w:p>
    <w:p>
      <w:pPr>
        <w:pStyle w:val="NormalNumberedtext"/>
      </w:pPr>
      <w:r>
        <w:t>This section defines the qualification requirements for security suppliers and the approval process for the deployment of armed security personnel on the project.</w:t>
      </w:r>
    </w:p>
    <w:p>
      <w:pPr>
        <w:pStyle w:val="NormalNumberedtext"/>
      </w:pPr>
    </w:p>
    <w:p>
      <w:pPr>
        <w:pStyle w:val="Heading2Numbered"/>
        <w:numPr>
          <w:ilvl w:val="1"/>
          <w:numId w:val="1"/>
        </w:numPr>
      </w:pPr>
      <w:r>
        <w:rPr>
          <w:rFonts w:ascii="Arial" w:hAnsi="Arial" w:cs="Arial" w:eastAsia="Arial"/>
        </w:rPr>
        <w:t>Security Supplier Qualification</w:t>
      </w:r>
    </w:p>
    <w:p>
      <w:pPr>
        <w:pStyle w:val="NormalNumberedtext"/>
      </w:pPr>
      <w:r>
        <w:t>This section defines the legal, licensing, and training requirements that security suppliers must satisfy before engagement commences.</w:t>
      </w:r>
    </w:p>
    <w:p>
      <w:pPr>
        <w:pStyle w:val="NormalNumberedtext"/>
      </w:pPr>
      <w:r>
        <w:t>The HSESC Manager confirms that any security supplier engaged on the project is legally authorised to provide security services in the project jurisdiction before engagement commences. Evidence of legal authorisation is documented and retained in the project management system.</w:t>
      </w:r>
    </w:p>
    <w:p>
      <w:pPr>
        <w:pStyle w:val="NormalNumberedtext"/>
      </w:pPr>
      <w:r>
        <w:t>All security suppliers must satisfy the following requirements before commencing work on the project:</w:t>
      </w:r>
    </w:p>
    <w:p>
      <w:pPr>
        <w:pStyle w:val="NumberedBulletL1"/>
      </w:pPr>
      <w:r>
        <w:t>Hold a current licence or registration to provide security services in the jurisdiction, as required by applicable law.</w:t>
      </w:r>
    </w:p>
    <w:p>
      <w:pPr>
        <w:pStyle w:val="NumberedBulletL1"/>
      </w:pPr>
      <w:r>
        <w:t>Ensure all security personnel hold the individual licences and qualifications required by law for the services they provide.</w:t>
      </w:r>
    </w:p>
    <w:p>
      <w:pPr>
        <w:pStyle w:val="NumberedBulletL1"/>
      </w:pPr>
      <w:r>
        <w:t>Demonstrate that all security personnel have completed mandatory training on Security and Human Rights in accordance with the Voluntary Principles on Security and Human Rights.</w:t>
      </w:r>
    </w:p>
    <w:p>
      <w:pPr>
        <w:pStyle w:val="NumberedBulletL1"/>
      </w:pPr>
      <w:r>
        <w:t>Provide evidence of training records to the HSESC Manager before personnel are deployed to the project.</w:t>
      </w:r>
    </w:p>
    <w:p>
      <w:pPr>
        <w:pStyle w:val="NumberedBulletL1"/>
      </w:pPr>
      <w:r>
        <w:rPr>
          <w:color w:val="C55A11"/>
        </w:rPr>
        <w:t>Participate in a pre-mobilisation qualification review conducted by the HSESC Manager before the first personnel are deployed to site.</w:t>
      </w:r>
    </w:p>
    <w:p>
      <w:pPr>
        <w:pStyle w:val="NormalNumberedtext"/>
      </w:pPr>
    </w:p>
    <w:tbl>
      <w:tblPr>
        <w:tblStyle w:val="TableOption1"/>
        <w:tblW w:type="dxa" w:w="9026"/>
        <w:tblInd w:type="dxa" w:w="704"/>
        <w:tblCellMar>
          <w:top w:type="dxa" w:w="36"/>
          <w:bottom w:type="dxa" w:w="36"/>
          <w:left w:type="dxa" w:w="108"/>
          <w:right w:type="dxa" w:w="108"/>
        </w:tblCellMar>
      </w:tblPr>
      <w:tr>
        <w:tc>
          <w:tcPr>
            <w:shd w:val="clear" w:color="auto" w:fill="FFF2CC"/>
            <w:tcW w:type="dxa" w:w="9026"/>
          </w:tcPr>
          <w:p>
            <w:pPr>
              <w:pStyle w:val="Instructions"/>
              <w:spacing w:before="0" w:after="0" w:line="240" w:lineRule="atLeast"/>
            </w:pPr>
            <w:r>
              <w:rPr>
                <w:rFonts w:ascii="Arial" w:hAnsi="Arial" w:cs="Arial" w:eastAsia="Arial"/>
                <w:b/>
                <w:bCs/>
                <w:color w:val="C55A11"/>
                <w:sz w:val="16"/>
                <w:szCs w:val="16"/>
              </w:rPr>
              <w:t>PROJECT COMPLETION REQUIRED - If security personnel (armed or unarmed) are to be engaged, confirm that the approved security supplier meets all requirements in this section before engagement commences. Document the confirmation and retain the evidence in the project management system.</w:t>
            </w:r>
          </w:p>
        </w:tc>
      </w:tr>
    </w:tbl>
    <w:p>
      <w:pPr>
        <w:pStyle w:val="NormalNumberedtext"/>
      </w:pPr>
    </w:p>
    <w:p>
      <w:pPr>
        <w:pStyle w:val="NormalNumberedtext"/>
      </w:pPr>
      <w:r>
        <w:rPr>
          <w:b/>
          <w:bCs/>
          <w:color w:val="0059D1"/>
        </w:rPr>
        <w:t>[INSERT: security_supplier_qualification_confirmation] — Insert the name of the engaged security supplier and confirm the date on which qualification evidence was reviewed and accepted by the HSESC Manager.</w:t>
      </w:r>
    </w:p>
    <w:p>
      <w:pPr>
        <w:pStyle w:val="NormalNumberedtext"/>
      </w:pPr>
    </w:p>
    <w:p>
      <w:pPr>
        <w:pStyle w:val="Heading2Numbered"/>
        <w:numPr>
          <w:ilvl w:val="1"/>
          <w:numId w:val="1"/>
        </w:numPr>
      </w:pPr>
      <w:r>
        <w:rPr>
          <w:rFonts w:ascii="Arial" w:hAnsi="Arial" w:cs="Arial" w:eastAsia="Arial"/>
        </w:rPr>
        <w:t>Armed Personnel Approval</w:t>
      </w:r>
    </w:p>
    <w:p>
      <w:pPr>
        <w:pStyle w:val="NormalNumberedtext"/>
      </w:pPr>
      <w:r>
        <w:t>This section defines the conditions under which armed security personnel may be deployed and the approval process that must be completed before deployment.</w:t>
      </w:r>
    </w:p>
    <w:p>
      <w:pPr>
        <w:pStyle w:val="NormalNumberedtext"/>
      </w:pPr>
      <w:r>
        <w:t>Armed security personnel are engaged only as a last resort, after other risk management measures have been assessed and found insufficient to address the identified security threat. This assessment is documented as part of the security risk assessment and referenced in the approval record.</w:t>
      </w:r>
    </w:p>
    <w:p>
      <w:pPr>
        <w:pStyle w:val="NormalNumberedtext"/>
      </w:pPr>
      <w:r>
        <w:t>The Project Director provides prior written approval before any armed security personnel are deployed on the project. No armed personnel may be deployed without this approval. The approval record documents the following:</w:t>
      </w:r>
    </w:p>
    <w:p>
      <w:pPr>
        <w:pStyle w:val="NormalNumberedtext"/>
      </w:pPr>
      <w:r>
        <w:t>The written approval for armed personnel deployment must document:</w:t>
      </w:r>
    </w:p>
    <w:p>
      <w:pPr>
        <w:pStyle w:val="NumberedBulletL1"/>
      </w:pPr>
      <w:r>
        <w:t>The nature of the threat that requires an armed response, referenced to the security risk assessment.</w:t>
      </w:r>
    </w:p>
    <w:p>
      <w:pPr>
        <w:pStyle w:val="NumberedBulletL1"/>
      </w:pPr>
      <w:r>
        <w:t>Evidence that alternative risk management measures were assessed and found insufficient.</w:t>
      </w:r>
    </w:p>
    <w:p>
      <w:pPr>
        <w:pStyle w:val="NumberedBulletL1"/>
      </w:pPr>
      <w:r>
        <w:t>The controls in place to prevent human rights violations arising from the deployment.</w:t>
      </w:r>
    </w:p>
    <w:p>
      <w:pPr>
        <w:pStyle w:val="NumberedBulletL1"/>
      </w:pPr>
      <w:r>
        <w:t>The specific authority providing approval and the date of approval.</w:t>
      </w:r>
    </w:p>
    <w:p>
      <w:pPr>
        <w:pStyle w:val="NumberedBulletL1"/>
      </w:pPr>
      <w:r>
        <w:t>The conditions under which the deployment will be reviewed, modified, or withdrawn.</w:t>
      </w:r>
    </w:p>
    <w:p>
      <w:pPr>
        <w:pStyle w:val="NumberedBulletL1"/>
      </w:pPr>
      <w:r>
        <w:t>Confirmation that the deployment is consistent with the Voluntary Principles on Security and Human Rights.</w:t>
      </w:r>
    </w:p>
    <w:p>
      <w:pPr>
        <w:pStyle w:val="NormalNumberedtext"/>
      </w:pPr>
      <w:r>
        <w:t>The approval record is retained in the project management system and is available to the project owner on request. The HSESC Manager notifies the RT Group Security function of any armed personnel deployment before personnel commence duties.</w:t>
      </w:r>
    </w:p>
    <w:p>
      <w:pPr>
        <w:pStyle w:val="NormalNumberedtext"/>
      </w:pPr>
      <w:r>
        <w:rPr>
          <w:b/>
          <w:bCs/>
          <w:color w:val="0059D1"/>
        </w:rPr>
        <w:t>[INSERT: armed_personnel_approval_record] — Insert the document reference for the armed personnel approval record, or confirm that no armed personnel will be deployed and that this field is not applicable for this project.</w:t>
      </w:r>
    </w:p>
    <w:p>
      <w:pPr>
        <w:pStyle w:val="NormalNumberedtext"/>
      </w:pPr>
    </w:p>
    <w:p>
      <w:pPr>
        <w:pStyle w:val="Heading1Numbered"/>
        <w:numPr>
          <w:ilvl w:val="0"/>
          <w:numId w:val="1"/>
        </w:numPr>
      </w:pPr>
      <w:r>
        <w:rPr>
          <w:rFonts w:ascii="Arial" w:hAnsi="Arial" w:cs="Arial" w:eastAsia="Arial"/>
        </w:rPr>
        <w:t>Training and Incident Management</w:t>
      </w:r>
    </w:p>
    <w:p>
      <w:pPr>
        <w:pStyle w:val="NormalNumberedtext"/>
      </w:pPr>
      <w:r>
        <w:t>This section defines the training obligations for security personnel and the requirements for recording, reporting, and investigating security incidents on the project.</w:t>
      </w:r>
    </w:p>
    <w:p>
      <w:pPr>
        <w:pStyle w:val="NormalNumberedtext"/>
      </w:pPr>
    </w:p>
    <w:p>
      <w:pPr>
        <w:pStyle w:val="Heading2Numbered"/>
        <w:numPr>
          <w:ilvl w:val="1"/>
          <w:numId w:val="1"/>
        </w:numPr>
      </w:pPr>
      <w:r>
        <w:rPr>
          <w:rFonts w:ascii="Arial" w:hAnsi="Arial" w:cs="Arial" w:eastAsia="Arial"/>
        </w:rPr>
        <w:t>Security Personnel Training</w:t>
      </w:r>
    </w:p>
    <w:p>
      <w:pPr>
        <w:pStyle w:val="NormalNumberedtext"/>
      </w:pPr>
      <w:r>
        <w:t>This section defines mandatory training requirements for all security personnel before deployment and after significant changes to project security risks.</w:t>
      </w:r>
    </w:p>
    <w:p>
      <w:pPr>
        <w:pStyle w:val="NormalNumberedtext"/>
      </w:pPr>
      <w:r>
        <w:t>The security supplier ensures all security personnel are trained in accordance with the Site Security Management Plan before commencing duties on the project. Training records are provided to the HSESC Manager and retained in the project management system. Refer to [INSERT: Project Document Number] for the project training management requirements that govern the recording and verification of security training.</w:t>
      </w:r>
    </w:p>
    <w:p>
      <w:pPr>
        <w:pStyle w:val="NormalNumberedtext"/>
      </w:pPr>
      <w:r>
        <w:t>All security personnel training must cover as a minimum:</w:t>
      </w:r>
    </w:p>
    <w:p>
      <w:pPr>
        <w:pStyle w:val="NumberedBulletL1"/>
      </w:pPr>
      <w:r>
        <w:t>Human rights obligations and ethical conduct in security operations, in accordance with the Voluntary Principles on Security and Human Rights.</w:t>
      </w:r>
    </w:p>
    <w:p>
      <w:pPr>
        <w:pStyle w:val="NumberedBulletL1"/>
      </w:pPr>
      <w:r>
        <w:t>Emergency response protocols applicable to the project site.</w:t>
      </w:r>
    </w:p>
    <w:p>
      <w:pPr>
        <w:pStyle w:val="NumberedBulletL1"/>
      </w:pPr>
      <w:r>
        <w:t>Community interaction protocols as defined in the Site Security Management Plan.</w:t>
      </w:r>
    </w:p>
    <w:p>
      <w:pPr>
        <w:pStyle w:val="NumberedBulletL1"/>
      </w:pPr>
      <w:r>
        <w:t>The security incident reporting and investigation process applicable to the project.</w:t>
      </w:r>
    </w:p>
    <w:p>
      <w:pPr>
        <w:pStyle w:val="NumberedBulletL1"/>
      </w:pPr>
      <w:r>
        <w:rPr>
          <w:color w:val="C55A11"/>
        </w:rPr>
        <w:t>Use of force standards and the legal framework governing security operations in the project jurisdiction.</w:t>
      </w:r>
    </w:p>
    <w:p>
      <w:pPr>
        <w:pStyle w:val="NormalNumberedtext"/>
      </w:pPr>
      <w:r>
        <w:t>The HSESC Manager initiates refresher training for all affected security personnel when a significant change to the project security risk environment occurs. Significant changes include material updates to the security risk assessment, changes in the local security environment, or the introduction of new community interface activities.</w:t>
      </w:r>
    </w:p>
    <w:p>
      <w:pPr>
        <w:pStyle w:val="NormalNumberedtext"/>
      </w:pPr>
      <w:r>
        <w:t>The security risk assessment conducted under Section 3 includes specific consideration of community interfaces and potential human rights issues, with input from the Community and Social Performance function. This input informs the human rights training content delivered to security personnel. The multi-disciplinary stakeholder group assembled for the security risk assessment includes representatives from the Community and Social Performance function, consistent with the participation requirements defined in Section 3.1.</w:t>
      </w:r>
    </w:p>
    <w:p>
      <w:pPr>
        <w:pStyle w:val="NormalNumberedtext"/>
      </w:pPr>
    </w:p>
    <w:p>
      <w:pPr>
        <w:pStyle w:val="Heading2Numbered"/>
        <w:numPr>
          <w:ilvl w:val="1"/>
          <w:numId w:val="1"/>
        </w:numPr>
      </w:pPr>
      <w:r>
        <w:rPr>
          <w:rFonts w:ascii="Arial" w:hAnsi="Arial" w:cs="Arial" w:eastAsia="Arial"/>
        </w:rPr>
        <w:t>Security Incident Management</w:t>
      </w:r>
    </w:p>
    <w:p>
      <w:pPr>
        <w:pStyle w:val="NormalNumberedtext"/>
      </w:pPr>
      <w:r>
        <w:t>This section defines the requirements for recording, reporting, and investigating security incidents and the prohibitions on information-gathering conduct.</w:t>
      </w:r>
    </w:p>
    <w:p>
      <w:pPr>
        <w:pStyle w:val="NormalNumberedtext"/>
      </w:pPr>
      <w:r>
        <w:t>All security incidents are recorded, reported, and investigated per project requirements. Report all incidents and near misses per project requirements, refer [INSERT: Project Document Number]. Security incidents that escalate to emergency scenarios are managed in accordance with [INSERT: Project Document Number].</w:t>
      </w:r>
    </w:p>
    <w:p>
      <w:pPr>
        <w:pStyle w:val="NormalNumberedtext"/>
      </w:pPr>
      <w:r>
        <w:t>The following requirements apply to all security incident management activities on the project:</w:t>
      </w:r>
    </w:p>
    <w:p>
      <w:pPr>
        <w:pStyle w:val="NumberedBulletL1"/>
      </w:pPr>
      <w:r>
        <w:t>All security incidents, including use of force events and community grievances arising from security operations, are recorded in the project incident management system.</w:t>
      </w:r>
    </w:p>
    <w:p>
      <w:pPr>
        <w:pStyle w:val="NumberedBulletL1"/>
      </w:pPr>
      <w:r>
        <w:t>Security incidents are investigated using the process defined in [INSERT: Project Document Number], with findings reported to the HSESC Manager and the project owner.</w:t>
      </w:r>
    </w:p>
    <w:p>
      <w:pPr>
        <w:pStyle w:val="NumberedBulletL1"/>
      </w:pPr>
      <w:r>
        <w:t>Covert or clandestine information-gathering activities are prohibited. All information collection related to project security must be legal, ethical, and consistent with applicable privacy legislation.</w:t>
      </w:r>
    </w:p>
    <w:p>
      <w:pPr>
        <w:pStyle w:val="NumberedBulletL1"/>
      </w:pPr>
      <w:r>
        <w:t>All personnel are entitled to report security concerns without fear of reprisal. Concerns are submitted to the Site Security Champion or HSESC Manager.</w:t>
      </w:r>
    </w:p>
    <w:p>
      <w:pPr>
        <w:pStyle w:val="NormalNumberedtext"/>
      </w:pPr>
      <w:r>
        <w:t>The HSESC Manager reviews security incident trends at</w:t>
      </w:r>
    </w:p>
    <w:p>
      <w:pPr>
        <w:pStyle w:val="NormalNumberedtext"/>
      </w:pPr>
      <w:r>
        <w:rPr>
          <w:b/>
          <w:bCs/>
          <w:color w:val="0059D1"/>
        </w:rPr>
        <w:t>[INSERT: security_incident_review_frequency] — Define the frequency at which security incident trends are reviewed, e.g., monthly project HSESC review meetings.</w:t>
      </w:r>
    </w:p>
    <w:p>
      <w:pPr>
        <w:pStyle w:val="NormalNumberedtext"/>
      </w:pPr>
      <w:r>
        <w:t>Trend review outcomes are used to update the Site Security Management Plan and the project risk register, and to identify whether the security risk assessment requires reassessment under the triggers defined in Section 3.3.</w:t>
      </w:r>
    </w:p>
    <w:p>
      <w:pPr>
        <w:pStyle w:val="NormalNumberedtext"/>
      </w:pPr>
      <w:r>
        <w:t>Table 2: Security Incident Reporting and Escalation Requirements</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Incident Type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Immediate Notification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Formal Report Timeframe</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Investigation Required</w:t>
            </w:r>
          </w:p>
        </w:tc>
      </w:tr>
      <w:tr>
        <w:tc>
          <w:tcPr>
            <w:tcW w:type="dxa" w:w="2256"/>
          </w:tcPr>
          <w:p>
            <w:pPr>
              <w:pStyle w:val="TableContents"/>
              <w:spacing w:before="0" w:after="0" w:line="240" w:lineRule="atLeast"/>
            </w:pPr>
            <w:r>
              <w:rPr>
                <w:rFonts w:ascii="Arial" w:hAnsi="Arial" w:cs="Arial" w:eastAsia="Arial"/>
                <w:sz w:val="16"/>
                <w:szCs w:val="16"/>
              </w:rPr>
              <w:t>Use of force by security personnel</w:t>
            </w:r>
          </w:p>
        </w:tc>
        <w:tc>
          <w:tcPr>
            <w:tcW w:type="dxa" w:w="2256"/>
          </w:tcPr>
          <w:p>
            <w:pPr>
              <w:pStyle w:val="TableContents"/>
              <w:spacing w:before="0" w:after="0" w:line="240" w:lineRule="atLeast"/>
            </w:pPr>
            <w:r>
              <w:rPr>
                <w:rFonts w:ascii="Arial" w:hAnsi="Arial" w:cs="Arial" w:eastAsia="Arial"/>
                <w:sz w:val="16"/>
                <w:szCs w:val="16"/>
              </w:rPr>
              <w:t>Site Security Champion and HSESC Manager</w:t>
            </w:r>
          </w:p>
        </w:tc>
        <w:tc>
          <w:tcPr>
            <w:tcW w:type="dxa" w:w="2256"/>
          </w:tcPr>
          <w:p>
            <w:pPr>
              <w:pStyle w:val="TableContents"/>
              <w:spacing w:before="0" w:after="0" w:line="240" w:lineRule="atLeast"/>
            </w:pPr>
            <w:r>
              <w:rPr>
                <w:rFonts w:ascii="Arial" w:hAnsi="Arial" w:cs="Arial" w:eastAsia="Arial"/>
                <w:sz w:val="16"/>
                <w:szCs w:val="16"/>
              </w:rPr>
              <w:t>Within 24 hours</w:t>
            </w:r>
          </w:p>
        </w:tc>
        <w:tc>
          <w:tcPr>
            <w:tcW w:type="dxa" w:w="2258"/>
          </w:tcPr>
          <w:p>
            <w:pPr>
              <w:pStyle w:val="TableContents"/>
              <w:spacing w:before="0" w:after="0" w:line="240" w:lineRule="atLeast"/>
            </w:pPr>
            <w:r>
              <w:rPr>
                <w:rFonts w:ascii="Arial" w:hAnsi="Arial" w:cs="Arial" w:eastAsia="Arial"/>
                <w:sz w:val="16"/>
                <w:szCs w:val="16"/>
              </w:rPr>
              <w:t xml:space="preserve">Yes - per </w:t>
            </w:r>
            <w:r>
              <w:rPr>
                <w:rFonts w:ascii="Arial" w:hAnsi="Arial" w:cs="Arial" w:eastAsia="Arial"/>
                <w:b/>
                <w:bCs/>
                <w:color w:val="0059D1"/>
                <w:sz w:val="16"/>
                <w:szCs w:val="16"/>
              </w:rPr>
              <w:t>[INSERT: Project Document Number]</w:t>
            </w:r>
          </w:p>
        </w:tc>
      </w:tr>
      <w:tr>
        <w:tc>
          <w:tcPr>
            <w:tcW w:type="dxa" w:w="2256"/>
          </w:tcPr>
          <w:p>
            <w:pPr>
              <w:pStyle w:val="TableContents"/>
              <w:spacing w:before="0" w:after="0" w:line="240" w:lineRule="atLeast"/>
            </w:pPr>
            <w:r>
              <w:rPr>
                <w:rFonts w:ascii="Arial" w:hAnsi="Arial" w:cs="Arial" w:eastAsia="Arial"/>
                <w:sz w:val="16"/>
                <w:szCs w:val="16"/>
              </w:rPr>
              <w:t>Unauthorised site access</w:t>
            </w:r>
          </w:p>
        </w:tc>
        <w:tc>
          <w:tcPr>
            <w:tcW w:type="dxa" w:w="2256"/>
          </w:tcPr>
          <w:p>
            <w:pPr>
              <w:pStyle w:val="TableContents"/>
              <w:spacing w:before="0" w:after="0" w:line="240" w:lineRule="atLeast"/>
            </w:pPr>
            <w:r>
              <w:rPr>
                <w:rFonts w:ascii="Arial" w:hAnsi="Arial" w:cs="Arial" w:eastAsia="Arial"/>
                <w:sz w:val="16"/>
                <w:szCs w:val="16"/>
              </w:rPr>
              <w:t>Site Security Champion</w:t>
            </w:r>
          </w:p>
        </w:tc>
        <w:tc>
          <w:tcPr>
            <w:tcW w:type="dxa" w:w="2256"/>
          </w:tcPr>
          <w:p>
            <w:pPr>
              <w:pStyle w:val="TableContents"/>
              <w:spacing w:before="0" w:after="0" w:line="240" w:lineRule="atLeast"/>
            </w:pPr>
            <w:r>
              <w:rPr>
                <w:rFonts w:ascii="Arial" w:hAnsi="Arial" w:cs="Arial" w:eastAsia="Arial"/>
                <w:sz w:val="16"/>
                <w:szCs w:val="16"/>
              </w:rPr>
              <w:t>Within 48 hours</w:t>
            </w:r>
          </w:p>
        </w:tc>
        <w:tc>
          <w:tcPr>
            <w:tcW w:type="dxa" w:w="2258"/>
          </w:tcPr>
          <w:p>
            <w:pPr>
              <w:pStyle w:val="TableContents"/>
              <w:spacing w:before="0" w:after="0" w:line="240" w:lineRule="atLeast"/>
            </w:pPr>
            <w:r>
              <w:rPr>
                <w:rFonts w:ascii="Arial" w:hAnsi="Arial" w:cs="Arial" w:eastAsia="Arial"/>
                <w:sz w:val="16"/>
                <w:szCs w:val="16"/>
              </w:rPr>
              <w:t>Yes - where controls were breached</w:t>
            </w:r>
          </w:p>
        </w:tc>
      </w:tr>
      <w:tr>
        <w:tc>
          <w:tcPr>
            <w:tcW w:type="dxa" w:w="2256"/>
          </w:tcPr>
          <w:p>
            <w:pPr>
              <w:pStyle w:val="TableContents"/>
              <w:spacing w:before="0" w:after="0" w:line="240" w:lineRule="atLeast"/>
            </w:pPr>
            <w:r>
              <w:rPr>
                <w:rFonts w:ascii="Arial" w:hAnsi="Arial" w:cs="Arial" w:eastAsia="Arial"/>
                <w:sz w:val="16"/>
                <w:szCs w:val="16"/>
              </w:rPr>
              <w:t>Threat to project personnel</w:t>
            </w:r>
          </w:p>
        </w:tc>
        <w:tc>
          <w:tcPr>
            <w:tcW w:type="dxa" w:w="2256"/>
          </w:tcPr>
          <w:p>
            <w:pPr>
              <w:pStyle w:val="TableContents"/>
              <w:spacing w:before="0" w:after="0" w:line="240" w:lineRule="atLeast"/>
            </w:pPr>
            <w:r>
              <w:rPr>
                <w:rFonts w:ascii="Arial" w:hAnsi="Arial" w:cs="Arial" w:eastAsia="Arial"/>
                <w:sz w:val="16"/>
                <w:szCs w:val="16"/>
              </w:rPr>
              <w:t>HSESC Manager and Project Manager</w:t>
            </w:r>
          </w:p>
        </w:tc>
        <w:tc>
          <w:tcPr>
            <w:tcW w:type="dxa" w:w="2256"/>
          </w:tcPr>
          <w:p>
            <w:pPr>
              <w:pStyle w:val="TableContents"/>
              <w:spacing w:before="0" w:after="0" w:line="240" w:lineRule="atLeast"/>
            </w:pPr>
            <w:r>
              <w:rPr>
                <w:rFonts w:ascii="Arial" w:hAnsi="Arial" w:cs="Arial" w:eastAsia="Arial"/>
                <w:sz w:val="16"/>
                <w:szCs w:val="16"/>
              </w:rPr>
              <w:t>Within 24 hours</w:t>
            </w:r>
          </w:p>
        </w:tc>
        <w:tc>
          <w:tcPr>
            <w:tcW w:type="dxa" w:w="2258"/>
          </w:tcPr>
          <w:p>
            <w:pPr>
              <w:pStyle w:val="TableContents"/>
              <w:spacing w:before="0" w:after="0" w:line="240" w:lineRule="atLeast"/>
            </w:pPr>
            <w:r>
              <w:rPr>
                <w:rFonts w:ascii="Arial" w:hAnsi="Arial" w:cs="Arial" w:eastAsia="Arial"/>
                <w:sz w:val="16"/>
                <w:szCs w:val="16"/>
              </w:rPr>
              <w:t xml:space="preserve">Yes - per </w:t>
            </w:r>
            <w:r>
              <w:rPr>
                <w:rFonts w:ascii="Arial" w:hAnsi="Arial" w:cs="Arial" w:eastAsia="Arial"/>
                <w:b/>
                <w:bCs/>
                <w:color w:val="0059D1"/>
                <w:sz w:val="16"/>
                <w:szCs w:val="16"/>
              </w:rPr>
              <w:t>[INSERT: Project Document Number]</w:t>
            </w:r>
          </w:p>
        </w:tc>
      </w:tr>
      <w:tr>
        <w:tc>
          <w:tcPr>
            <w:tcW w:type="dxa" w:w="2256"/>
          </w:tcPr>
          <w:p>
            <w:pPr>
              <w:pStyle w:val="TableContents"/>
              <w:spacing w:before="0" w:after="0" w:line="240" w:lineRule="atLeast"/>
            </w:pPr>
            <w:r>
              <w:rPr>
                <w:rFonts w:ascii="Arial" w:hAnsi="Arial" w:cs="Arial" w:eastAsia="Arial"/>
                <w:sz w:val="16"/>
                <w:szCs w:val="16"/>
              </w:rPr>
              <w:t>Community grievance arising from security operations</w:t>
            </w:r>
          </w:p>
        </w:tc>
        <w:tc>
          <w:tcPr>
            <w:tcW w:type="dxa" w:w="2256"/>
          </w:tcPr>
          <w:p>
            <w:pPr>
              <w:pStyle w:val="TableContents"/>
              <w:spacing w:before="0" w:after="0" w:line="240" w:lineRule="atLeast"/>
            </w:pPr>
            <w:r>
              <w:rPr>
                <w:rFonts w:ascii="Arial" w:hAnsi="Arial" w:cs="Arial" w:eastAsia="Arial"/>
                <w:sz w:val="16"/>
                <w:szCs w:val="16"/>
              </w:rPr>
              <w:t>Site Security Champion and Community and Social Performance representative</w:t>
            </w:r>
          </w:p>
        </w:tc>
        <w:tc>
          <w:tcPr>
            <w:tcW w:type="dxa" w:w="2256"/>
          </w:tcPr>
          <w:p>
            <w:pPr>
              <w:pStyle w:val="TableContents"/>
              <w:spacing w:before="0" w:after="0" w:line="240" w:lineRule="atLeast"/>
            </w:pPr>
            <w:r>
              <w:rPr>
                <w:rFonts w:ascii="Arial" w:hAnsi="Arial" w:cs="Arial" w:eastAsia="Arial"/>
                <w:sz w:val="16"/>
                <w:szCs w:val="16"/>
              </w:rPr>
              <w:t>Within 48 hours</w:t>
            </w:r>
          </w:p>
        </w:tc>
        <w:tc>
          <w:tcPr>
            <w:tcW w:type="dxa" w:w="2258"/>
          </w:tcPr>
          <w:p>
            <w:pPr>
              <w:pStyle w:val="TableContents"/>
              <w:spacing w:before="0" w:after="0" w:line="240" w:lineRule="atLeast"/>
            </w:pPr>
            <w:r>
              <w:rPr>
                <w:rFonts w:ascii="Arial" w:hAnsi="Arial" w:cs="Arial" w:eastAsia="Arial"/>
                <w:sz w:val="16"/>
                <w:szCs w:val="16"/>
              </w:rPr>
              <w:t>Yes - joint HSESC and CSP investigation</w:t>
            </w:r>
          </w:p>
        </w:tc>
      </w:tr>
      <w:tr>
        <w:tc>
          <w:tcPr>
            <w:tcW w:type="dxa" w:w="2256"/>
          </w:tcPr>
          <w:p>
            <w:pPr>
              <w:pStyle w:val="TableContents"/>
              <w:spacing w:before="0" w:after="0" w:line="240" w:lineRule="atLeast"/>
            </w:pPr>
            <w:r>
              <w:rPr>
                <w:rFonts w:ascii="Arial" w:hAnsi="Arial" w:cs="Arial" w:eastAsia="Arial"/>
                <w:b/>
                <w:bCs/>
                <w:color w:val="0059D1"/>
                <w:sz w:val="16"/>
                <w:szCs w:val="16"/>
              </w:rPr>
              <w:t>[INSERT: project-specific incident type]</w:t>
            </w:r>
          </w:p>
        </w:tc>
        <w:tc>
          <w:tcPr>
            <w:tcW w:type="dxa" w:w="2256"/>
          </w:tcPr>
          <w:p>
            <w:pPr>
              <w:pStyle w:val="TableContents"/>
              <w:spacing w:before="0" w:after="0" w:line="240" w:lineRule="atLeast"/>
            </w:pPr>
            <w:r>
              <w:rPr>
                <w:rFonts w:ascii="Arial" w:hAnsi="Arial" w:cs="Arial" w:eastAsia="Arial"/>
                <w:b/>
                <w:bCs/>
                <w:color w:val="0059D1"/>
                <w:sz w:val="16"/>
                <w:szCs w:val="16"/>
              </w:rPr>
              <w:t>[INSERT: notification requirement]</w:t>
            </w:r>
          </w:p>
        </w:tc>
        <w:tc>
          <w:tcPr>
            <w:tcW w:type="dxa" w:w="2256"/>
          </w:tcPr>
          <w:p>
            <w:pPr>
              <w:pStyle w:val="TableContents"/>
              <w:spacing w:before="0" w:after="0" w:line="240" w:lineRule="atLeast"/>
            </w:pPr>
            <w:r>
              <w:rPr>
                <w:rFonts w:ascii="Arial" w:hAnsi="Arial" w:cs="Arial" w:eastAsia="Arial"/>
                <w:b/>
                <w:bCs/>
                <w:color w:val="0059D1"/>
                <w:sz w:val="16"/>
                <w:szCs w:val="16"/>
              </w:rPr>
              <w:t>[INSERT: timeframe]</w:t>
            </w:r>
          </w:p>
        </w:tc>
        <w:tc>
          <w:tcPr>
            <w:tcW w:type="dxa" w:w="2258"/>
          </w:tcPr>
          <w:p>
            <w:pPr>
              <w:pStyle w:val="TableContents"/>
              <w:spacing w:before="0" w:after="0" w:line="240" w:lineRule="atLeast"/>
            </w:pPr>
            <w:r>
              <w:rPr>
                <w:rFonts w:ascii="Arial" w:hAnsi="Arial" w:cs="Arial" w:eastAsia="Arial"/>
                <w:b/>
                <w:bCs/>
                <w:color w:val="0059D1"/>
                <w:sz w:val="16"/>
                <w:szCs w:val="16"/>
              </w:rPr>
              <w:t>[INSERT: investigation requirement]</w:t>
            </w:r>
          </w:p>
        </w:tc>
      </w:tr>
    </w:tbl>
    <w:p>
      <w:pPr>
        <w:pStyle w:val="NormalNumberedtext"/>
      </w:pPr>
    </w:p>
    <w:p>
      <w:pPr>
        <w:pStyle w:val="Heading1Numbered"/>
        <w:numPr>
          <w:ilvl w:val="0"/>
          <w:numId w:val="1"/>
        </w:numPr>
      </w:pPr>
      <w:r>
        <w:rPr>
          <w:rFonts w:ascii="Arial" w:hAnsi="Arial" w:cs="Arial" w:eastAsia="Arial"/>
        </w:rPr>
        <w:t>Definitions and Acronyms</w:t>
      </w:r>
    </w:p>
    <w:p>
      <w:pPr>
        <w:pStyle w:val="NormalNumberedtext"/>
      </w:pPr>
      <w:r>
        <w:t>The following terms are used throughout this procedure. Where a term is also used in other project HSESC procedures, the definition below applies consistently across the system.</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Term</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Definition</w:t>
            </w:r>
          </w:p>
        </w:tc>
      </w:tr>
      <w:tr>
        <w:tc>
          <w:tcPr>
            <w:tcW w:type="dxa" w:w="4888"/>
          </w:tcPr>
          <w:p>
            <w:pPr>
              <w:pStyle w:val="TableContents"/>
              <w:spacing w:before="0" w:after="0" w:line="240" w:lineRule="atLeast"/>
            </w:pPr>
            <w:r>
              <w:rPr>
                <w:rFonts w:ascii="Arial" w:hAnsi="Arial" w:cs="Arial" w:eastAsia="Arial"/>
                <w:sz w:val="16"/>
                <w:szCs w:val="16"/>
              </w:rPr>
              <w:t>HSESC</w:t>
            </w:r>
          </w:p>
        </w:tc>
        <w:tc>
          <w:tcPr>
            <w:tcW w:type="dxa" w:w="4889"/>
          </w:tcPr>
          <w:p>
            <w:pPr>
              <w:pStyle w:val="TableContents"/>
              <w:spacing w:before="0" w:after="0" w:line="240" w:lineRule="atLeast"/>
            </w:pPr>
            <w:r>
              <w:rPr>
                <w:rFonts w:ascii="Arial" w:hAnsi="Arial" w:cs="Arial" w:eastAsia="Arial"/>
                <w:sz w:val="16"/>
                <w:szCs w:val="16"/>
              </w:rPr>
              <w:t>Health, Safety, Environment, Security and Community - the integrated management framework governing all HSESC-related activities on Rio Tinto owner-led projects.</w:t>
            </w:r>
          </w:p>
        </w:tc>
      </w:tr>
      <w:tr>
        <w:tc>
          <w:tcPr>
            <w:tcW w:type="dxa" w:w="4888"/>
          </w:tcPr>
          <w:p>
            <w:pPr>
              <w:pStyle w:val="TableContents"/>
              <w:spacing w:before="0" w:after="0" w:line="240" w:lineRule="atLeast"/>
            </w:pPr>
            <w:r>
              <w:rPr>
                <w:rFonts w:ascii="Arial" w:hAnsi="Arial" w:cs="Arial" w:eastAsia="Arial"/>
                <w:sz w:val="16"/>
                <w:szCs w:val="16"/>
              </w:rPr>
              <w:t>SRA</w:t>
            </w:r>
          </w:p>
        </w:tc>
        <w:tc>
          <w:tcPr>
            <w:tcW w:type="dxa" w:w="4889"/>
          </w:tcPr>
          <w:p>
            <w:pPr>
              <w:pStyle w:val="TableContents"/>
              <w:spacing w:before="0" w:after="0" w:line="240" w:lineRule="atLeast"/>
            </w:pPr>
            <w:r>
              <w:rPr>
                <w:rFonts w:ascii="Arial" w:hAnsi="Arial" w:cs="Arial" w:eastAsia="Arial"/>
                <w:sz w:val="16"/>
                <w:szCs w:val="16"/>
              </w:rPr>
              <w:t>Security Risk Assessment - a structured process to identify, evaluate and treat security threats and vulnerabilities that may affect personnel, assets, information or operations.</w:t>
            </w:r>
          </w:p>
        </w:tc>
      </w:tr>
      <w:tr>
        <w:tc>
          <w:tcPr>
            <w:tcW w:type="dxa" w:w="4888"/>
          </w:tcPr>
          <w:p>
            <w:pPr>
              <w:pStyle w:val="TableContents"/>
              <w:spacing w:before="0" w:after="0" w:line="240" w:lineRule="atLeast"/>
            </w:pPr>
            <w:r>
              <w:rPr>
                <w:rFonts w:ascii="Arial" w:hAnsi="Arial" w:cs="Arial" w:eastAsia="Arial"/>
                <w:sz w:val="16"/>
                <w:szCs w:val="16"/>
              </w:rPr>
              <w:t>SSMP</w:t>
            </w:r>
          </w:p>
        </w:tc>
        <w:tc>
          <w:tcPr>
            <w:tcW w:type="dxa" w:w="4889"/>
          </w:tcPr>
          <w:p>
            <w:pPr>
              <w:pStyle w:val="TableContents"/>
              <w:spacing w:before="0" w:after="0" w:line="240" w:lineRule="atLeast"/>
            </w:pPr>
            <w:r>
              <w:rPr>
                <w:rFonts w:ascii="Arial" w:hAnsi="Arial" w:cs="Arial" w:eastAsia="Arial"/>
                <w:sz w:val="16"/>
                <w:szCs w:val="16"/>
              </w:rPr>
              <w:t>Site Security Management Plan - a site-specific document that defines security controls, procedures, roles and response arrangements for a project site.</w:t>
            </w:r>
          </w:p>
        </w:tc>
      </w:tr>
      <w:tr>
        <w:tc>
          <w:tcPr>
            <w:tcW w:type="dxa" w:w="4888"/>
          </w:tcPr>
          <w:p>
            <w:pPr>
              <w:pStyle w:val="TableContents"/>
              <w:spacing w:before="0" w:after="0" w:line="240" w:lineRule="atLeast"/>
            </w:pPr>
            <w:r>
              <w:rPr>
                <w:rFonts w:ascii="Arial" w:hAnsi="Arial" w:cs="Arial" w:eastAsia="Arial"/>
                <w:sz w:val="16"/>
                <w:szCs w:val="16"/>
              </w:rPr>
              <w:t>RT</w:t>
            </w:r>
          </w:p>
        </w:tc>
        <w:tc>
          <w:tcPr>
            <w:tcW w:type="dxa" w:w="4889"/>
          </w:tcPr>
          <w:p>
            <w:pPr>
              <w:pStyle w:val="TableContents"/>
              <w:spacing w:before="0" w:after="0" w:line="240" w:lineRule="atLeast"/>
            </w:pPr>
            <w:r>
              <w:rPr>
                <w:rFonts w:ascii="Arial" w:hAnsi="Arial" w:cs="Arial" w:eastAsia="Arial"/>
                <w:sz w:val="16"/>
                <w:szCs w:val="16"/>
              </w:rPr>
              <w:t>Rio Tinto - the parent company whose standards, frameworks and policies govern all owner-led project activities.</w:t>
            </w:r>
          </w:p>
        </w:tc>
      </w:tr>
      <w:tr>
        <w:tc>
          <w:tcPr>
            <w:tcW w:type="dxa" w:w="4888"/>
          </w:tcPr>
          <w:p>
            <w:pPr>
              <w:pStyle w:val="TableContents"/>
              <w:spacing w:before="0" w:after="0" w:line="240" w:lineRule="atLeast"/>
            </w:pPr>
            <w:r>
              <w:rPr>
                <w:rFonts w:ascii="Arial" w:hAnsi="Arial" w:cs="Arial" w:eastAsia="Arial"/>
                <w:sz w:val="16"/>
                <w:szCs w:val="16"/>
              </w:rPr>
              <w:t>RTPR</w:t>
            </w:r>
          </w:p>
        </w:tc>
        <w:tc>
          <w:tcPr>
            <w:tcW w:type="dxa" w:w="4889"/>
          </w:tcPr>
          <w:p>
            <w:pPr>
              <w:pStyle w:val="TableContents"/>
              <w:spacing w:before="0" w:after="0" w:line="240" w:lineRule="atLeast"/>
            </w:pPr>
            <w:r>
              <w:rPr>
                <w:rFonts w:ascii="Arial" w:hAnsi="Arial" w:cs="Arial" w:eastAsia="Arial"/>
                <w:sz w:val="16"/>
                <w:szCs w:val="16"/>
              </w:rPr>
              <w:t>Rio Tinto Projects - the project delivery function responsible for managing owner-led capital projects on behalf of Rio Tinto.</w:t>
            </w:r>
          </w:p>
        </w:tc>
      </w:tr>
      <w:tr>
        <w:tc>
          <w:tcPr>
            <w:tcW w:type="dxa" w:w="4888"/>
          </w:tcPr>
          <w:p>
            <w:pPr>
              <w:pStyle w:val="TableContents"/>
              <w:spacing w:before="0" w:after="0" w:line="240" w:lineRule="atLeast"/>
            </w:pPr>
            <w:r>
              <w:rPr>
                <w:rFonts w:ascii="Arial" w:hAnsi="Arial" w:cs="Arial" w:eastAsia="Arial"/>
                <w:sz w:val="16"/>
                <w:szCs w:val="16"/>
              </w:rPr>
              <w:t>HSE</w:t>
            </w:r>
          </w:p>
        </w:tc>
        <w:tc>
          <w:tcPr>
            <w:tcW w:type="dxa" w:w="4889"/>
          </w:tcPr>
          <w:p>
            <w:pPr>
              <w:pStyle w:val="TableContents"/>
              <w:spacing w:before="0" w:after="0" w:line="240" w:lineRule="atLeast"/>
            </w:pPr>
            <w:r>
              <w:rPr>
                <w:rFonts w:ascii="Arial" w:hAnsi="Arial" w:cs="Arial" w:eastAsia="Arial"/>
                <w:sz w:val="16"/>
                <w:szCs w:val="16"/>
              </w:rPr>
              <w:t>Health, Safety and Environment - the discipline encompassing occupational health, safety management and environmental protection on project sites.</w:t>
            </w:r>
          </w:p>
        </w:tc>
      </w:tr>
      <w:tr>
        <w:tc>
          <w:tcPr>
            <w:tcW w:type="dxa" w:w="4888"/>
          </w:tcPr>
          <w:p>
            <w:pPr>
              <w:pStyle w:val="TableContents"/>
              <w:spacing w:before="0" w:after="0" w:line="240" w:lineRule="atLeast"/>
            </w:pPr>
            <w:r>
              <w:rPr>
                <w:rFonts w:ascii="Arial" w:hAnsi="Arial" w:cs="Arial" w:eastAsia="Arial"/>
                <w:sz w:val="16"/>
                <w:szCs w:val="16"/>
              </w:rPr>
              <w:t>PRO</w:t>
            </w:r>
          </w:p>
        </w:tc>
        <w:tc>
          <w:tcPr>
            <w:tcW w:type="dxa" w:w="4889"/>
          </w:tcPr>
          <w:p>
            <w:pPr>
              <w:pStyle w:val="TableContents"/>
              <w:spacing w:before="0" w:after="0" w:line="240" w:lineRule="atLeast"/>
            </w:pPr>
            <w:r>
              <w:rPr>
                <w:rFonts w:ascii="Arial" w:hAnsi="Arial" w:cs="Arial" w:eastAsia="Arial"/>
                <w:sz w:val="16"/>
                <w:szCs w:val="16"/>
              </w:rPr>
              <w:t>Procedure - a controlled document that defines the mandatory steps, responsibilities and requirements for carrying out a specific management activity.</w:t>
            </w:r>
          </w:p>
        </w:tc>
      </w:tr>
      <w:tr>
        <w:tc>
          <w:tcPr>
            <w:tcW w:type="dxa" w:w="4888"/>
          </w:tcPr>
          <w:p>
            <w:pPr>
              <w:pStyle w:val="TableContents"/>
              <w:spacing w:before="0" w:after="0" w:line="240" w:lineRule="atLeast"/>
            </w:pPr>
            <w:r>
              <w:rPr>
                <w:rFonts w:ascii="Arial" w:hAnsi="Arial" w:cs="Arial" w:eastAsia="Arial"/>
                <w:sz w:val="16"/>
                <w:szCs w:val="16"/>
              </w:rPr>
              <w:t>VCA</w:t>
            </w:r>
          </w:p>
        </w:tc>
        <w:tc>
          <w:tcPr>
            <w:tcW w:type="dxa" w:w="4889"/>
          </w:tcPr>
          <w:p>
            <w:pPr>
              <w:pStyle w:val="TableContents"/>
              <w:spacing w:before="0" w:after="0" w:line="240" w:lineRule="atLeast"/>
            </w:pPr>
            <w:r>
              <w:rPr>
                <w:rFonts w:ascii="Arial" w:hAnsi="Arial" w:cs="Arial" w:eastAsia="Arial"/>
                <w:sz w:val="16"/>
                <w:szCs w:val="16"/>
              </w:rPr>
              <w:t>Vulnerability and Criticality Assessment - an analytical technique used within a Security Risk Assessment to determine the susceptibility of assets or operations to security threats.</w:t>
            </w:r>
          </w:p>
        </w:tc>
      </w:tr>
      <w:tr>
        <w:tc>
          <w:tcPr>
            <w:tcW w:type="dxa" w:w="4888"/>
          </w:tcPr>
          <w:p>
            <w:pPr>
              <w:pStyle w:val="TableContents"/>
              <w:spacing w:before="0" w:after="0" w:line="240" w:lineRule="atLeast"/>
            </w:pPr>
            <w:r>
              <w:rPr>
                <w:rFonts w:ascii="Arial" w:hAnsi="Arial" w:cs="Arial" w:eastAsia="Arial"/>
                <w:sz w:val="16"/>
                <w:szCs w:val="16"/>
              </w:rPr>
              <w:t>TRA</w:t>
            </w:r>
          </w:p>
        </w:tc>
        <w:tc>
          <w:tcPr>
            <w:tcW w:type="dxa" w:w="4889"/>
          </w:tcPr>
          <w:p>
            <w:pPr>
              <w:pStyle w:val="TableContents"/>
              <w:spacing w:before="0" w:after="0" w:line="240" w:lineRule="atLeast"/>
            </w:pPr>
            <w:r>
              <w:rPr>
                <w:rFonts w:ascii="Arial" w:hAnsi="Arial" w:cs="Arial" w:eastAsia="Arial"/>
                <w:sz w:val="16"/>
                <w:szCs w:val="16"/>
              </w:rPr>
              <w:t>Threat and Risk Assessment - a component of the Security Risk Assessment process that identifies and evaluates the likelihood and consequence of security-related threats.</w:t>
            </w:r>
          </w:p>
        </w:tc>
      </w:tr>
      <w:tr>
        <w:tc>
          <w:tcPr>
            <w:tcW w:type="dxa" w:w="4888"/>
          </w:tcPr>
          <w:p>
            <w:pPr>
              <w:pStyle w:val="TableContents"/>
              <w:spacing w:before="0" w:after="0" w:line="240" w:lineRule="atLeast"/>
            </w:pPr>
            <w:r>
              <w:rPr>
                <w:rFonts w:ascii="Arial" w:hAnsi="Arial" w:cs="Arial" w:eastAsia="Arial"/>
                <w:sz w:val="16"/>
                <w:szCs w:val="16"/>
              </w:rPr>
              <w:t>PMT</w:t>
            </w:r>
          </w:p>
        </w:tc>
        <w:tc>
          <w:tcPr>
            <w:tcW w:type="dxa" w:w="4889"/>
          </w:tcPr>
          <w:p>
            <w:pPr>
              <w:pStyle w:val="TableContents"/>
              <w:spacing w:before="0" w:after="0" w:line="240" w:lineRule="atLeast"/>
            </w:pPr>
            <w:r>
              <w:rPr>
                <w:rFonts w:ascii="Arial" w:hAnsi="Arial" w:cs="Arial" w:eastAsia="Arial"/>
                <w:sz w:val="16"/>
                <w:szCs w:val="16"/>
              </w:rPr>
              <w:t>Project Management Team - the group of Rio Tinto owner-side personnel responsible for delivering the project, including oversight of security management obligations.</w:t>
            </w:r>
          </w:p>
        </w:tc>
      </w:tr>
      <w:tr>
        <w:tc>
          <w:tcPr>
            <w:tcW w:type="dxa" w:w="4888"/>
          </w:tcPr>
          <w:p>
            <w:pPr>
              <w:pStyle w:val="TableContents"/>
              <w:spacing w:before="0" w:after="0" w:line="240" w:lineRule="atLeast"/>
            </w:pPr>
            <w:r>
              <w:rPr>
                <w:rFonts w:ascii="Arial" w:hAnsi="Arial" w:cs="Arial" w:eastAsia="Arial"/>
                <w:sz w:val="16"/>
                <w:szCs w:val="16"/>
              </w:rPr>
              <w:t>PSO</w:t>
            </w:r>
          </w:p>
        </w:tc>
        <w:tc>
          <w:tcPr>
            <w:tcW w:type="dxa" w:w="4889"/>
          </w:tcPr>
          <w:p>
            <w:pPr>
              <w:pStyle w:val="TableContents"/>
              <w:spacing w:before="0" w:after="0" w:line="240" w:lineRule="atLeast"/>
            </w:pPr>
            <w:r>
              <w:rPr>
                <w:rFonts w:ascii="Arial" w:hAnsi="Arial" w:cs="Arial" w:eastAsia="Arial"/>
                <w:sz w:val="16"/>
                <w:szCs w:val="16"/>
              </w:rPr>
              <w:t>Project Security Officer - the nominated individual within the Project Management Team accountable for implementing and maintaining the Site Security Management Plan.</w:t>
            </w:r>
          </w:p>
        </w:tc>
      </w:tr>
      <w:tr>
        <w:tc>
          <w:tcPr>
            <w:tcW w:type="dxa" w:w="4888"/>
          </w:tcPr>
          <w:p>
            <w:pPr>
              <w:pStyle w:val="TableContents"/>
              <w:spacing w:before="0" w:after="0" w:line="240" w:lineRule="atLeast"/>
            </w:pPr>
            <w:r>
              <w:rPr>
                <w:rFonts w:ascii="Arial" w:hAnsi="Arial" w:cs="Arial" w:eastAsia="Arial"/>
                <w:sz w:val="16"/>
                <w:szCs w:val="16"/>
              </w:rPr>
              <w:t>PSP</w:t>
            </w:r>
          </w:p>
        </w:tc>
        <w:tc>
          <w:tcPr>
            <w:tcW w:type="dxa" w:w="4889"/>
          </w:tcPr>
          <w:p>
            <w:pPr>
              <w:pStyle w:val="TableContents"/>
              <w:spacing w:before="0" w:after="0" w:line="240" w:lineRule="atLeast"/>
            </w:pPr>
            <w:r>
              <w:rPr>
                <w:rFonts w:ascii="Arial" w:hAnsi="Arial" w:cs="Arial" w:eastAsia="Arial"/>
                <w:sz w:val="16"/>
                <w:szCs w:val="16"/>
              </w:rPr>
              <w:t>Private Security Provider - a contracted third-party organisation supplying security services, including guarding and access control, to a project site.</w:t>
            </w:r>
          </w:p>
        </w:tc>
      </w:tr>
      <w:tr>
        <w:tc>
          <w:tcPr>
            <w:tcW w:type="dxa" w:w="4888"/>
          </w:tcPr>
          <w:p>
            <w:pPr>
              <w:pStyle w:val="TableContents"/>
              <w:spacing w:before="0" w:after="0" w:line="240" w:lineRule="atLeast"/>
            </w:pPr>
            <w:r>
              <w:rPr>
                <w:rFonts w:ascii="Arial" w:hAnsi="Arial" w:cs="Arial" w:eastAsia="Arial"/>
                <w:sz w:val="16"/>
                <w:szCs w:val="16"/>
              </w:rPr>
              <w:t>VPs</w:t>
            </w:r>
          </w:p>
        </w:tc>
        <w:tc>
          <w:tcPr>
            <w:tcW w:type="dxa" w:w="4889"/>
          </w:tcPr>
          <w:p>
            <w:pPr>
              <w:pStyle w:val="TableContents"/>
              <w:spacing w:before="0" w:after="0" w:line="240" w:lineRule="atLeast"/>
            </w:pPr>
            <w:r>
              <w:rPr>
                <w:rFonts w:ascii="Arial" w:hAnsi="Arial" w:cs="Arial" w:eastAsia="Arial"/>
                <w:sz w:val="16"/>
                <w:szCs w:val="16"/>
              </w:rPr>
              <w:t>Voluntary Principles - the Voluntary Principles on Security and Human Rights, an international framework guiding the conduct of security operations involving private and public security forces.</w:t>
            </w:r>
          </w:p>
        </w:tc>
      </w:tr>
      <w:tr>
        <w:tc>
          <w:tcPr>
            <w:tcW w:type="dxa" w:w="4888"/>
          </w:tcPr>
          <w:p>
            <w:pPr>
              <w:pStyle w:val="TableContents"/>
              <w:spacing w:before="0" w:after="0" w:line="240" w:lineRule="atLeast"/>
            </w:pPr>
            <w:r>
              <w:rPr>
                <w:rFonts w:ascii="Arial" w:hAnsi="Arial" w:cs="Arial" w:eastAsia="Arial"/>
                <w:sz w:val="16"/>
                <w:szCs w:val="16"/>
              </w:rPr>
              <w:t>VPSHRs</w:t>
            </w:r>
          </w:p>
        </w:tc>
        <w:tc>
          <w:tcPr>
            <w:tcW w:type="dxa" w:w="4889"/>
          </w:tcPr>
          <w:p>
            <w:pPr>
              <w:pStyle w:val="TableContents"/>
              <w:spacing w:before="0" w:after="0" w:line="240" w:lineRule="atLeast"/>
            </w:pPr>
            <w:r>
              <w:rPr>
                <w:rFonts w:ascii="Arial" w:hAnsi="Arial" w:cs="Arial" w:eastAsia="Arial"/>
                <w:sz w:val="16"/>
                <w:szCs w:val="16"/>
              </w:rPr>
              <w:t>Voluntary Principles on Security and Human Rights - a multi-stakeholder initiative that provides guidance to extractive-sector companies on maintaining the safety and security of operations while respecting human rights.</w:t>
            </w:r>
          </w:p>
        </w:tc>
      </w:tr>
      <w:tr>
        <w:tc>
          <w:tcPr>
            <w:tcW w:type="dxa" w:w="4888"/>
          </w:tcPr>
          <w:p>
            <w:pPr>
              <w:pStyle w:val="TableContents"/>
              <w:spacing w:before="0" w:after="0" w:line="240" w:lineRule="atLeast"/>
            </w:pPr>
            <w:r>
              <w:rPr>
                <w:rFonts w:ascii="Arial" w:hAnsi="Arial" w:cs="Arial" w:eastAsia="Arial"/>
                <w:sz w:val="16"/>
                <w:szCs w:val="16"/>
              </w:rPr>
              <w:t>ICoC</w:t>
            </w:r>
          </w:p>
        </w:tc>
        <w:tc>
          <w:tcPr>
            <w:tcW w:type="dxa" w:w="4889"/>
          </w:tcPr>
          <w:p>
            <w:pPr>
              <w:pStyle w:val="TableContents"/>
              <w:spacing w:before="0" w:after="0" w:line="240" w:lineRule="atLeast"/>
            </w:pPr>
            <w:r>
              <w:rPr>
                <w:rFonts w:ascii="Arial" w:hAnsi="Arial" w:cs="Arial" w:eastAsia="Arial"/>
                <w:sz w:val="16"/>
                <w:szCs w:val="16"/>
              </w:rPr>
              <w:t>International Code of Conduct for Private Security Service Providers - a globally recognised standard establishing principles of conduct for private security companies operating in complex environments.</w:t>
            </w:r>
          </w:p>
        </w:tc>
      </w:tr>
      <w:tr>
        <w:tc>
          <w:tcPr>
            <w:tcW w:type="dxa" w:w="4888"/>
          </w:tcPr>
          <w:p>
            <w:pPr>
              <w:pStyle w:val="TableContents"/>
              <w:spacing w:before="0" w:after="0" w:line="240" w:lineRule="atLeast"/>
            </w:pPr>
            <w:r>
              <w:rPr>
                <w:rFonts w:ascii="Arial" w:hAnsi="Arial" w:cs="Arial" w:eastAsia="Arial"/>
                <w:sz w:val="16"/>
                <w:szCs w:val="16"/>
              </w:rPr>
              <w:t>PSA</w:t>
            </w:r>
          </w:p>
        </w:tc>
        <w:tc>
          <w:tcPr>
            <w:tcW w:type="dxa" w:w="4889"/>
          </w:tcPr>
          <w:p>
            <w:pPr>
              <w:pStyle w:val="TableContents"/>
              <w:spacing w:before="0" w:after="0" w:line="240" w:lineRule="atLeast"/>
            </w:pPr>
            <w:r>
              <w:rPr>
                <w:rFonts w:ascii="Arial" w:hAnsi="Arial" w:cs="Arial" w:eastAsia="Arial"/>
                <w:sz w:val="16"/>
                <w:szCs w:val="16"/>
              </w:rPr>
              <w:t>Private Security Agreement - the contractual instrument governing the engagement, conduct and performance standards of a Private Security Provider on a project site.</w:t>
            </w:r>
          </w:p>
        </w:tc>
      </w:tr>
      <w:tr>
        <w:tc>
          <w:tcPr>
            <w:tcW w:type="dxa" w:w="4888"/>
          </w:tcPr>
          <w:p>
            <w:pPr>
              <w:pStyle w:val="TableContents"/>
              <w:spacing w:before="0" w:after="0" w:line="240" w:lineRule="atLeast"/>
            </w:pPr>
            <w:r>
              <w:rPr>
                <w:rFonts w:ascii="Arial" w:hAnsi="Arial" w:cs="Arial" w:eastAsia="Arial"/>
                <w:sz w:val="16"/>
                <w:szCs w:val="16"/>
              </w:rPr>
              <w:t>SOP</w:t>
            </w:r>
          </w:p>
        </w:tc>
        <w:tc>
          <w:tcPr>
            <w:tcW w:type="dxa" w:w="4889"/>
          </w:tcPr>
          <w:p>
            <w:pPr>
              <w:pStyle w:val="TableContents"/>
              <w:spacing w:before="0" w:after="0" w:line="240" w:lineRule="atLeast"/>
            </w:pPr>
            <w:r>
              <w:rPr>
                <w:rFonts w:ascii="Arial" w:hAnsi="Arial" w:cs="Arial" w:eastAsia="Arial"/>
                <w:sz w:val="16"/>
                <w:szCs w:val="16"/>
              </w:rPr>
              <w:t>Standard Operating Procedure - a documented set of step-by-step instructions used by security personnel to carry out routine and emergency security tasks.</w:t>
            </w:r>
          </w:p>
        </w:tc>
      </w:tr>
      <w:tr>
        <w:tc>
          <w:tcPr>
            <w:tcW w:type="dxa" w:w="4888"/>
          </w:tcPr>
          <w:p>
            <w:pPr>
              <w:pStyle w:val="TableContents"/>
              <w:spacing w:before="0" w:after="0" w:line="240" w:lineRule="atLeast"/>
            </w:pPr>
            <w:r>
              <w:rPr>
                <w:rFonts w:ascii="Arial" w:hAnsi="Arial" w:cs="Arial" w:eastAsia="Arial"/>
                <w:sz w:val="16"/>
                <w:szCs w:val="16"/>
              </w:rPr>
              <w:t>ROE</w:t>
            </w:r>
          </w:p>
        </w:tc>
        <w:tc>
          <w:tcPr>
            <w:tcW w:type="dxa" w:w="4889"/>
          </w:tcPr>
          <w:p>
            <w:pPr>
              <w:pStyle w:val="TableContents"/>
              <w:spacing w:before="0" w:after="0" w:line="240" w:lineRule="atLeast"/>
            </w:pPr>
            <w:r>
              <w:rPr>
                <w:rFonts w:ascii="Arial" w:hAnsi="Arial" w:cs="Arial" w:eastAsia="Arial"/>
                <w:sz w:val="16"/>
                <w:szCs w:val="16"/>
              </w:rPr>
              <w:t>Rules of Engagement - clearly defined directives that specify the circumstances and limitations under which security personnel may use force or take other security actions.</w:t>
            </w:r>
          </w:p>
        </w:tc>
      </w:tr>
      <w:tr>
        <w:tc>
          <w:tcPr>
            <w:tcW w:type="dxa" w:w="4888"/>
          </w:tcPr>
          <w:p>
            <w:pPr>
              <w:pStyle w:val="TableContents"/>
              <w:spacing w:before="0" w:after="0" w:line="240" w:lineRule="atLeast"/>
            </w:pPr>
            <w:r>
              <w:rPr>
                <w:rFonts w:ascii="Arial" w:hAnsi="Arial" w:cs="Arial" w:eastAsia="Arial"/>
                <w:sz w:val="16"/>
                <w:szCs w:val="16"/>
              </w:rPr>
              <w:t>UoF</w:t>
            </w:r>
          </w:p>
        </w:tc>
        <w:tc>
          <w:tcPr>
            <w:tcW w:type="dxa" w:w="4889"/>
          </w:tcPr>
          <w:p>
            <w:pPr>
              <w:pStyle w:val="TableContents"/>
              <w:spacing w:before="0" w:after="0" w:line="240" w:lineRule="atLeast"/>
            </w:pPr>
            <w:r>
              <w:rPr>
                <w:rFonts w:ascii="Arial" w:hAnsi="Arial" w:cs="Arial" w:eastAsia="Arial"/>
                <w:sz w:val="16"/>
                <w:szCs w:val="16"/>
              </w:rPr>
              <w:t>Use of Force - the application of physical or coercive measures by security personnel, subject to the Rules of Engagement, legal requirements and human rights obligations.</w:t>
            </w:r>
          </w:p>
        </w:tc>
      </w:tr>
      <w:tr>
        <w:tc>
          <w:tcPr>
            <w:tcW w:type="dxa" w:w="4888"/>
          </w:tcPr>
          <w:p>
            <w:pPr>
              <w:pStyle w:val="TableContents"/>
              <w:spacing w:before="0" w:after="0" w:line="240" w:lineRule="atLeast"/>
            </w:pPr>
            <w:r>
              <w:rPr>
                <w:rFonts w:ascii="Arial" w:hAnsi="Arial" w:cs="Arial" w:eastAsia="Arial"/>
                <w:sz w:val="16"/>
                <w:szCs w:val="16"/>
              </w:rPr>
              <w:t>CCTV</w:t>
            </w:r>
          </w:p>
        </w:tc>
        <w:tc>
          <w:tcPr>
            <w:tcW w:type="dxa" w:w="4889"/>
          </w:tcPr>
          <w:p>
            <w:pPr>
              <w:pStyle w:val="TableContents"/>
              <w:spacing w:before="0" w:after="0" w:line="240" w:lineRule="atLeast"/>
            </w:pPr>
            <w:r>
              <w:rPr>
                <w:rFonts w:ascii="Arial" w:hAnsi="Arial" w:cs="Arial" w:eastAsia="Arial"/>
                <w:sz w:val="16"/>
                <w:szCs w:val="16"/>
              </w:rPr>
              <w:t>Closed-Circuit Television - a video surveillance system used as a physical security control to monitor and record activity in and around project site areas.</w:t>
            </w:r>
          </w:p>
        </w:tc>
      </w:tr>
      <w:tr>
        <w:tc>
          <w:tcPr>
            <w:tcW w:type="dxa" w:w="4888"/>
          </w:tcPr>
          <w:p>
            <w:pPr>
              <w:pStyle w:val="TableContents"/>
              <w:spacing w:before="0" w:after="0" w:line="240" w:lineRule="atLeast"/>
            </w:pPr>
            <w:r>
              <w:rPr>
                <w:rFonts w:ascii="Arial" w:hAnsi="Arial" w:cs="Arial" w:eastAsia="Arial"/>
                <w:sz w:val="16"/>
                <w:szCs w:val="16"/>
              </w:rPr>
              <w:t>ACP</w:t>
            </w:r>
          </w:p>
        </w:tc>
        <w:tc>
          <w:tcPr>
            <w:tcW w:type="dxa" w:w="4889"/>
          </w:tcPr>
          <w:p>
            <w:pPr>
              <w:pStyle w:val="TableContents"/>
              <w:spacing w:before="0" w:after="0" w:line="240" w:lineRule="atLeast"/>
            </w:pPr>
            <w:r>
              <w:rPr>
                <w:rFonts w:ascii="Arial" w:hAnsi="Arial" w:cs="Arial" w:eastAsia="Arial"/>
                <w:sz w:val="16"/>
                <w:szCs w:val="16"/>
              </w:rPr>
              <w:t>Access Control Point - a designated location on a project site where the entry and exit of personnel and vehicles is monitored, screened and controlled.</w:t>
            </w:r>
          </w:p>
        </w:tc>
      </w:tr>
      <w:tr>
        <w:tc>
          <w:tcPr>
            <w:tcW w:type="dxa" w:w="4888"/>
          </w:tcPr>
          <w:p>
            <w:pPr>
              <w:pStyle w:val="TableContents"/>
              <w:spacing w:before="0" w:after="0" w:line="240" w:lineRule="atLeast"/>
            </w:pPr>
            <w:r>
              <w:rPr>
                <w:rFonts w:ascii="Arial" w:hAnsi="Arial" w:cs="Arial" w:eastAsia="Arial"/>
                <w:sz w:val="16"/>
                <w:szCs w:val="16"/>
              </w:rPr>
              <w:t>KPI</w:t>
            </w:r>
          </w:p>
        </w:tc>
        <w:tc>
          <w:tcPr>
            <w:tcW w:type="dxa" w:w="4889"/>
          </w:tcPr>
          <w:p>
            <w:pPr>
              <w:pStyle w:val="TableContents"/>
              <w:spacing w:before="0" w:after="0" w:line="240" w:lineRule="atLeast"/>
            </w:pPr>
            <w:r>
              <w:rPr>
                <w:rFonts w:ascii="Arial" w:hAnsi="Arial" w:cs="Arial" w:eastAsia="Arial"/>
                <w:sz w:val="16"/>
                <w:szCs w:val="16"/>
              </w:rPr>
              <w:t>Key Performance Indicator - a quantifiable measure used to evaluate the effectiveness and performance of security management activities against defined targets.</w:t>
            </w:r>
          </w:p>
        </w:tc>
      </w:tr>
      <w:tr>
        <w:tc>
          <w:tcPr>
            <w:tcW w:type="dxa" w:w="4888"/>
          </w:tcPr>
          <w:p>
            <w:pPr>
              <w:pStyle w:val="TableContents"/>
              <w:spacing w:before="0" w:after="0" w:line="240" w:lineRule="atLeast"/>
            </w:pPr>
            <w:r>
              <w:rPr>
                <w:rFonts w:ascii="Arial" w:hAnsi="Arial" w:cs="Arial" w:eastAsia="Arial"/>
                <w:sz w:val="16"/>
                <w:szCs w:val="16"/>
              </w:rPr>
              <w:t>BCP</w:t>
            </w:r>
          </w:p>
        </w:tc>
        <w:tc>
          <w:tcPr>
            <w:tcW w:type="dxa" w:w="4889"/>
          </w:tcPr>
          <w:p>
            <w:pPr>
              <w:pStyle w:val="TableContents"/>
              <w:spacing w:before="0" w:after="0" w:line="240" w:lineRule="atLeast"/>
            </w:pPr>
            <w:r>
              <w:rPr>
                <w:rFonts w:ascii="Arial" w:hAnsi="Arial" w:cs="Arial" w:eastAsia="Arial"/>
                <w:sz w:val="16"/>
                <w:szCs w:val="16"/>
              </w:rPr>
              <w:t>Business Continuity Plan - a plan that outlines procedures and resources required to ensure the continuity of critical project operations following a disruptive security event.</w:t>
            </w:r>
          </w:p>
        </w:tc>
      </w:tr>
      <w:tr>
        <w:tc>
          <w:tcPr>
            <w:tcW w:type="dxa" w:w="4888"/>
          </w:tcPr>
          <w:p>
            <w:pPr>
              <w:pStyle w:val="TableContents"/>
              <w:spacing w:before="0" w:after="0" w:line="240" w:lineRule="atLeast"/>
            </w:pPr>
            <w:r>
              <w:rPr>
                <w:rFonts w:ascii="Arial" w:hAnsi="Arial" w:cs="Arial" w:eastAsia="Arial"/>
                <w:sz w:val="16"/>
                <w:szCs w:val="16"/>
              </w:rPr>
              <w:t>ERP</w:t>
            </w:r>
          </w:p>
        </w:tc>
        <w:tc>
          <w:tcPr>
            <w:tcW w:type="dxa" w:w="4889"/>
          </w:tcPr>
          <w:p>
            <w:pPr>
              <w:pStyle w:val="TableContents"/>
              <w:spacing w:before="0" w:after="0" w:line="240" w:lineRule="atLeast"/>
            </w:pPr>
            <w:r>
              <w:rPr>
                <w:rFonts w:ascii="Arial" w:hAnsi="Arial" w:cs="Arial" w:eastAsia="Arial"/>
                <w:sz w:val="16"/>
                <w:szCs w:val="16"/>
              </w:rPr>
              <w:t>Emergency Response Plan - a document specifying the actions, roles and resources required to respond to emergency scenarios, including those arising from security incidents.</w:t>
            </w:r>
          </w:p>
        </w:tc>
      </w:tr>
      <w:tr>
        <w:tc>
          <w:tcPr>
            <w:tcW w:type="dxa" w:w="4888"/>
          </w:tcPr>
          <w:p>
            <w:pPr>
              <w:pStyle w:val="TableContents"/>
              <w:spacing w:before="0" w:after="0" w:line="240" w:lineRule="atLeast"/>
            </w:pPr>
            <w:r>
              <w:rPr>
                <w:rFonts w:ascii="Arial" w:hAnsi="Arial" w:cs="Arial" w:eastAsia="Arial"/>
                <w:sz w:val="16"/>
                <w:szCs w:val="16"/>
              </w:rPr>
              <w:t>SIRT</w:t>
            </w:r>
          </w:p>
        </w:tc>
        <w:tc>
          <w:tcPr>
            <w:tcW w:type="dxa" w:w="4889"/>
          </w:tcPr>
          <w:p>
            <w:pPr>
              <w:pStyle w:val="TableContents"/>
              <w:spacing w:before="0" w:after="0" w:line="240" w:lineRule="atLeast"/>
            </w:pPr>
            <w:r>
              <w:rPr>
                <w:rFonts w:ascii="Arial" w:hAnsi="Arial" w:cs="Arial" w:eastAsia="Arial"/>
                <w:sz w:val="16"/>
                <w:szCs w:val="16"/>
              </w:rPr>
              <w:t>Security Incident Response Team - the designated group of personnel responsible for coordinating the immediate response to and investigation of security incidents on a project site.</w:t>
            </w:r>
          </w:p>
        </w:tc>
      </w:tr>
      <w:tr>
        <w:tc>
          <w:tcPr>
            <w:tcW w:type="dxa" w:w="4888"/>
          </w:tcPr>
          <w:p>
            <w:pPr>
              <w:pStyle w:val="TableContents"/>
              <w:spacing w:before="0" w:after="0" w:line="240" w:lineRule="atLeast"/>
            </w:pPr>
            <w:r>
              <w:rPr>
                <w:rFonts w:ascii="Arial" w:hAnsi="Arial" w:cs="Arial" w:eastAsia="Arial"/>
                <w:sz w:val="16"/>
                <w:szCs w:val="16"/>
              </w:rPr>
              <w:t>HRIS</w:t>
            </w:r>
          </w:p>
        </w:tc>
        <w:tc>
          <w:tcPr>
            <w:tcW w:type="dxa" w:w="4889"/>
          </w:tcPr>
          <w:p>
            <w:pPr>
              <w:pStyle w:val="TableContents"/>
              <w:spacing w:before="0" w:after="0" w:line="240" w:lineRule="atLeast"/>
            </w:pPr>
            <w:r>
              <w:rPr>
                <w:rFonts w:ascii="Arial" w:hAnsi="Arial" w:cs="Arial" w:eastAsia="Arial"/>
                <w:sz w:val="16"/>
                <w:szCs w:val="16"/>
              </w:rPr>
              <w:t>Human Resources Information System - the information management system used to maintain personnel records, including security clearance status and training completion data.</w:t>
            </w:r>
          </w:p>
        </w:tc>
      </w:tr>
      <w:tr>
        <w:tc>
          <w:tcPr>
            <w:tcW w:type="dxa" w:w="4888"/>
          </w:tcPr>
          <w:p>
            <w:pPr>
              <w:pStyle w:val="TableContents"/>
              <w:spacing w:before="0" w:after="0" w:line="240" w:lineRule="atLeast"/>
            </w:pPr>
            <w:r>
              <w:rPr>
                <w:rFonts w:ascii="Arial" w:hAnsi="Arial" w:cs="Arial" w:eastAsia="Arial"/>
                <w:sz w:val="16"/>
                <w:szCs w:val="16"/>
              </w:rPr>
              <w:t>MOU</w:t>
            </w:r>
          </w:p>
        </w:tc>
        <w:tc>
          <w:tcPr>
            <w:tcW w:type="dxa" w:w="4889"/>
          </w:tcPr>
          <w:p>
            <w:pPr>
              <w:pStyle w:val="TableContents"/>
              <w:spacing w:before="0" w:after="0" w:line="240" w:lineRule="atLeast"/>
            </w:pPr>
            <w:r>
              <w:rPr>
                <w:rFonts w:ascii="Arial" w:hAnsi="Arial" w:cs="Arial" w:eastAsia="Arial"/>
                <w:sz w:val="16"/>
                <w:szCs w:val="16"/>
              </w:rPr>
              <w:t>Memorandum of Understanding - a formal agreement between Rio Tinto and public security forces or government agencies that defines the terms of cooperation and engagement on security matters.</w:t>
            </w:r>
          </w:p>
        </w:tc>
      </w:tr>
      <w:tr>
        <w:tc>
          <w:tcPr>
            <w:tcW w:type="dxa" w:w="4888"/>
          </w:tcPr>
          <w:p>
            <w:pPr>
              <w:pStyle w:val="TableContents"/>
              <w:spacing w:before="0" w:after="0" w:line="240" w:lineRule="atLeast"/>
            </w:pPr>
            <w:r>
              <w:rPr>
                <w:rFonts w:ascii="Arial" w:hAnsi="Arial" w:cs="Arial" w:eastAsia="Arial"/>
                <w:sz w:val="16"/>
                <w:szCs w:val="16"/>
              </w:rPr>
              <w:t>LMA</w:t>
            </w:r>
          </w:p>
        </w:tc>
        <w:tc>
          <w:tcPr>
            <w:tcW w:type="dxa" w:w="4889"/>
          </w:tcPr>
          <w:p>
            <w:pPr>
              <w:pStyle w:val="TableContents"/>
              <w:spacing w:before="0" w:after="0" w:line="240" w:lineRule="atLeast"/>
            </w:pPr>
            <w:r>
              <w:rPr>
                <w:rFonts w:ascii="Arial" w:hAnsi="Arial" w:cs="Arial" w:eastAsia="Arial"/>
                <w:sz w:val="16"/>
                <w:szCs w:val="16"/>
              </w:rPr>
              <w:t>Local Management Authority - the government or regulatory body with jurisdictional oversight of security operations and licensing requirements at the project location.</w:t>
            </w:r>
          </w:p>
        </w:tc>
      </w:tr>
      <w:tr>
        <w:tc>
          <w:tcPr>
            <w:tcW w:type="dxa" w:w="4888"/>
          </w:tcPr>
          <w:p>
            <w:pPr>
              <w:pStyle w:val="TableContents"/>
              <w:spacing w:before="0" w:after="0" w:line="240" w:lineRule="atLeast"/>
            </w:pPr>
            <w:r>
              <w:rPr>
                <w:rFonts w:ascii="Arial" w:hAnsi="Arial" w:cs="Arial" w:eastAsia="Arial"/>
                <w:sz w:val="16"/>
                <w:szCs w:val="16"/>
              </w:rPr>
              <w:t>LSMS</w:t>
            </w:r>
          </w:p>
        </w:tc>
        <w:tc>
          <w:tcPr>
            <w:tcW w:type="dxa" w:w="4889"/>
          </w:tcPr>
          <w:p>
            <w:pPr>
              <w:pStyle w:val="TableContents"/>
              <w:spacing w:before="0" w:after="0" w:line="240" w:lineRule="atLeast"/>
            </w:pPr>
            <w:r>
              <w:rPr>
                <w:rFonts w:ascii="Arial" w:hAnsi="Arial" w:cs="Arial" w:eastAsia="Arial"/>
                <w:sz w:val="16"/>
                <w:szCs w:val="16"/>
              </w:rPr>
              <w:t>London Statement on Mine Safety - the international commitment framework referenced in Rio Tinto's approach to safety and security management at operational sites.</w:t>
            </w:r>
          </w:p>
        </w:tc>
      </w:tr>
      <w:tr>
        <w:tc>
          <w:tcPr>
            <w:tcW w:type="dxa" w:w="4888"/>
          </w:tcPr>
          <w:p>
            <w:pPr>
              <w:pStyle w:val="TableContents"/>
              <w:spacing w:before="0" w:after="0" w:line="240" w:lineRule="atLeast"/>
            </w:pPr>
            <w:r>
              <w:rPr>
                <w:rFonts w:ascii="Arial" w:hAnsi="Arial" w:cs="Arial" w:eastAsia="Arial"/>
                <w:sz w:val="16"/>
                <w:szCs w:val="16"/>
              </w:rPr>
              <w:t>GCR</w:t>
            </w:r>
          </w:p>
        </w:tc>
        <w:tc>
          <w:tcPr>
            <w:tcW w:type="dxa" w:w="4889"/>
          </w:tcPr>
          <w:p>
            <w:pPr>
              <w:pStyle w:val="TableContents"/>
              <w:spacing w:before="0" w:after="0" w:line="240" w:lineRule="atLeast"/>
            </w:pPr>
            <w:r>
              <w:rPr>
                <w:rFonts w:ascii="Arial" w:hAnsi="Arial" w:cs="Arial" w:eastAsia="Arial"/>
                <w:sz w:val="16"/>
                <w:szCs w:val="16"/>
              </w:rPr>
              <w:t>Global Control Room - Rio Tinto's centralised monitoring and coordination facility that receives security alerts, incident notifications and escalations from project sites globally.</w:t>
            </w:r>
          </w:p>
        </w:tc>
      </w:tr>
      <w:tr>
        <w:tc>
          <w:tcPr>
            <w:tcW w:type="dxa" w:w="4888"/>
          </w:tcPr>
          <w:p>
            <w:pPr>
              <w:pStyle w:val="TableContents"/>
              <w:spacing w:before="0" w:after="0" w:line="240" w:lineRule="atLeast"/>
            </w:pPr>
            <w:r>
              <w:rPr>
                <w:rFonts w:ascii="Arial" w:hAnsi="Arial" w:cs="Arial" w:eastAsia="Arial"/>
                <w:sz w:val="16"/>
                <w:szCs w:val="16"/>
              </w:rPr>
              <w:t>RTSS</w:t>
            </w:r>
          </w:p>
        </w:tc>
        <w:tc>
          <w:tcPr>
            <w:tcW w:type="dxa" w:w="4889"/>
          </w:tcPr>
          <w:p>
            <w:pPr>
              <w:pStyle w:val="TableContents"/>
              <w:spacing w:before="0" w:after="0" w:line="240" w:lineRule="atLeast"/>
            </w:pPr>
            <w:r>
              <w:rPr>
                <w:rFonts w:ascii="Arial" w:hAnsi="Arial" w:cs="Arial" w:eastAsia="Arial"/>
                <w:sz w:val="16"/>
                <w:szCs w:val="16"/>
              </w:rPr>
              <w:t>Rio Tinto Security Standard - the corporate standard issued by Rio Tinto that establishes mandatory minimum requirements for security management across all operations and projects.</w:t>
            </w:r>
          </w:p>
        </w:tc>
      </w:tr>
      <w:tr>
        <w:tc>
          <w:tcPr>
            <w:tcW w:type="dxa" w:w="4888"/>
          </w:tcPr>
          <w:p>
            <w:pPr>
              <w:pStyle w:val="TableContents"/>
              <w:spacing w:before="0" w:after="0" w:line="240" w:lineRule="atLeast"/>
            </w:pPr>
            <w:r>
              <w:rPr>
                <w:rFonts w:ascii="Arial" w:hAnsi="Arial" w:cs="Arial" w:eastAsia="Arial"/>
                <w:sz w:val="16"/>
                <w:szCs w:val="16"/>
              </w:rPr>
              <w:t>PDCA</w:t>
            </w:r>
          </w:p>
        </w:tc>
        <w:tc>
          <w:tcPr>
            <w:tcW w:type="dxa" w:w="4889"/>
          </w:tcPr>
          <w:p>
            <w:pPr>
              <w:pStyle w:val="TableContents"/>
              <w:spacing w:before="0" w:after="0" w:line="240" w:lineRule="atLeast"/>
            </w:pPr>
            <w:r>
              <w:rPr>
                <w:rFonts w:ascii="Arial" w:hAnsi="Arial" w:cs="Arial" w:eastAsia="Arial"/>
                <w:sz w:val="16"/>
                <w:szCs w:val="16"/>
              </w:rPr>
              <w:t>Plan-Do-Check-Act - a continuous improvement cycle applied to security management to ensure that security controls are regularly reviewed, monitored and improved.</w:t>
            </w:r>
          </w:p>
        </w:tc>
      </w:tr>
      <w:tr>
        <w:tc>
          <w:tcPr>
            <w:tcW w:type="dxa" w:w="4888"/>
          </w:tcPr>
          <w:p>
            <w:pPr>
              <w:pStyle w:val="TableContents"/>
              <w:spacing w:before="0" w:after="0" w:line="240" w:lineRule="atLeast"/>
            </w:pPr>
            <w:r>
              <w:rPr>
                <w:rFonts w:ascii="Arial" w:hAnsi="Arial" w:cs="Arial" w:eastAsia="Arial"/>
                <w:b/>
                <w:bCs/>
                <w:color w:val="0059D1"/>
                <w:sz w:val="16"/>
                <w:szCs w:val="16"/>
              </w:rPr>
              <w:t>[INSERT: add project-specific terms]</w:t>
            </w:r>
          </w:p>
        </w:tc>
        <w:tc>
          <w:tcPr>
            <w:tcW w:type="dxa" w:w="4889"/>
          </w:tcPr>
          <w:p>
            <w:pPr>
              <w:pStyle w:val="TableContents"/>
              <w:spacing w:before="0" w:after="0" w:line="240" w:lineRule="atLeast"/>
            </w:pPr>
            <w:r>
              <w:rPr>
                <w:rFonts w:ascii="Arial" w:hAnsi="Arial" w:cs="Arial" w:eastAsia="Arial"/>
                <w:b/>
                <w:bCs/>
                <w:color w:val="0059D1"/>
                <w:sz w:val="16"/>
                <w:szCs w:val="16"/>
              </w:rPr>
              <w:t>[INSERT: definition]</w:t>
            </w:r>
          </w:p>
        </w:tc>
      </w:tr>
    </w:tbl>
    <w:p>
      <w:pPr>
        <w:pStyle w:val="NormalNumberedtext"/>
      </w:pPr>
    </w:p>
    <w:p>
      <w:pPr>
        <w:pStyle w:val="Heading1Numbered"/>
        <w:numPr>
          <w:ilvl w:val="0"/>
          <w:numId w:val="1"/>
        </w:numPr>
      </w:pPr>
      <w:r>
        <w:rPr>
          <w:rFonts w:ascii="Arial" w:hAnsi="Arial" w:cs="Arial" w:eastAsia="Arial"/>
        </w:rPr>
        <w:t>References and Source Information</w:t>
      </w:r>
    </w:p>
    <w:p>
      <w:pPr>
        <w:pStyle w:val="NormalNumberedtext"/>
      </w:pPr>
      <w:r>
        <w:t>This section lists the internal and external documents this procedure relies on. This section remains in the procedure once published. Where a referenced document is updated, this procedure is reviewed to confirm the reference remains current.</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Document</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Reference</w:t>
            </w:r>
          </w:p>
        </w:tc>
        <w:tc>
          <w:tcPr>
            <w:shd w:val="clear" w:color="auto" w:fill="1F3864"/>
            <w:tcW w:type="dxa" w:w="3259"/>
          </w:tcPr>
          <w:p>
            <w:pPr>
              <w:pStyle w:val="TableContents"/>
              <w:spacing w:before="0" w:after="0" w:line="240" w:lineRule="atLeast"/>
            </w:pPr>
            <w:r>
              <w:rPr>
                <w:rFonts w:ascii="Arial" w:hAnsi="Arial" w:cs="Arial" w:eastAsia="Arial"/>
                <w:b/>
                <w:bCs/>
                <w:color w:val="FFFFFF"/>
                <w:sz w:val="16"/>
                <w:szCs w:val="16"/>
              </w:rPr>
              <w:t>Type</w:t>
            </w:r>
          </w:p>
        </w:tc>
      </w:tr>
      <w:tr>
        <w:tc>
          <w:tcPr>
            <w:tcW w:type="dxa" w:w="3259"/>
          </w:tcPr>
          <w:p>
            <w:pPr>
              <w:pStyle w:val="TableContents"/>
              <w:spacing w:before="0" w:after="0" w:line="240" w:lineRule="atLeast"/>
            </w:pPr>
            <w:r>
              <w:rPr>
                <w:rFonts w:ascii="Arial" w:hAnsi="Arial" w:cs="Arial" w:eastAsia="Arial"/>
                <w:sz w:val="16"/>
                <w:szCs w:val="16"/>
              </w:rPr>
              <w:t>Risk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Training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Incident Management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Business Resilience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Communication Procedure</w:t>
            </w:r>
          </w:p>
        </w:tc>
        <w:tc>
          <w:tcPr>
            <w:tcW w:type="dxa" w:w="3259"/>
          </w:tcPr>
          <w:p>
            <w:pPr>
              <w:pStyle w:val="TableContents"/>
              <w:spacing w:before="0" w:after="0" w:line="240" w:lineRule="atLeast"/>
            </w:pPr>
            <w:r>
              <w:rPr>
                <w:rFonts w:ascii="Arial" w:hAnsi="Arial" w:cs="Arial" w:eastAsia="Arial"/>
                <w:b/>
                <w:bCs/>
                <w:color w:val="0059D1"/>
                <w:sz w:val="16"/>
                <w:szCs w:val="16"/>
              </w:rPr>
              <w:t>[INSERT: Project Document Number]</w:t>
            </w:r>
          </w:p>
        </w:tc>
        <w:tc>
          <w:tcPr>
            <w:tcW w:type="dxa" w:w="3259"/>
          </w:tcPr>
          <w:p>
            <w:pPr>
              <w:pStyle w:val="TableContents"/>
              <w:spacing w:before="0" w:after="0" w:line="240" w:lineRule="atLeast"/>
            </w:pPr>
            <w:r>
              <w:rPr>
                <w:rFonts w:ascii="Arial" w:hAnsi="Arial" w:cs="Arial" w:eastAsia="Arial"/>
                <w:sz w:val="16"/>
                <w:szCs w:val="16"/>
              </w:rPr>
              <w:t>Internal procedure</w:t>
            </w:r>
          </w:p>
        </w:tc>
      </w:tr>
      <w:tr>
        <w:tc>
          <w:tcPr>
            <w:tcW w:type="dxa" w:w="3259"/>
          </w:tcPr>
          <w:p>
            <w:pPr>
              <w:pStyle w:val="TableContents"/>
              <w:spacing w:before="0" w:after="0" w:line="240" w:lineRule="atLeast"/>
            </w:pPr>
            <w:r>
              <w:rPr>
                <w:rFonts w:ascii="Arial" w:hAnsi="Arial" w:cs="Arial" w:eastAsia="Arial"/>
                <w:sz w:val="16"/>
                <w:szCs w:val="16"/>
              </w:rPr>
              <w:t>Rio Tinto Risk Management Standard</w:t>
            </w:r>
          </w:p>
        </w:tc>
        <w:tc>
          <w:tcPr>
            <w:tcW w:type="dxa" w:w="3259"/>
          </w:tcPr>
          <w:p>
            <w:pPr>
              <w:pStyle w:val="TableContents"/>
              <w:spacing w:before="0" w:after="0" w:line="240" w:lineRule="atLeast"/>
            </w:pPr>
            <w:r>
              <w:rPr>
                <w:rFonts w:ascii="Arial" w:hAnsi="Arial" w:cs="Arial" w:eastAsia="Arial"/>
                <w:sz w:val="16"/>
                <w:szCs w:val="16"/>
              </w:rPr>
              <w:t>RT Risk Management Standard</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Risk Management Standard - Appendix C, Section C-1</w:t>
            </w:r>
          </w:p>
        </w:tc>
        <w:tc>
          <w:tcPr>
            <w:tcW w:type="dxa" w:w="3259"/>
          </w:tcPr>
          <w:p>
            <w:pPr>
              <w:pStyle w:val="TableContents"/>
              <w:spacing w:before="0" w:after="0" w:line="240" w:lineRule="atLeast"/>
            </w:pPr>
            <w:r>
              <w:rPr>
                <w:rFonts w:ascii="Arial" w:hAnsi="Arial" w:cs="Arial" w:eastAsia="Arial"/>
                <w:sz w:val="16"/>
                <w:szCs w:val="16"/>
              </w:rPr>
              <w:t>RT Risk Management Standard Appendix C C-1</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Security Standard</w:t>
            </w:r>
          </w:p>
        </w:tc>
        <w:tc>
          <w:tcPr>
            <w:tcW w:type="dxa" w:w="3259"/>
          </w:tcPr>
          <w:p>
            <w:pPr>
              <w:pStyle w:val="TableContents"/>
              <w:spacing w:before="0" w:after="0" w:line="240" w:lineRule="atLeast"/>
            </w:pPr>
            <w:r>
              <w:rPr>
                <w:rFonts w:ascii="Arial" w:hAnsi="Arial" w:cs="Arial" w:eastAsia="Arial"/>
                <w:sz w:val="16"/>
                <w:szCs w:val="16"/>
              </w:rPr>
              <w:t>RTSS</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Rio Tinto Human Rights Policy</w:t>
            </w:r>
          </w:p>
        </w:tc>
        <w:tc>
          <w:tcPr>
            <w:tcW w:type="dxa" w:w="3259"/>
          </w:tcPr>
          <w:p>
            <w:pPr>
              <w:pStyle w:val="TableContents"/>
              <w:spacing w:before="0" w:after="0" w:line="240" w:lineRule="atLeast"/>
            </w:pPr>
            <w:r>
              <w:rPr>
                <w:rFonts w:ascii="Arial" w:hAnsi="Arial" w:cs="Arial" w:eastAsia="Arial"/>
                <w:sz w:val="16"/>
                <w:szCs w:val="16"/>
              </w:rPr>
              <w:t>RT Human Rights Policy</w:t>
            </w:r>
          </w:p>
        </w:tc>
        <w:tc>
          <w:tcPr>
            <w:tcW w:type="dxa" w:w="3259"/>
          </w:tcPr>
          <w:p>
            <w:pPr>
              <w:pStyle w:val="TableContents"/>
              <w:spacing w:before="0" w:after="0" w:line="240" w:lineRule="atLeast"/>
            </w:pPr>
            <w:r>
              <w:rPr>
                <w:rFonts w:ascii="Arial" w:hAnsi="Arial" w:cs="Arial" w:eastAsia="Arial"/>
                <w:sz w:val="16"/>
                <w:szCs w:val="16"/>
              </w:rPr>
              <w:t>External RT</w:t>
            </w:r>
          </w:p>
        </w:tc>
      </w:tr>
      <w:tr>
        <w:tc>
          <w:tcPr>
            <w:tcW w:type="dxa" w:w="3259"/>
          </w:tcPr>
          <w:p>
            <w:pPr>
              <w:pStyle w:val="TableContents"/>
              <w:spacing w:before="0" w:after="0" w:line="240" w:lineRule="atLeast"/>
            </w:pPr>
            <w:r>
              <w:rPr>
                <w:rFonts w:ascii="Arial" w:hAnsi="Arial" w:cs="Arial" w:eastAsia="Arial"/>
                <w:sz w:val="16"/>
                <w:szCs w:val="16"/>
              </w:rPr>
              <w:t>Voluntary Principles on Security and Human Rights</w:t>
            </w:r>
          </w:p>
        </w:tc>
        <w:tc>
          <w:tcPr>
            <w:tcW w:type="dxa" w:w="3259"/>
          </w:tcPr>
          <w:p>
            <w:pPr>
              <w:pStyle w:val="TableContents"/>
              <w:spacing w:before="0" w:after="0" w:line="240" w:lineRule="atLeast"/>
            </w:pPr>
            <w:r>
              <w:rPr>
                <w:rFonts w:ascii="Arial" w:hAnsi="Arial" w:cs="Arial" w:eastAsia="Arial"/>
                <w:sz w:val="16"/>
                <w:szCs w:val="16"/>
              </w:rPr>
              <w:t>VPSHRs (2000, as updated)</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International Code of Conduct for Private Security Service Providers</w:t>
            </w:r>
          </w:p>
        </w:tc>
        <w:tc>
          <w:tcPr>
            <w:tcW w:type="dxa" w:w="3259"/>
          </w:tcPr>
          <w:p>
            <w:pPr>
              <w:pStyle w:val="TableContents"/>
              <w:spacing w:before="0" w:after="0" w:line="240" w:lineRule="atLeast"/>
            </w:pPr>
            <w:r>
              <w:rPr>
                <w:rFonts w:ascii="Arial" w:hAnsi="Arial" w:cs="Arial" w:eastAsia="Arial"/>
                <w:sz w:val="16"/>
                <w:szCs w:val="16"/>
              </w:rPr>
              <w:t>ICoC (2010, as updated)</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ISO 31000 - Risk Management: Guidelines</w:t>
            </w:r>
          </w:p>
        </w:tc>
        <w:tc>
          <w:tcPr>
            <w:tcW w:type="dxa" w:w="3259"/>
          </w:tcPr>
          <w:p>
            <w:pPr>
              <w:pStyle w:val="TableContents"/>
              <w:spacing w:before="0" w:after="0" w:line="240" w:lineRule="atLeast"/>
            </w:pPr>
            <w:r>
              <w:rPr>
                <w:rFonts w:ascii="Arial" w:hAnsi="Arial" w:cs="Arial" w:eastAsia="Arial"/>
                <w:sz w:val="16"/>
                <w:szCs w:val="16"/>
              </w:rPr>
              <w:t>ISO 31000:2018</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ISO 18788 - Management System for Private Security Operations</w:t>
            </w:r>
          </w:p>
        </w:tc>
        <w:tc>
          <w:tcPr>
            <w:tcW w:type="dxa" w:w="3259"/>
          </w:tcPr>
          <w:p>
            <w:pPr>
              <w:pStyle w:val="TableContents"/>
              <w:spacing w:before="0" w:after="0" w:line="240" w:lineRule="atLeast"/>
            </w:pPr>
            <w:r>
              <w:rPr>
                <w:rFonts w:ascii="Arial" w:hAnsi="Arial" w:cs="Arial" w:eastAsia="Arial"/>
                <w:sz w:val="16"/>
                <w:szCs w:val="16"/>
              </w:rPr>
              <w:t>ISO 18788:2015</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United Nations Guiding Principles on Business and Human Rights</w:t>
            </w:r>
          </w:p>
        </w:tc>
        <w:tc>
          <w:tcPr>
            <w:tcW w:type="dxa" w:w="3259"/>
          </w:tcPr>
          <w:p>
            <w:pPr>
              <w:pStyle w:val="TableContents"/>
              <w:spacing w:before="0" w:after="0" w:line="240" w:lineRule="atLeast"/>
            </w:pPr>
            <w:r>
              <w:rPr>
                <w:rFonts w:ascii="Arial" w:hAnsi="Arial" w:cs="Arial" w:eastAsia="Arial"/>
                <w:sz w:val="16"/>
                <w:szCs w:val="16"/>
              </w:rPr>
              <w:t>UNGP (2011)</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sz w:val="16"/>
                <w:szCs w:val="16"/>
              </w:rPr>
              <w:t>ASIS International - General Security Risk Assessment Guideline</w:t>
            </w:r>
          </w:p>
        </w:tc>
        <w:tc>
          <w:tcPr>
            <w:tcW w:type="dxa" w:w="3259"/>
          </w:tcPr>
          <w:p>
            <w:pPr>
              <w:pStyle w:val="TableContents"/>
              <w:spacing w:before="0" w:after="0" w:line="240" w:lineRule="atLeast"/>
            </w:pPr>
            <w:r>
              <w:rPr>
                <w:rFonts w:ascii="Arial" w:hAnsi="Arial" w:cs="Arial" w:eastAsia="Arial"/>
                <w:sz w:val="16"/>
                <w:szCs w:val="16"/>
              </w:rPr>
              <w:t>ASIS GSRA (2012)</w:t>
            </w:r>
          </w:p>
        </w:tc>
        <w:tc>
          <w:tcPr>
            <w:tcW w:type="dxa" w:w="3259"/>
          </w:tcPr>
          <w:p>
            <w:pPr>
              <w:pStyle w:val="TableContents"/>
              <w:spacing w:before="0" w:after="0" w:line="240" w:lineRule="atLeast"/>
            </w:pPr>
            <w:r>
              <w:rPr>
                <w:rFonts w:ascii="Arial" w:hAnsi="Arial" w:cs="Arial" w:eastAsia="Arial"/>
                <w:sz w:val="16"/>
                <w:szCs w:val="16"/>
              </w:rPr>
              <w:t>External framework</w:t>
            </w:r>
          </w:p>
        </w:tc>
      </w:tr>
      <w:tr>
        <w:tc>
          <w:tcPr>
            <w:tcW w:type="dxa" w:w="3259"/>
          </w:tcPr>
          <w:p>
            <w:pPr>
              <w:pStyle w:val="TableContents"/>
              <w:spacing w:before="0" w:after="0" w:line="240" w:lineRule="atLeast"/>
            </w:pPr>
            <w:r>
              <w:rPr>
                <w:rFonts w:ascii="Arial" w:hAnsi="Arial" w:cs="Arial" w:eastAsia="Arial"/>
                <w:b/>
                <w:bCs/>
                <w:color w:val="0059D1"/>
                <w:sz w:val="16"/>
                <w:szCs w:val="16"/>
              </w:rPr>
              <w:t>[INSERT: further referenced document, where applicable]</w:t>
            </w:r>
          </w:p>
        </w:tc>
        <w:tc>
          <w:tcPr>
            <w:tcW w:type="dxa" w:w="3259"/>
          </w:tcPr>
          <w:p>
            <w:pPr>
              <w:pStyle w:val="TableContents"/>
              <w:spacing w:before="0" w:after="0" w:line="240" w:lineRule="atLeast"/>
            </w:pPr>
            <w:r>
              <w:rPr>
                <w:rFonts w:ascii="Arial" w:hAnsi="Arial" w:cs="Arial" w:eastAsia="Arial"/>
                <w:b/>
                <w:bCs/>
                <w:color w:val="0059D1"/>
                <w:sz w:val="16"/>
                <w:szCs w:val="16"/>
              </w:rPr>
              <w:t>[INSERT: reference]</w:t>
            </w:r>
          </w:p>
        </w:tc>
        <w:tc>
          <w:tcPr>
            <w:tcW w:type="dxa" w:w="3259"/>
          </w:tcPr>
          <w:p>
            <w:pPr>
              <w:pStyle w:val="TableContents"/>
              <w:spacing w:before="0" w:after="0" w:line="240" w:lineRule="atLeast"/>
            </w:pPr>
            <w:r>
              <w:rPr>
                <w:rFonts w:ascii="Arial" w:hAnsi="Arial" w:cs="Arial" w:eastAsia="Arial"/>
                <w:b/>
                <w:bCs/>
                <w:color w:val="0059D1"/>
                <w:sz w:val="16"/>
                <w:szCs w:val="16"/>
              </w:rPr>
              <w:t>[INSERT: type]</w:t>
            </w:r>
          </w:p>
        </w:tc>
      </w:tr>
    </w:tbl>
    <w:p>
      <w:pPr>
        <w:pStyle w:val="NormalNumberedtext"/>
      </w:pPr>
    </w:p>
    <w:p>
      <w:pPr>
        <w:pStyle w:val="Heading1Numbered"/>
        <w:numPr>
          <w:ilvl w:val="0"/>
          <w:numId w:val="1"/>
        </w:numPr>
      </w:pPr>
      <w:r>
        <w:rPr>
          <w:rFonts w:ascii="Arial" w:hAnsi="Arial" w:cs="Arial" w:eastAsia="Arial"/>
        </w:rPr>
        <w:t>Project Localisation Edits</w:t>
      </w:r>
    </w:p>
    <w:p>
      <w:pPr>
        <w:pStyle w:val="NormalNumberedtext"/>
      </w:pPr>
      <w:r>
        <w:t>This section captures the project-specific edits made to this document during preparation. This section stays in the document once published and is updated at each document revision. Record all additions, deletions, and wording changes from the original template.</w:t>
      </w:r>
    </w:p>
    <w:p>
      <w:pPr>
        <w:pStyle w:val="NormalNumberedtext"/>
      </w:pPr>
      <w:r>
        <w:t>Records of wording changes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new content additions</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p>
      <w:pPr>
        <w:pStyle w:val="NormalNumberedtext"/>
      </w:pPr>
      <w:r>
        <w:t>Records of content removal</w:t>
      </w:r>
    </w:p>
    <w:p>
      <w:pPr>
        <w:pStyle w:val="NormalNumberedtext"/>
      </w:pPr>
    </w:p>
    <w:tbl>
      <w:tblPr>
        <w:tblStyle w:val="TableOption2"/>
        <w:tblW w:type="dxa" w:w="9777"/>
        <w:tblInd w:type="dxa" w:w="0"/>
        <w:tblCellMar>
          <w:top w:type="dxa" w:w="36"/>
          <w:bottom w:type="dxa" w:w="36"/>
          <w:left w:type="dxa" w:w="108"/>
          <w:right w:type="dxa" w:w="108"/>
        </w:tblCellMar>
      </w:tblPr>
      <w:tr>
        <w:trPr>
          <w:tblHeader/>
        </w:trPr>
        <w:tc>
          <w:tcPr>
            <w:shd w:val="clear" w:color="auto" w:fill="1F3864"/>
            <w:tcW w:type="dxa" w:w="4888"/>
          </w:tcPr>
          <w:p>
            <w:pPr>
              <w:pStyle w:val="TableContents"/>
              <w:spacing w:before="0" w:after="0" w:line="240" w:lineRule="atLeast"/>
            </w:pPr>
            <w:r>
              <w:rPr>
                <w:rFonts w:ascii="Arial" w:hAnsi="Arial" w:cs="Arial" w:eastAsia="Arial"/>
                <w:b/>
                <w:bCs/>
                <w:color w:val="FFFFFF"/>
                <w:sz w:val="16"/>
                <w:szCs w:val="16"/>
              </w:rPr>
              <w:t>Description of the Change</w:t>
            </w:r>
          </w:p>
        </w:tc>
        <w:tc>
          <w:tcPr>
            <w:shd w:val="clear" w:color="auto" w:fill="1F3864"/>
            <w:tcW w:type="dxa" w:w="4889"/>
          </w:tcPr>
          <w:p>
            <w:pPr>
              <w:pStyle w:val="TableContents"/>
              <w:spacing w:before="0" w:after="0" w:line="240" w:lineRule="atLeast"/>
            </w:pPr>
            <w:r>
              <w:rPr>
                <w:rFonts w:ascii="Arial" w:hAnsi="Arial" w:cs="Arial" w:eastAsia="Arial"/>
                <w:b/>
                <w:bCs/>
                <w:color w:val="FFFFFF"/>
                <w:sz w:val="16"/>
                <w:szCs w:val="16"/>
              </w:rPr>
              <w:t>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r>
        <w:tc>
          <w:tcPr>
            <w:tcW w:type="dxa" w:w="4888"/>
          </w:tcPr>
          <w:p>
            <w:pPr>
              <w:pStyle w:val="TableContents"/>
              <w:spacing w:before="0" w:after="0" w:line="240" w:lineRule="atLeast"/>
            </w:pPr>
            <w:r>
              <w:rPr>
                <w:rFonts w:ascii="Arial" w:hAnsi="Arial" w:cs="Arial" w:eastAsia="Arial"/>
                <w:b/>
                <w:bCs/>
                <w:color w:val="0059D1"/>
                <w:sz w:val="16"/>
                <w:szCs w:val="16"/>
              </w:rPr>
              <w:t>[INSERT: description of change]</w:t>
            </w:r>
          </w:p>
        </w:tc>
        <w:tc>
          <w:tcPr>
            <w:tcW w:type="dxa" w:w="4889"/>
          </w:tcPr>
          <w:p>
            <w:pPr>
              <w:pStyle w:val="TableContents"/>
              <w:spacing w:before="0" w:after="0" w:line="240" w:lineRule="atLeast"/>
            </w:pPr>
            <w:r>
              <w:rPr>
                <w:rFonts w:ascii="Arial" w:hAnsi="Arial" w:cs="Arial" w:eastAsia="Arial"/>
                <w:b/>
                <w:bCs/>
                <w:color w:val="0059D1"/>
                <w:sz w:val="16"/>
                <w:szCs w:val="16"/>
              </w:rPr>
              <w:t>[INSERT: section]</w:t>
            </w:r>
          </w:p>
        </w:tc>
      </w:tr>
    </w:tbl>
    <w:p>
      <w:pPr>
        <w:pStyle w:val="NormalNumberedtext"/>
      </w:pPr>
    </w:p>
    <w:tbl>
      <w:tblPr>
        <w:tblStyle w:val="TableOption1"/>
        <w:tblW w:type="dxa" w:w="9777"/>
        <w:tblInd w:type="dxa" w:w="0"/>
        <w:tblCellMar>
          <w:top w:type="dxa" w:w="36"/>
          <w:bottom w:type="dxa" w:w="36"/>
          <w:left w:type="dxa" w:w="108"/>
          <w:right w:type="dxa" w:w="108"/>
        </w:tblCellMar>
      </w:tblPr>
      <w:tr>
        <w:tc>
          <w:tcPr>
            <w:shd w:val="clear" w:color="auto" w:fill="FCE4D6"/>
            <w:tcW w:type="dxa" w:w="9777"/>
          </w:tcPr>
          <w:p>
            <w:pPr>
              <w:pStyle w:val="Instructions"/>
              <w:spacing w:before="0" w:after="0" w:line="240" w:lineRule="atLeast"/>
            </w:pPr>
            <w:r>
              <w:rPr>
                <w:rFonts w:ascii="Arial" w:hAnsi="Arial" w:cs="Arial" w:eastAsia="Arial"/>
                <w:b/>
                <w:bCs/>
                <w:color w:val="C55A11"/>
                <w:sz w:val="16"/>
                <w:szCs w:val="16"/>
              </w:rPr>
              <w:t>REMOVABLE SECTION - Source Requirements Traceability. Delete this entire section before the document is issued for approval. It must not appear in any approved version of this document. Table A records requirements addressed in this procedure. Table B records requirements not fully addressed, with written justification for each.</w:t>
            </w:r>
          </w:p>
        </w:tc>
      </w:tr>
    </w:tbl>
    <w:p>
      <w:pPr>
        <w:pStyle w:val="NormalNumberedtext"/>
      </w:pPr>
    </w:p>
    <w:p>
      <w:pPr>
        <w:pStyle w:val="Heading1Numbered"/>
        <w:numPr>
          <w:ilvl w:val="0"/>
          <w:numId w:val="1"/>
        </w:numPr>
      </w:pPr>
      <w:r>
        <w:rPr>
          <w:rFonts w:ascii="Arial" w:hAnsi="Arial" w:cs="Arial" w:eastAsia="Arial"/>
        </w:rPr>
        <w:t>Source Requirements Traceability (DELETE BEFORE ISSUE)</w:t>
      </w:r>
    </w:p>
    <w:p>
      <w:pPr>
        <w:pStyle w:val="NormalNumberedtext"/>
      </w:pPr>
    </w:p>
    <w:p>
      <w:pPr>
        <w:pStyle w:val="Heading2Numbered"/>
        <w:numPr>
          <w:ilvl w:val="1"/>
          <w:numId w:val="1"/>
        </w:numPr>
      </w:pPr>
      <w:r>
        <w:rPr>
          <w:rFonts w:ascii="Arial" w:hAnsi="Arial" w:cs="Arial" w:eastAsia="Arial"/>
        </w:rPr>
        <w:t>Requirements Addressed in This Procedure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Section</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2256"/>
          </w:tcPr>
          <w:p>
            <w:pPr>
              <w:pStyle w:val="TableContents"/>
              <w:spacing w:before="0" w:after="0" w:line="240" w:lineRule="atLeast"/>
            </w:pPr>
            <w:r>
              <w:rPr>
                <w:rFonts w:ascii="Arial" w:hAnsi="Arial" w:cs="Arial" w:eastAsia="Arial"/>
                <w:b/>
                <w:bCs/>
                <w:color w:val="FFFFFF"/>
                <w:sz w:val="16"/>
                <w:szCs w:val="16"/>
              </w:rPr>
              <w:t>Requirement</w:t>
            </w:r>
          </w:p>
        </w:tc>
        <w:tc>
          <w:tcPr>
            <w:shd w:val="clear" w:color="auto" w:fill="1F3864"/>
            <w:tcW w:type="dxa" w:w="2258"/>
          </w:tcPr>
          <w:p>
            <w:pPr>
              <w:pStyle w:val="TableContents"/>
              <w:spacing w:before="0" w:after="0" w:line="240" w:lineRule="atLeast"/>
            </w:pPr>
            <w:r>
              <w:rPr>
                <w:rFonts w:ascii="Arial" w:hAnsi="Arial" w:cs="Arial" w:eastAsia="Arial"/>
                <w:b/>
                <w:bCs/>
                <w:color w:val="FFFFFF"/>
                <w:sz w:val="16"/>
                <w:szCs w:val="16"/>
              </w:rPr>
              <w:t>Status</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§33.1</w:t>
            </w:r>
          </w:p>
        </w:tc>
        <w:tc>
          <w:tcPr>
            <w:tcW w:type="dxa" w:w="2256"/>
          </w:tcPr>
          <w:p>
            <w:pPr>
              <w:pStyle w:val="TableContents"/>
              <w:spacing w:before="0" w:after="0" w:line="240" w:lineRule="atLeast"/>
            </w:pPr>
            <w:r>
              <w:rPr>
                <w:rFonts w:ascii="Arial" w:hAnsi="Arial" w:cs="Arial" w:eastAsia="Arial"/>
                <w:sz w:val="16"/>
                <w:szCs w:val="16"/>
              </w:rPr>
              <w:t>Requires a comprehensive security risk assessment covering all work locations, transportation routes, subcontractors, and supply chain nodes, submitted to the project owner within 90 days of the Effective Date and revalidated annually.</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§33.2</w:t>
            </w:r>
          </w:p>
        </w:tc>
        <w:tc>
          <w:tcPr>
            <w:tcW w:type="dxa" w:w="2256"/>
          </w:tcPr>
          <w:p>
            <w:pPr>
              <w:pStyle w:val="TableContents"/>
              <w:spacing w:before="0" w:after="0" w:line="240" w:lineRule="atLeast"/>
            </w:pPr>
            <w:r>
              <w:rPr>
                <w:rFonts w:ascii="Arial" w:hAnsi="Arial" w:cs="Arial" w:eastAsia="Arial"/>
                <w:sz w:val="16"/>
                <w:szCs w:val="16"/>
              </w:rPr>
              <w:t>Requires development of a Site Security Management Plan based on risk assessment outcomes, submitted to the project owner 60 days before commencement of work and revalidated annually.</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§33.3</w:t>
            </w:r>
          </w:p>
        </w:tc>
        <w:tc>
          <w:tcPr>
            <w:tcW w:type="dxa" w:w="2256"/>
          </w:tcPr>
          <w:p>
            <w:pPr>
              <w:pStyle w:val="TableContents"/>
              <w:spacing w:before="0" w:after="0" w:line="240" w:lineRule="atLeast"/>
            </w:pPr>
            <w:r>
              <w:rPr>
                <w:rFonts w:ascii="Arial" w:hAnsi="Arial" w:cs="Arial" w:eastAsia="Arial"/>
                <w:sz w:val="16"/>
                <w:szCs w:val="16"/>
              </w:rPr>
              <w:t>Requires security suppliers to be legally authorised and security personnel to hold appropriate training and licences, including mandatory training on Security and Human Rights per the Voluntary Principles.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§33.6</w:t>
            </w:r>
          </w:p>
        </w:tc>
        <w:tc>
          <w:tcPr>
            <w:tcW w:type="dxa" w:w="2256"/>
          </w:tcPr>
          <w:p>
            <w:pPr>
              <w:pStyle w:val="TableContents"/>
              <w:spacing w:before="0" w:after="0" w:line="240" w:lineRule="atLeast"/>
            </w:pPr>
            <w:r>
              <w:rPr>
                <w:rFonts w:ascii="Arial" w:hAnsi="Arial" w:cs="Arial" w:eastAsia="Arial"/>
                <w:sz w:val="16"/>
                <w:szCs w:val="16"/>
              </w:rPr>
              <w:t>Requires all security personnel to be trained per the SMP including human rights, ethical practices, and emergency response protocols, with refresher training after significant changes to security risks.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§33.5</w:t>
            </w:r>
          </w:p>
        </w:tc>
        <w:tc>
          <w:tcPr>
            <w:tcW w:type="dxa" w:w="2256"/>
          </w:tcPr>
          <w:p>
            <w:pPr>
              <w:pStyle w:val="TableContents"/>
              <w:spacing w:before="0" w:after="0" w:line="240" w:lineRule="atLeast"/>
            </w:pPr>
            <w:r>
              <w:rPr>
                <w:rFonts w:ascii="Arial" w:hAnsi="Arial" w:cs="Arial" w:eastAsia="Arial"/>
                <w:sz w:val="16"/>
                <w:szCs w:val="16"/>
              </w:rPr>
              <w:t>Requires all security incidents to be recorded, reported, and investigated per the project HSESC Incident Management procedure, and prohibits covert or clandestine information-gathering activities.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§33.1.2</w:t>
            </w:r>
          </w:p>
        </w:tc>
        <w:tc>
          <w:tcPr>
            <w:tcW w:type="dxa" w:w="2256"/>
          </w:tcPr>
          <w:p>
            <w:pPr>
              <w:pStyle w:val="TableContents"/>
              <w:spacing w:before="0" w:after="0" w:line="240" w:lineRule="atLeast"/>
            </w:pPr>
            <w:r>
              <w:rPr>
                <w:rFonts w:ascii="Arial" w:hAnsi="Arial" w:cs="Arial" w:eastAsia="Arial"/>
                <w:sz w:val="16"/>
                <w:szCs w:val="16"/>
              </w:rPr>
              <w:t>Requires the security risk assessment to include consideration of community interfaces and potential human rights issues aligned with the Voluntary Principles on Security and Human Rights.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§33.1.4</w:t>
            </w:r>
          </w:p>
        </w:tc>
        <w:tc>
          <w:tcPr>
            <w:tcW w:type="dxa" w:w="2256"/>
          </w:tcPr>
          <w:p>
            <w:pPr>
              <w:pStyle w:val="TableContents"/>
              <w:spacing w:before="0" w:after="0" w:line="240" w:lineRule="atLeast"/>
            </w:pPr>
            <w:r>
              <w:rPr>
                <w:rFonts w:ascii="Arial" w:hAnsi="Arial" w:cs="Arial" w:eastAsia="Arial"/>
                <w:sz w:val="16"/>
                <w:szCs w:val="16"/>
              </w:rPr>
              <w:t>Requires engagement of a multi-disciplinary stakeholder group including the Community and Social Performance function in the security risk assessment.</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§33.3.3</w:t>
            </w:r>
          </w:p>
        </w:tc>
        <w:tc>
          <w:tcPr>
            <w:tcW w:type="dxa" w:w="2256"/>
          </w:tcPr>
          <w:p>
            <w:pPr>
              <w:pStyle w:val="TableContents"/>
              <w:spacing w:before="0" w:after="0" w:line="240" w:lineRule="atLeast"/>
            </w:pPr>
            <w:r>
              <w:rPr>
                <w:rFonts w:ascii="Arial" w:hAnsi="Arial" w:cs="Arial" w:eastAsia="Arial"/>
                <w:sz w:val="16"/>
                <w:szCs w:val="16"/>
              </w:rPr>
              <w:t>Requires that all security personnel are trained and licensed, with mandatory training on security and human rights in accordance with the Voluntary Principles on Security and Human Rights.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Appendix C C-1 §33.4.1</w:t>
            </w:r>
          </w:p>
        </w:tc>
        <w:tc>
          <w:tcPr>
            <w:tcW w:type="dxa" w:w="2256"/>
          </w:tcPr>
          <w:p>
            <w:pPr>
              <w:pStyle w:val="TableContents"/>
              <w:spacing w:before="0" w:after="0" w:line="240" w:lineRule="atLeast"/>
            </w:pPr>
            <w:r>
              <w:rPr>
                <w:rFonts w:ascii="Arial" w:hAnsi="Arial" w:cs="Arial" w:eastAsia="Arial"/>
                <w:sz w:val="16"/>
                <w:szCs w:val="16"/>
              </w:rPr>
              <w:t>Requires prior written Company approval before deployment of any armed security personnel, with deployment based on the site security risk assessment and documented with specific authority approval.</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PS4 §13</w:t>
            </w:r>
          </w:p>
        </w:tc>
        <w:tc>
          <w:tcPr>
            <w:tcW w:type="dxa" w:w="2256"/>
          </w:tcPr>
          <w:p>
            <w:pPr>
              <w:pStyle w:val="TableContents"/>
              <w:spacing w:before="0" w:after="0" w:line="240" w:lineRule="atLeast"/>
            </w:pPr>
            <w:r>
              <w:rPr>
                <w:rFonts w:ascii="Arial" w:hAnsi="Arial" w:cs="Arial" w:eastAsia="Arial"/>
                <w:sz w:val="16"/>
                <w:szCs w:val="16"/>
              </w:rPr>
              <w:t>Requires the security risk assessment to explicitly address community interface risks and potential human rights issues consistent with the Voluntary Principles on Security and Human Rights.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IFC PS4 §12-14</w:t>
            </w:r>
          </w:p>
        </w:tc>
        <w:tc>
          <w:tcPr>
            <w:tcW w:type="dxa" w:w="2256"/>
          </w:tcPr>
          <w:p>
            <w:pPr>
              <w:pStyle w:val="TableContents"/>
              <w:spacing w:before="0" w:after="0" w:line="240" w:lineRule="atLeast"/>
            </w:pPr>
            <w:r>
              <w:rPr>
                <w:rFonts w:ascii="Arial" w:hAnsi="Arial" w:cs="Arial" w:eastAsia="Arial"/>
                <w:sz w:val="16"/>
                <w:szCs w:val="16"/>
              </w:rPr>
              <w:t>Requires that armed security personnel are engaged only as a last resort after other risk management measures have been assessed and found insufficient, and that their deployment is consistent with the Voluntary Principles.</w:t>
            </w:r>
          </w:p>
        </w:tc>
        <w:tc>
          <w:tcPr>
            <w:tcW w:type="dxa" w:w="2258"/>
          </w:tcPr>
          <w:p>
            <w:pPr>
              <w:pStyle w:val="TableContents"/>
              <w:spacing w:before="0" w:after="0" w:line="240" w:lineRule="atLeast"/>
            </w:pPr>
            <w:r>
              <w:rPr>
                <w:rFonts w:ascii="Arial" w:hAnsi="Arial" w:cs="Arial" w:eastAsia="Arial"/>
                <w:sz w:val="16"/>
                <w:szCs w:val="16"/>
              </w:rPr>
              <w:t>Full</w:t>
            </w:r>
          </w:p>
        </w:tc>
      </w:tr>
      <w:tr>
        <w:tc>
          <w:tcPr>
            <w:tcW w:type="dxa" w:w="2256"/>
          </w:tcPr>
          <w:p>
            <w:pPr>
              <w:pStyle w:val="TableContents"/>
              <w:spacing w:before="0" w:after="0" w:line="240" w:lineRule="atLeast"/>
            </w:pPr>
            <w:r>
              <w:rPr>
                <w:rFonts w:ascii="Arial" w:hAnsi="Arial" w:cs="Arial" w:eastAsia="Arial"/>
                <w:b/>
                <w:bCs/>
                <w:color w:val="0059D1"/>
                <w:sz w:val="16"/>
                <w:szCs w:val="16"/>
              </w:rPr>
              <w:t>[INSERT: section]</w:t>
            </w:r>
          </w:p>
        </w:tc>
        <w:tc>
          <w:tcPr>
            <w:tcW w:type="dxa" w:w="2256"/>
          </w:tcPr>
          <w:p>
            <w:pPr>
              <w:pStyle w:val="TableContents"/>
              <w:spacing w:before="0" w:after="0" w:line="240" w:lineRule="atLeast"/>
            </w:pPr>
            <w:r>
              <w:rPr>
                <w:rFonts w:ascii="Arial" w:hAnsi="Arial" w:cs="Arial" w:eastAsia="Arial"/>
                <w:sz w:val="16"/>
                <w:szCs w:val="16"/>
              </w:rPr>
              <w:t>RT Standard RT Group Security Standard</w:t>
            </w:r>
          </w:p>
        </w:tc>
        <w:tc>
          <w:tcPr>
            <w:tcW w:type="dxa" w:w="2256"/>
          </w:tcPr>
          <w:p>
            <w:pPr>
              <w:pStyle w:val="TableContents"/>
              <w:spacing w:before="0" w:after="0" w:line="240" w:lineRule="atLeast"/>
            </w:pPr>
            <w:r>
              <w:rPr>
                <w:rFonts w:ascii="Arial" w:hAnsi="Arial" w:cs="Arial" w:eastAsia="Arial"/>
                <w:sz w:val="16"/>
                <w:szCs w:val="16"/>
              </w:rPr>
              <w:t>Requires consultation with the RT Group Security Standard to determine site security risk classification, additional requirements applicable to that classification, and project owner approval before deployment of armed personnel.</w:t>
            </w:r>
          </w:p>
        </w:tc>
        <w:tc>
          <w:tcPr>
            <w:tcW w:type="dxa" w:w="2258"/>
          </w:tcPr>
          <w:p>
            <w:pPr>
              <w:pStyle w:val="TableContents"/>
              <w:spacing w:before="0" w:after="0" w:line="240" w:lineRule="atLeast"/>
            </w:pPr>
            <w:r>
              <w:rPr>
                <w:rFonts w:ascii="Arial" w:hAnsi="Arial" w:cs="Arial" w:eastAsia="Arial"/>
                <w:sz w:val="16"/>
                <w:szCs w:val="16"/>
              </w:rPr>
              <w:t>Full</w:t>
            </w:r>
          </w:p>
        </w:tc>
      </w:tr>
    </w:tbl>
    <w:p>
      <w:pPr>
        <w:pStyle w:val="NormalNumberedtext"/>
      </w:pPr>
    </w:p>
    <w:p>
      <w:pPr>
        <w:pStyle w:val="Heading2Numbered"/>
        <w:numPr>
          <w:ilvl w:val="1"/>
          <w:numId w:val="1"/>
        </w:numPr>
      </w:pPr>
      <w:r>
        <w:rPr>
          <w:rFonts w:ascii="Arial" w:hAnsi="Arial" w:cs="Arial" w:eastAsia="Arial"/>
        </w:rPr>
        <w:t>Requirements Not Fully Addressed in This Procedure</w:t>
      </w:r>
    </w:p>
    <w:p>
      <w:pPr>
        <w:pStyle w:val="NormalNumberedtext"/>
      </w:pPr>
      <w:r>
        <w:t>List any requirements from the external sources above that are not fully addressed in this document, with a specific written justification for each. Acceptable justifications: (a) the requirement is owned by a named standalone procedure cross-referenced here; (b) excluded by a specific business decision endorsed by project leadership, named here; or (c) addressed through an operational control outside this document, identified here.</w:t>
      </w:r>
    </w:p>
    <w:p>
      <w:pPr>
        <w:pStyle w:val="NormalNumberedtext"/>
      </w:pPr>
    </w:p>
    <w:tbl>
      <w:tblPr>
        <w:tblStyle w:val="TableOption2"/>
        <w:tblW w:type="dxa" w:w="9026"/>
        <w:tblInd w:type="dxa" w:w="704"/>
        <w:tblCellMar>
          <w:top w:type="dxa" w:w="36"/>
          <w:bottom w:type="dxa" w:w="36"/>
          <w:left w:type="dxa" w:w="108"/>
          <w:right w:type="dxa" w:w="108"/>
        </w:tblCellMar>
      </w:tblPr>
      <w:tr>
        <w:trPr>
          <w:tblHeader/>
        </w:trPr>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Requirement Not Covered</w:t>
            </w:r>
          </w:p>
        </w:tc>
        <w:tc>
          <w:tcPr>
            <w:shd w:val="clear" w:color="auto" w:fill="1F3864"/>
            <w:tcW w:type="dxa" w:w="3008"/>
          </w:tcPr>
          <w:p>
            <w:pPr>
              <w:pStyle w:val="TableContents"/>
              <w:spacing w:before="0" w:after="0" w:line="240" w:lineRule="atLeast"/>
            </w:pPr>
            <w:r>
              <w:rPr>
                <w:rFonts w:ascii="Arial" w:hAnsi="Arial" w:cs="Arial" w:eastAsia="Arial"/>
                <w:b/>
                <w:bCs/>
                <w:color w:val="FFFFFF"/>
                <w:sz w:val="16"/>
                <w:szCs w:val="16"/>
              </w:rPr>
              <w:t>Source</w:t>
            </w:r>
          </w:p>
        </w:tc>
        <w:tc>
          <w:tcPr>
            <w:shd w:val="clear" w:color="auto" w:fill="1F3864"/>
            <w:tcW w:type="dxa" w:w="3010"/>
          </w:tcPr>
          <w:p>
            <w:pPr>
              <w:pStyle w:val="TableContents"/>
              <w:spacing w:before="0" w:after="0" w:line="240" w:lineRule="atLeast"/>
            </w:pPr>
            <w:r>
              <w:rPr>
                <w:rFonts w:ascii="Arial" w:hAnsi="Arial" w:cs="Arial" w:eastAsia="Arial"/>
                <w:b/>
                <w:bCs/>
                <w:color w:val="FFFFFF"/>
                <w:sz w:val="16"/>
                <w:szCs w:val="16"/>
              </w:rPr>
              <w:t>Justification</w:t>
            </w:r>
          </w:p>
        </w:tc>
      </w:tr>
      <w:tr>
        <w:tc>
          <w:tcPr>
            <w:tcW w:type="dxa" w:w="3008"/>
          </w:tcPr>
          <w:p>
            <w:pPr>
              <w:pStyle w:val="TableContents"/>
              <w:spacing w:before="0" w:after="0" w:line="240" w:lineRule="atLeast"/>
            </w:pPr>
            <w:r>
              <w:rPr>
                <w:rFonts w:ascii="Arial" w:hAnsi="Arial" w:cs="Arial" w:eastAsia="Arial"/>
                <w:b/>
                <w:bCs/>
                <w:color w:val="0059D1"/>
                <w:sz w:val="16"/>
                <w:szCs w:val="16"/>
              </w:rPr>
              <w:t>[INSERT: description of requirement not covered]</w:t>
            </w:r>
          </w:p>
        </w:tc>
        <w:tc>
          <w:tcPr>
            <w:tcW w:type="dxa" w:w="3008"/>
          </w:tcPr>
          <w:p>
            <w:pPr>
              <w:pStyle w:val="TableContents"/>
              <w:spacing w:before="0" w:after="0" w:line="240" w:lineRule="atLeast"/>
            </w:pPr>
            <w:r>
              <w:rPr>
                <w:rFonts w:ascii="Arial" w:hAnsi="Arial" w:cs="Arial" w:eastAsia="Arial"/>
                <w:b/>
                <w:bCs/>
                <w:color w:val="0059D1"/>
                <w:sz w:val="16"/>
                <w:szCs w:val="16"/>
              </w:rPr>
              <w:t>[INSERT: source and clause]</w:t>
            </w:r>
          </w:p>
        </w:tc>
        <w:tc>
          <w:tcPr>
            <w:tcW w:type="dxa" w:w="3010"/>
          </w:tcPr>
          <w:p>
            <w:pPr>
              <w:pStyle w:val="TableContents"/>
              <w:spacing w:before="0" w:after="0" w:line="240" w:lineRule="atLeast"/>
            </w:pPr>
            <w:r>
              <w:rPr>
                <w:rFonts w:ascii="Arial" w:hAnsi="Arial" w:cs="Arial" w:eastAsia="Arial"/>
                <w:b/>
                <w:bCs/>
                <w:color w:val="0059D1"/>
                <w:sz w:val="16"/>
                <w:szCs w:val="16"/>
              </w:rPr>
              <w:t>[INSERT: specific written justification]</w:t>
            </w:r>
          </w:p>
        </w:tc>
      </w:tr>
    </w:tbl>
    <w:p>
      <w:pPr>
        <w:pStyle w:val="NormalNumberedtext"/>
      </w:pPr>
    </w:p>
    <w:sectPr w:rsidR="00057588" w:rsidRPr="007D471E">
      <w:headerReference w:type="default" r:id="rId11"/>
      <w:footerReference w:type="default" r:id="rId12"/>
      <w:headerReference w:type="first" r:id="rId13"/>
      <w:footerReference w:type="first" r:id="rId14"/>
      <w:pgSz w:w="11906" w:h="16838"/>
      <w:pgMar w:top="1134" w:right="1134" w:bottom="1134" w:left="1134" w:header="567" w:footer="567"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B1923" w14:textId="77777777" w:rsidR="001D41C2" w:rsidRDefault="001D41C2">
      <w:r>
        <w:separator/>
      </w:r>
    </w:p>
  </w:endnote>
  <w:endnote w:type="continuationSeparator" w:id="0">
    <w:p w14:paraId="7FE46BFD" w14:textId="77777777" w:rsidR="001D41C2" w:rsidRDefault="001D41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Body CS)">
    <w:altName w:val="Times New Roman"/>
    <w:charset w:val="00"/>
    <w:family w:val="roman"/>
    <w:pitch w:val="variable"/>
    <w:sig w:usb0="E0002AFF" w:usb1="C0007841" w:usb2="00000009" w:usb3="00000000" w:csb0="000001FF" w:csb1="00000000"/>
  </w:font>
  <w:font w:name="Arial Bold">
    <w:altName w:val="Arial"/>
    <w:panose1 w:val="020B0704020202020204"/>
    <w:charset w:val="01"/>
    <w:family w:val="roman"/>
    <w:pitch w:val="variable"/>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22C22"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5B83BBFD" w14:textId="77777777" w:rsidR="00FC1013" w:rsidRDefault="004C465B">
    <w:pPr>
      <w:pBdr>
        <w:top w:val="single" w:sz="4" w:space="6" w:color="000000"/>
      </w:pBdr>
      <w:tabs>
        <w:tab w:val="center" w:pos="4513"/>
        <w:tab w:val="right" w:pos="9072"/>
        <w:tab w:val="right" w:pos="9450"/>
      </w:tabs>
      <w:rPr>
        <w:rFonts w:ascii="Arial" w:eastAsia="Times New Roman" w:hAnsi="Arial" w:cs="Arial"/>
        <w:color w:val="333333"/>
        <w:sz w:val="14"/>
        <w:szCs w:val="14"/>
        <w:lang w:val="en-AU"/>
      </w:rPr>
    </w:pPr>
    <w:r>
      <w:rPr>
        <w:rFonts w:eastAsia="Times New Roman" w:cs="Arial"/>
        <w:color w:val="333333"/>
        <w:sz w:val="14"/>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p w14:paraId="67CFB61E" w14:textId="77777777" w:rsidR="00FC1013" w:rsidRDefault="004C465B">
    <w:pPr>
      <w:pStyle w:val="DataClassification"/>
    </w:pPr>
    <w:r>
      <w:rPr>
        <w:noProof/>
      </w:rPr>
      <mc:AlternateContent>
        <mc:Choice Requires="wps">
          <w:drawing>
            <wp:anchor distT="0" distB="0" distL="0" distR="0" simplePos="0" relativeHeight="251659264" behindDoc="0" locked="0" layoutInCell="1" allowOverlap="1" wp14:anchorId="6B7239AB" wp14:editId="181B3C00">
              <wp:simplePos x="0" y="0"/>
              <wp:positionH relativeFrom="margin">
                <wp:align>right</wp:align>
              </wp:positionH>
              <wp:positionV relativeFrom="paragraph">
                <wp:posOffset>10795</wp:posOffset>
              </wp:positionV>
              <wp:extent cx="14605" cy="14605"/>
              <wp:effectExtent l="0" t="0" r="0" b="0"/>
              <wp:wrapNone/>
              <wp:docPr id="8" name="Frame5"/>
              <wp:cNvGraphicFramePr/>
              <a:graphic xmlns:a="http://schemas.openxmlformats.org/drawingml/2006/main">
                <a:graphicData uri="http://schemas.microsoft.com/office/word/2010/wordprocessingShape">
                  <wps:wsp>
                    <wps:cNvSpPr txBox="1"/>
                    <wps:spPr>
                      <a:xfrm>
                        <a:off x="0" y="0"/>
                        <a:ext cx="14605" cy="14605"/>
                      </a:xfrm>
                      <a:prstGeom prst="rect">
                        <a:avLst/>
                      </a:prstGeom>
                      <a:solidFill>
                        <a:srgbClr val="FFFFFF">
                          <a:alpha val="0"/>
                        </a:srgbClr>
                      </a:solidFill>
                    </wps:spPr>
                    <wps:txbx>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wps:txbx>
                    <wps:bodyPr lIns="0" tIns="0" rIns="0" bIns="0" anchor="t">
                      <a:spAutoFit/>
                    </wps:bodyPr>
                  </wps:wsp>
                </a:graphicData>
              </a:graphic>
            </wp:anchor>
          </w:drawing>
        </mc:Choice>
        <mc:Fallback>
          <w:pict>
            <v:shapetype w14:anchorId="6B7239AB" id="_x0000_t202" coordsize="21600,21600" o:spt="202" path="m,l,21600r21600,l21600,xe">
              <v:stroke joinstyle="miter"/>
              <v:path gradientshapeok="t" o:connecttype="rect"/>
            </v:shapetype>
            <v:shape id="Frame5" o:spid="_x0000_s1026" type="#_x0000_t202" style="position:absolute;left:0;text-align:left;margin-left:-50.05pt;margin-top:.85pt;width:1.15pt;height:1.15pt;z-index:251659264;visibility:visible;mso-wrap-style:square;mso-wrap-distance-left:0;mso-wrap-distance-top:0;mso-wrap-distance-right:0;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" stroked="f">
              <v:fill opacity="0"/>
              <v:textbox style="mso-fit-shape-to-text:t" inset="0,0,0,0">
                <w:txbxContent>
                  <w:sdt>
                    <w:sdtPr>
                      <w:id w:val="1613548863"/>
                      <w:docPartObj>
                        <w:docPartGallery w:val="Page Numbers (Bottom of Page)"/>
                        <w:docPartUnique/>
                      </w:docPartObj>
                    </w:sdtPr>
                    <w:sdtEndPr/>
                    <w:sdtContent>
                      <w:p w14:paraId="194C231E" w14:textId="77777777" w:rsidR="00FC1013" w:rsidRDefault="004C465B">
                        <w:pPr>
                          <w:pStyle w:val="Foote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r>
                          <w:t xml:space="preserve"> / </w:t>
                        </w:r>
                        <w:fldSimple w:instr=" NUMPAGES ">
                          <w:r>
                            <w:t>14</w:t>
                          </w:r>
                        </w:fldSimple>
                        <w:r>
                          <w:rPr>
                            <w:rStyle w:val="PageNumber"/>
                          </w:rPr>
                          <w:t xml:space="preserve"> </w:t>
                        </w:r>
                      </w:p>
                    </w:sdtContent>
                  </w:sdt>
                </w:txbxContent>
              </v:textbox>
              <w10:wrap anchorx="margin"/>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E47CD8" w14:textId="77777777" w:rsidR="00FC1013" w:rsidRDefault="004C465B">
    <w:pPr>
      <w:pBdr>
        <w:top w:val="single" w:sz="4" w:space="6" w:color="000000"/>
      </w:pBdr>
      <w:tabs>
        <w:tab w:val="center" w:pos="4513"/>
        <w:tab w:val="right" w:pos="9072"/>
        <w:tab w:val="right" w:pos="9450"/>
      </w:tabs>
      <w:jc w:val="center"/>
      <w:rPr>
        <w:rFonts w:ascii="Arial" w:eastAsia="Times New Roman" w:hAnsi="Arial" w:cs="Arial"/>
        <w:color w:val="333333"/>
        <w:sz w:val="14"/>
        <w:szCs w:val="14"/>
        <w:lang w:val="en-AU"/>
      </w:rPr>
    </w:pPr>
    <w:r>
      <w:rPr>
        <w:rFonts w:eastAsia="Times New Roman" w:cs="Arial"/>
        <w:color w:val="333333"/>
        <w:sz w:val="14"/>
        <w:szCs w:val="14"/>
        <w:lang w:val="en-AU"/>
      </w:rPr>
      <w:t>© 2024 RIO TINTO GROUP</w:t>
    </w:r>
  </w:p>
  <w:p w14:paraId="239653D2" w14:textId="77777777" w:rsidR="00FC1013" w:rsidRDefault="004C465B">
    <w:pPr>
      <w:pStyle w:val="Footer"/>
    </w:pPr>
    <w:r>
      <w:rPr>
        <w:rFonts w:eastAsia="Times New Roman" w:cs="Arial"/>
        <w:color w:val="333333"/>
        <w:szCs w:val="14"/>
        <w:lang w:val="en-AU"/>
      </w:rPr>
      <w:t>This document is the copyright property of Rio Tinto Group and contains information that is confidential to companies within the Rio Tinto Group. Any request to copy or circulate this document outside of the Rio Tinto Group will require the prior written approval of the Group Executive of Development &amp; Technology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831837" w14:textId="77777777" w:rsidR="001D41C2" w:rsidRDefault="001D41C2">
      <w:r>
        <w:separator/>
      </w:r>
    </w:p>
  </w:footnote>
  <w:footnote w:type="continuationSeparator" w:id="0">
    <w:p w14:paraId="3177BF59" w14:textId="77777777" w:rsidR="001D41C2" w:rsidRDefault="001D41C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938D11" w14:textId="77777777" w:rsidR="00FC1013" w:rsidRDefault="00FC1013">
    <w:pPr>
      <w:pStyle w:val="DataClassification"/>
    </w:pPr>
  </w:p>
  <w:p w14:paraId="2E97B8F1" w14:textId="77777777" w:rsidR="00FC1013" w:rsidRDefault="00FC1013">
    <w:pPr>
      <w:pStyle w:val="Header"/>
    </w:pPr>
  </w:p>
  <w:p w14:paraId="0D9EC162" w14:textId="77777777" w:rsidR="00FC1013" w:rsidRDefault="00FC1013">
    <w:pPr>
      <w:pStyle w:val="Header"/>
    </w:pPr>
  </w:p>
  <w:p w14:paraId="1E6D7930" w14:textId="59657AA0" w:rsidR="00FC1013" w:rsidRDefault="00B03658">
    <w:pPr>
      <w:pStyle w:val="Headerunderline"/>
    </w:pPr>
    <w:fldSimple w:instr=" STYLEREF &quot;Automated Project Name&quot; ">
      <w:r w:rsidR="00F92E88">
        <w:rPr>
          <w:noProof/>
        </w:rPr>
        <w:t>[Enter Project Name]</w:t>
      </w:r>
    </w:fldSimple>
    <w:r w:rsidR="004C465B">
      <w:t xml:space="preserve"> - </w:t>
    </w:r>
    <w:fldSimple w:instr=" STYLEREF &quot;Front cover: Heading_&quot; ">
      <w:r w:rsidR="00F92E88">
        <w:rPr>
          <w:noProof/>
        </w:rPr>
        <w:t>PROCEDURE TITLE</w:t>
      </w:r>
    </w:fldSimple>
  </w:p>
  <w:p w14:paraId="68CEDCD5" w14:textId="77777777" w:rsidR="00FC1013" w:rsidRDefault="00FC1013">
    <w:pPr>
      <w:pStyle w:val="Header"/>
    </w:pPr>
  </w:p>
  <w:p w14:paraId="62FAD2A2" w14:textId="77777777" w:rsidR="00FC1013" w:rsidRDefault="00FC1013">
    <w:pPr>
      <w:pStyle w:val="Header"/>
    </w:pPr>
  </w:p>
  <w:p w14:paraId="4B6F8956" w14:textId="77777777" w:rsidR="00FC1013" w:rsidRDefault="00FC101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042B4" w14:textId="77777777" w:rsidR="00E3554C" w:rsidRDefault="00E3554C" w:rsidP="00E3554C">
    <w:pPr>
      <w:pStyle w:val="Header"/>
      <w:tabs>
        <w:tab w:val="clear" w:pos="9639"/>
        <w:tab w:val="right" w:pos="9638"/>
      </w:tabs>
      <w:ind w:left="7088"/>
    </w:pPr>
  </w:p>
  <w:p w14:paraId="098BD27A" w14:textId="77777777" w:rsidR="00E3554C" w:rsidRDefault="00E3554C" w:rsidP="00E3554C">
    <w:pPr>
      <w:pStyle w:val="Header"/>
      <w:tabs>
        <w:tab w:val="clear" w:pos="9639"/>
        <w:tab w:val="right" w:pos="9638"/>
      </w:tabs>
      <w:ind w:left="7088"/>
    </w:pPr>
  </w:p>
  <w:p w14:paraId="5416590D" w14:textId="77777777" w:rsidR="00FC1013" w:rsidRDefault="00E87570" w:rsidP="00C33144">
    <w:pPr>
      <w:pStyle w:val="Header"/>
      <w:tabs>
        <w:tab w:val="clear" w:pos="9639"/>
        <w:tab w:val="right" w:pos="9638"/>
      </w:tabs>
      <w:ind w:left="7088"/>
    </w:pPr>
    <w:r>
      <w:rPr>
        <w:noProof/>
      </w:rPr>
      <w:drawing>
        <wp:anchor distT="0" distB="0" distL="114300" distR="114300" simplePos="0" relativeHeight="251668992" behindDoc="1" locked="0" layoutInCell="1" allowOverlap="1" wp14:anchorId="0F900CAF" wp14:editId="14E85CC9">
          <wp:simplePos x="0" y="0"/>
          <wp:positionH relativeFrom="column">
            <wp:posOffset>-1653540</wp:posOffset>
          </wp:positionH>
          <wp:positionV relativeFrom="paragraph">
            <wp:posOffset>-798196</wp:posOffset>
          </wp:positionV>
          <wp:extent cx="4302125" cy="3999230"/>
          <wp:effectExtent l="800100" t="952500" r="727075" b="953770"/>
          <wp:wrapNone/>
          <wp:docPr id="19262585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130117" name="Picture 1"/>
                  <pic:cNvPicPr>
                    <a:picLocks noChangeAspect="1"/>
                  </pic:cNvPicPr>
                </pic:nvPicPr>
                <pic:blipFill rotWithShape="1">
                  <a:blip r:embed="rId1">
                    <a:grayscl/>
                    <a:alphaModFix amt="20000"/>
                    <a:extLst>
                      <a:ext uri="{28A0092B-C50C-407E-A947-70E740481C1C}">
                        <a14:useLocalDpi xmlns:a14="http://schemas.microsoft.com/office/drawing/2010/main" val="0"/>
                      </a:ext>
                    </a:extLst>
                  </a:blip>
                  <a:srcRect l="39613"/>
                  <a:stretch>
                    <a:fillRect/>
                  </a:stretch>
                </pic:blipFill>
                <pic:spPr bwMode="auto">
                  <a:xfrm rot="18916714">
                    <a:off x="0" y="0"/>
                    <a:ext cx="4302125" cy="3999230"/>
                  </a:xfrm>
                  <a:prstGeom prst="rect">
                    <a:avLst/>
                  </a:prstGeom>
                  <a:ln>
                    <a:noFill/>
                  </a:ln>
                  <a:extLst>
                    <a:ext uri="{53640926-AAD7-44D8-BBD7-CCE9431645EC}">
                      <a14:shadowObscured xmlns:a14="http://schemas.microsoft.com/office/drawing/2010/main"/>
                    </a:ext>
                  </a:extLst>
                </pic:spPr>
              </pic:pic>
            </a:graphicData>
          </a:graphic>
        </wp:anchor>
      </w:drawing>
    </w:r>
    <w:r w:rsidR="00E3554C" w:rsidRPr="00E3554C">
      <w:rPr>
        <w:noProof/>
      </w:rPr>
      <w:drawing>
        <wp:inline distT="0" distB="0" distL="0" distR="0" wp14:anchorId="15309544" wp14:editId="63AF0FCE">
          <wp:extent cx="1188085" cy="252095"/>
          <wp:effectExtent l="0" t="0" r="0" b="0"/>
          <wp:docPr id="172954863" name="Graphic 4"/>
          <wp:cNvGraphicFramePr/>
          <a:graphic xmlns:a="http://schemas.openxmlformats.org/drawingml/2006/main">
            <a:graphicData uri="http://schemas.openxmlformats.org/drawingml/2006/picture">
              <pic:pic xmlns:pic="http://schemas.openxmlformats.org/drawingml/2006/picture">
                <pic:nvPicPr>
                  <pic:cNvPr id="1" name="Graphic 1"/>
                  <pic:cNvPicPr>
                    <a:picLocks noChangeAspect="1"/>
                  </pic:cNvPicPr>
                </pic:nvPicPr>
                <pic:blipFill>
                  <a:blip r:embed="rId2" cstate="print">
                    <a:extLst>
                      <a:ext uri="{28A0092B-C50C-407E-A947-70E740481C1C}">
                        <a14:useLocalDpi xmlns:a14="http://schemas.microsoft.com/office/drawing/2010/main" val="0"/>
                      </a:ext>
                      <a:ext uri="{96DAC541-7B7A-43D3-8B79-37D633B846F1}">
                        <asvg:svgBlip xmlns:asvg="http://schemas.microsoft.com/office/drawing/2016/SVG/main" r:embed="rId3"/>
                      </a:ext>
                    </a:extLst>
                  </a:blip>
                  <a:stretch>
                    <a:fillRect/>
                  </a:stretch>
                </pic:blipFill>
                <pic:spPr>
                  <a:xfrm>
                    <a:off x="0" y="0"/>
                    <a:ext cx="1187450" cy="251460"/>
                  </a:xfrm>
                  <a:prstGeom prst="rect">
                    <a:avLst/>
                  </a:prstGeom>
                </pic:spPr>
              </pic:pic>
            </a:graphicData>
          </a:graphic>
        </wp:inline>
      </w:drawing>
    </w:r>
  </w:p>
  <w:p w14:paraId="7863338B" w14:textId="77777777" w:rsidR="00C33144" w:rsidRPr="005157BB" w:rsidRDefault="00C33144" w:rsidP="00C33144">
    <w:pPr>
      <w:pStyle w:val="Header"/>
      <w:tabs>
        <w:tab w:val="clear" w:pos="9639"/>
        <w:tab w:val="right" w:pos="9638"/>
      </w:tabs>
      <w:spacing w:before="120" w:line="281" w:lineRule="auto"/>
      <w:ind w:left="7088"/>
      <w:rPr>
        <w:color w:val="404040" w:themeColor="text1" w:themeTint="BF"/>
        <w:sz w:val="28"/>
        <w:szCs w:val="28"/>
      </w:rPr>
    </w:pPr>
    <w:r w:rsidRPr="005157BB">
      <w:rPr>
        <w:color w:val="404040" w:themeColor="text1" w:themeTint="BF"/>
        <w:sz w:val="28"/>
        <w:szCs w:val="28"/>
      </w:rPr>
      <w:t>RioProjects HSESC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9784F"/>
    <w:multiLevelType w:val="hybridMultilevel"/>
    <w:tmpl w:val="A81CCCA6"/>
    <w:lvl w:ilvl="0" w:tplc="0C090011">
      <w:start w:val="1"/>
      <w:numFmt w:val="decimal"/>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 w15:restartNumberingAfterBreak="0">
    <w:nsid w:val="1E781775"/>
    <w:multiLevelType w:val="multilevel"/>
    <w:tmpl w:val="421CAB70"/>
    <w:lvl w:ilvl="0">
      <w:start w:val="1"/>
      <w:numFmt w:val="bullet"/>
      <w:pStyle w:val="TableText"/>
      <w:lvlText w:val="-"/>
      <w:lvlJc w:val="left"/>
      <w:pPr>
        <w:tabs>
          <w:tab w:val="num" w:pos="0"/>
        </w:tabs>
        <w:ind w:left="1080" w:hanging="360"/>
      </w:pPr>
      <w:rPr>
        <w:rFonts w:ascii="Courier New" w:hAnsi="Courier New" w:cs="Courier New"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2" w15:restartNumberingAfterBreak="0">
    <w:nsid w:val="1F86000B"/>
    <w:multiLevelType w:val="hybridMultilevel"/>
    <w:tmpl w:val="8D768A86"/>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3" w15:restartNumberingAfterBreak="0">
    <w:nsid w:val="26D856E2"/>
    <w:multiLevelType w:val="multilevel"/>
    <w:tmpl w:val="0CC2C232"/>
    <w:lvl w:ilvl="0">
      <w:numFmt w:val="decimal"/>
      <w:pStyle w:val="Heading1Numbered"/>
      <w:lvlText w:val="%1"/>
      <w:lvlJc w:val="left"/>
      <w:pPr>
        <w:tabs>
          <w:tab w:val="num" w:pos="0"/>
        </w:tabs>
        <w:ind w:left="0" w:firstLine="0"/>
      </w:pPr>
      <w:rPr>
        <w:rFonts w:hint="default"/>
      </w:rPr>
    </w:lvl>
    <w:lvl w:ilvl="1">
      <w:start w:val="1"/>
      <w:numFmt w:val="decimal"/>
      <w:pStyle w:val="Heading2Numbered"/>
      <w:lvlText w:val="%1.%2"/>
      <w:lvlJc w:val="left"/>
      <w:pPr>
        <w:tabs>
          <w:tab w:val="num" w:pos="0"/>
        </w:tabs>
        <w:ind w:left="0" w:firstLine="0"/>
      </w:pPr>
      <w:rPr>
        <w:rFonts w:hint="default"/>
      </w:rPr>
    </w:lvl>
    <w:lvl w:ilvl="2">
      <w:start w:val="1"/>
      <w:numFmt w:val="decimal"/>
      <w:pStyle w:val="Heading3Numbered"/>
      <w:lvlText w:val="%1.%2.%3"/>
      <w:lvlJc w:val="left"/>
      <w:pPr>
        <w:tabs>
          <w:tab w:val="num" w:pos="0"/>
        </w:tabs>
        <w:ind w:left="0" w:firstLine="0"/>
      </w:pPr>
      <w:rPr>
        <w:rFonts w:hint="default"/>
      </w:rPr>
    </w:lvl>
    <w:lvl w:ilvl="3">
      <w:start w:val="1"/>
      <w:numFmt w:val="decimal"/>
      <w:lvlText w:val="%1.%2.%3.%4."/>
      <w:lvlJc w:val="left"/>
      <w:pPr>
        <w:tabs>
          <w:tab w:val="num" w:pos="0"/>
        </w:tabs>
        <w:ind w:left="1728" w:hanging="648"/>
      </w:pPr>
      <w:rPr>
        <w:rFonts w:hint="default"/>
      </w:rPr>
    </w:lvl>
    <w:lvl w:ilvl="4">
      <w:start w:val="1"/>
      <w:numFmt w:val="decimal"/>
      <w:lvlText w:val="%1.%2.%3.%4.%5."/>
      <w:lvlJc w:val="left"/>
      <w:pPr>
        <w:tabs>
          <w:tab w:val="num" w:pos="0"/>
        </w:tabs>
        <w:ind w:left="2232" w:hanging="792"/>
      </w:pPr>
      <w:rPr>
        <w:rFonts w:hint="default"/>
      </w:rPr>
    </w:lvl>
    <w:lvl w:ilvl="5">
      <w:start w:val="1"/>
      <w:numFmt w:val="decimal"/>
      <w:lvlText w:val="%1.%2.%3.%4.%5.%6."/>
      <w:lvlJc w:val="left"/>
      <w:pPr>
        <w:tabs>
          <w:tab w:val="num" w:pos="0"/>
        </w:tabs>
        <w:ind w:left="2736" w:hanging="936"/>
      </w:pPr>
      <w:rPr>
        <w:rFonts w:hint="default"/>
      </w:rPr>
    </w:lvl>
    <w:lvl w:ilvl="6">
      <w:start w:val="1"/>
      <w:numFmt w:val="decimal"/>
      <w:lvlText w:val="%1.%2.%3.%4.%5.%6.%7."/>
      <w:lvlJc w:val="left"/>
      <w:pPr>
        <w:tabs>
          <w:tab w:val="num" w:pos="0"/>
        </w:tabs>
        <w:ind w:left="3240" w:hanging="1080"/>
      </w:pPr>
      <w:rPr>
        <w:rFonts w:hint="default"/>
      </w:rPr>
    </w:lvl>
    <w:lvl w:ilvl="7">
      <w:start w:val="1"/>
      <w:numFmt w:val="decimal"/>
      <w:lvlText w:val="%1.%2.%3.%4.%5.%6.%7.%8."/>
      <w:lvlJc w:val="left"/>
      <w:pPr>
        <w:tabs>
          <w:tab w:val="num" w:pos="0"/>
        </w:tabs>
        <w:ind w:left="3744" w:hanging="1224"/>
      </w:pPr>
      <w:rPr>
        <w:rFonts w:hint="default"/>
      </w:rPr>
    </w:lvl>
    <w:lvl w:ilvl="8">
      <w:start w:val="1"/>
      <w:numFmt w:val="decimal"/>
      <w:lvlText w:val="%1.%2.%3.%4.%5.%6.%7.%8.%9."/>
      <w:lvlJc w:val="left"/>
      <w:pPr>
        <w:tabs>
          <w:tab w:val="num" w:pos="0"/>
        </w:tabs>
        <w:ind w:left="4320" w:hanging="1440"/>
      </w:pPr>
      <w:rPr>
        <w:rFonts w:hint="default"/>
      </w:rPr>
    </w:lvl>
  </w:abstractNum>
  <w:abstractNum w:abstractNumId="4" w15:restartNumberingAfterBreak="0">
    <w:nsid w:val="334B0544"/>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5" w15:restartNumberingAfterBreak="0">
    <w:nsid w:val="369072CA"/>
    <w:multiLevelType w:val="hybridMultilevel"/>
    <w:tmpl w:val="EB26D97C"/>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6" w15:restartNumberingAfterBreak="0">
    <w:nsid w:val="38DC165C"/>
    <w:multiLevelType w:val="hybridMultilevel"/>
    <w:tmpl w:val="3D5EC2DC"/>
    <w:lvl w:ilvl="0" w:tplc="0C090011">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7" w15:restartNumberingAfterBreak="0">
    <w:nsid w:val="3D0412CB"/>
    <w:multiLevelType w:val="multilevel"/>
    <w:tmpl w:val="535EBD4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8" w15:restartNumberingAfterBreak="0">
    <w:nsid w:val="3FB30254"/>
    <w:multiLevelType w:val="multilevel"/>
    <w:tmpl w:val="095A320A"/>
    <w:lvl w:ilvl="0">
      <w:start w:val="1"/>
      <w:numFmt w:val="bullet"/>
      <w:pStyle w:val="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9" w15:restartNumberingAfterBreak="0">
    <w:nsid w:val="49E17D42"/>
    <w:multiLevelType w:val="multilevel"/>
    <w:tmpl w:val="403460A8"/>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0" w15:restartNumberingAfterBreak="0">
    <w:nsid w:val="52264BC4"/>
    <w:multiLevelType w:val="multilevel"/>
    <w:tmpl w:val="C31EF118"/>
    <w:lvl w:ilvl="0">
      <w:start w:val="1"/>
      <w:numFmt w:val="bullet"/>
      <w:pStyle w:val="NumberedBulletL1"/>
      <w:lvlText w:val="•"/>
      <w:lvlJc w:val="left"/>
      <w:pPr>
        <w:tabs>
          <w:tab w:val="num" w:pos="0"/>
        </w:tabs>
        <w:ind w:left="360" w:hanging="360"/>
      </w:pPr>
      <w:rPr>
        <w:rFonts w:ascii="Arial" w:hAnsi="Arial" w:cs="Arial" w:hint="default"/>
        <w:color w:val="auto"/>
      </w:rPr>
    </w:lvl>
    <w:lvl w:ilvl="1">
      <w:start w:val="1"/>
      <w:numFmt w:val="bullet"/>
      <w:lvlText w:val="–"/>
      <w:lvlJc w:val="left"/>
      <w:pPr>
        <w:tabs>
          <w:tab w:val="num" w:pos="0"/>
        </w:tabs>
        <w:ind w:left="720" w:hanging="360"/>
      </w:pPr>
      <w:rPr>
        <w:rFonts w:ascii="Arial" w:hAnsi="Arial" w:cs="Arial" w:hint="default"/>
        <w:color w:val="auto"/>
      </w:rPr>
    </w:lvl>
    <w:lvl w:ilvl="2">
      <w:start w:val="1"/>
      <w:numFmt w:val="bullet"/>
      <w:lvlText w:val="–"/>
      <w:lvlJc w:val="left"/>
      <w:pPr>
        <w:tabs>
          <w:tab w:val="num" w:pos="0"/>
        </w:tabs>
        <w:ind w:left="1080" w:hanging="360"/>
      </w:pPr>
      <w:rPr>
        <w:rFonts w:ascii="Arial" w:hAnsi="Arial" w:cs="Arial" w:hint="default"/>
        <w:color w:val="auto"/>
      </w:rPr>
    </w:lvl>
    <w:lvl w:ilvl="3">
      <w:start w:val="1"/>
      <w:numFmt w:val="bullet"/>
      <w:lvlText w:val="–"/>
      <w:lvlJc w:val="left"/>
      <w:pPr>
        <w:tabs>
          <w:tab w:val="num" w:pos="0"/>
        </w:tabs>
        <w:ind w:left="1440" w:hanging="360"/>
      </w:pPr>
      <w:rPr>
        <w:rFonts w:ascii="Arial" w:hAnsi="Arial" w:cs="Arial" w:hint="default"/>
        <w:color w:val="auto"/>
      </w:rPr>
    </w:lvl>
    <w:lvl w:ilvl="4">
      <w:start w:val="1"/>
      <w:numFmt w:val="bullet"/>
      <w:lvlText w:val="–"/>
      <w:lvlJc w:val="left"/>
      <w:pPr>
        <w:tabs>
          <w:tab w:val="num" w:pos="0"/>
        </w:tabs>
        <w:ind w:left="1800" w:hanging="360"/>
      </w:pPr>
      <w:rPr>
        <w:rFonts w:ascii="Arial" w:hAnsi="Arial" w:cs="Arial" w:hint="default"/>
        <w:color w:val="auto"/>
      </w:rPr>
    </w:lvl>
    <w:lvl w:ilvl="5">
      <w:start w:val="1"/>
      <w:numFmt w:val="bullet"/>
      <w:lvlText w:val="–"/>
      <w:lvlJc w:val="left"/>
      <w:pPr>
        <w:tabs>
          <w:tab w:val="num" w:pos="0"/>
        </w:tabs>
        <w:ind w:left="2160" w:hanging="360"/>
      </w:pPr>
      <w:rPr>
        <w:rFonts w:ascii="Arial" w:hAnsi="Arial" w:cs="Arial" w:hint="default"/>
        <w:color w:val="auto"/>
      </w:rPr>
    </w:lvl>
    <w:lvl w:ilvl="6">
      <w:start w:val="1"/>
      <w:numFmt w:val="bullet"/>
      <w:lvlText w:val="–"/>
      <w:lvlJc w:val="left"/>
      <w:pPr>
        <w:tabs>
          <w:tab w:val="num" w:pos="0"/>
        </w:tabs>
        <w:ind w:left="2520" w:hanging="360"/>
      </w:pPr>
      <w:rPr>
        <w:rFonts w:ascii="Arial" w:hAnsi="Arial" w:cs="Arial" w:hint="default"/>
        <w:color w:val="auto"/>
      </w:rPr>
    </w:lvl>
    <w:lvl w:ilvl="7">
      <w:start w:val="1"/>
      <w:numFmt w:val="bullet"/>
      <w:lvlText w:val="–"/>
      <w:lvlJc w:val="left"/>
      <w:pPr>
        <w:tabs>
          <w:tab w:val="num" w:pos="0"/>
        </w:tabs>
        <w:ind w:left="2880" w:hanging="360"/>
      </w:pPr>
      <w:rPr>
        <w:rFonts w:ascii="Arial" w:hAnsi="Arial" w:cs="Arial" w:hint="default"/>
        <w:color w:val="auto"/>
      </w:rPr>
    </w:lvl>
    <w:lvl w:ilvl="8">
      <w:start w:val="1"/>
      <w:numFmt w:val="bullet"/>
      <w:lvlText w:val="–"/>
      <w:lvlJc w:val="left"/>
      <w:pPr>
        <w:tabs>
          <w:tab w:val="num" w:pos="0"/>
        </w:tabs>
        <w:ind w:left="3240" w:hanging="360"/>
      </w:pPr>
      <w:rPr>
        <w:rFonts w:ascii="Arial" w:hAnsi="Arial" w:cs="Arial" w:hint="default"/>
        <w:color w:val="auto"/>
      </w:rPr>
    </w:lvl>
  </w:abstractNum>
  <w:abstractNum w:abstractNumId="11" w15:restartNumberingAfterBreak="0">
    <w:nsid w:val="54951D53"/>
    <w:multiLevelType w:val="multilevel"/>
    <w:tmpl w:val="720E230C"/>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2" w15:restartNumberingAfterBreak="0">
    <w:nsid w:val="58DD5C00"/>
    <w:multiLevelType w:val="multilevel"/>
    <w:tmpl w:val="745C493E"/>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3" w15:restartNumberingAfterBreak="0">
    <w:nsid w:val="5CCC59E1"/>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4" w15:restartNumberingAfterBreak="0">
    <w:nsid w:val="635E6056"/>
    <w:multiLevelType w:val="multilevel"/>
    <w:tmpl w:val="B21EDD5E"/>
    <w:styleLink w:val="Headings"/>
    <w:lvl w:ilvl="0">
      <w:start w:val="1"/>
      <w:numFmt w:val="decimal"/>
      <w:lvlText w:val="%1"/>
      <w:lvlJc w:val="left"/>
      <w:pPr>
        <w:ind w:left="360" w:hanging="360"/>
      </w:pPr>
    </w:lvl>
    <w:lvl w:ilvl="1">
      <w:start w:val="1"/>
      <w:numFmt w:val="decimal"/>
      <w:lvlText w:val="%1.%2"/>
      <w:lvlJc w:val="left"/>
      <w:pPr>
        <w:ind w:left="540" w:hanging="360"/>
      </w:pPr>
    </w:lvl>
    <w:lvl w:ilvl="2">
      <w:start w:val="1"/>
      <w:numFmt w:val="decimal"/>
      <w:lvlText w:val="%1.%2.%3"/>
      <w:lvlJc w:val="left"/>
      <w:pPr>
        <w:ind w:left="1080" w:hanging="360"/>
      </w:pPr>
    </w:lvl>
    <w:lvl w:ilvl="3">
      <w:start w:val="1"/>
      <w:numFmt w:val="decimal"/>
      <w:lvlText w:val="%1.%2.%3.%4"/>
      <w:lvlJc w:val="left"/>
      <w:pPr>
        <w:ind w:left="1440" w:hanging="360"/>
      </w:pPr>
    </w:lvl>
    <w:lvl w:ilvl="4">
      <w:start w:val="1"/>
      <w:numFmt w:val="decimal"/>
      <w:lvlText w:val="%1.%2.%3.%4.%5"/>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15" w15:restartNumberingAfterBreak="0">
    <w:nsid w:val="686B1493"/>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6" w15:restartNumberingAfterBreak="0">
    <w:nsid w:val="68A26A93"/>
    <w:multiLevelType w:val="multilevel"/>
    <w:tmpl w:val="BE3801E6"/>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17" w15:restartNumberingAfterBreak="0">
    <w:nsid w:val="68FF5560"/>
    <w:multiLevelType w:val="hybridMultilevel"/>
    <w:tmpl w:val="07EC278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8" w15:restartNumberingAfterBreak="0">
    <w:nsid w:val="70D278C6"/>
    <w:multiLevelType w:val="hybridMultilevel"/>
    <w:tmpl w:val="1F24FDC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19" w15:restartNumberingAfterBreak="0">
    <w:nsid w:val="736C5116"/>
    <w:multiLevelType w:val="multilevel"/>
    <w:tmpl w:val="FDDEBA3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0" w15:restartNumberingAfterBreak="0">
    <w:nsid w:val="74D969E2"/>
    <w:multiLevelType w:val="multilevel"/>
    <w:tmpl w:val="7D5238E4"/>
    <w:lvl w:ilvl="0">
      <w:start w:val="1"/>
      <w:numFmt w:val="lowerLetter"/>
      <w:lvlText w:val="%1)"/>
      <w:lvlJc w:val="left"/>
      <w:pPr>
        <w:tabs>
          <w:tab w:val="num" w:pos="0"/>
        </w:tabs>
        <w:ind w:left="1429" w:hanging="360"/>
      </w:pPr>
    </w:lvl>
    <w:lvl w:ilvl="1">
      <w:start w:val="1"/>
      <w:numFmt w:val="lowerLetter"/>
      <w:lvlText w:val="%2."/>
      <w:lvlJc w:val="left"/>
      <w:pPr>
        <w:tabs>
          <w:tab w:val="num" w:pos="0"/>
        </w:tabs>
        <w:ind w:left="2149" w:hanging="360"/>
      </w:pPr>
    </w:lvl>
    <w:lvl w:ilvl="2">
      <w:start w:val="1"/>
      <w:numFmt w:val="lowerRoman"/>
      <w:lvlText w:val="%3."/>
      <w:lvlJc w:val="right"/>
      <w:pPr>
        <w:tabs>
          <w:tab w:val="num" w:pos="0"/>
        </w:tabs>
        <w:ind w:left="2869" w:hanging="180"/>
      </w:pPr>
    </w:lvl>
    <w:lvl w:ilvl="3">
      <w:start w:val="1"/>
      <w:numFmt w:val="decimal"/>
      <w:lvlText w:val="%4."/>
      <w:lvlJc w:val="left"/>
      <w:pPr>
        <w:tabs>
          <w:tab w:val="num" w:pos="0"/>
        </w:tabs>
        <w:ind w:left="3589" w:hanging="360"/>
      </w:pPr>
    </w:lvl>
    <w:lvl w:ilvl="4">
      <w:start w:val="1"/>
      <w:numFmt w:val="lowerLetter"/>
      <w:lvlText w:val="%5."/>
      <w:lvlJc w:val="left"/>
      <w:pPr>
        <w:tabs>
          <w:tab w:val="num" w:pos="0"/>
        </w:tabs>
        <w:ind w:left="4309" w:hanging="360"/>
      </w:pPr>
    </w:lvl>
    <w:lvl w:ilvl="5">
      <w:start w:val="1"/>
      <w:numFmt w:val="lowerRoman"/>
      <w:lvlText w:val="%6."/>
      <w:lvlJc w:val="right"/>
      <w:pPr>
        <w:tabs>
          <w:tab w:val="num" w:pos="0"/>
        </w:tabs>
        <w:ind w:left="5029" w:hanging="180"/>
      </w:pPr>
    </w:lvl>
    <w:lvl w:ilvl="6">
      <w:start w:val="1"/>
      <w:numFmt w:val="decimal"/>
      <w:lvlText w:val="%7."/>
      <w:lvlJc w:val="left"/>
      <w:pPr>
        <w:tabs>
          <w:tab w:val="num" w:pos="0"/>
        </w:tabs>
        <w:ind w:left="5749" w:hanging="360"/>
      </w:pPr>
    </w:lvl>
    <w:lvl w:ilvl="7">
      <w:start w:val="1"/>
      <w:numFmt w:val="lowerLetter"/>
      <w:lvlText w:val="%8."/>
      <w:lvlJc w:val="left"/>
      <w:pPr>
        <w:tabs>
          <w:tab w:val="num" w:pos="0"/>
        </w:tabs>
        <w:ind w:left="6469" w:hanging="360"/>
      </w:pPr>
    </w:lvl>
    <w:lvl w:ilvl="8">
      <w:start w:val="1"/>
      <w:numFmt w:val="lowerRoman"/>
      <w:lvlText w:val="%9."/>
      <w:lvlJc w:val="right"/>
      <w:pPr>
        <w:tabs>
          <w:tab w:val="num" w:pos="0"/>
        </w:tabs>
        <w:ind w:left="7189" w:hanging="180"/>
      </w:pPr>
    </w:lvl>
  </w:abstractNum>
  <w:abstractNum w:abstractNumId="21" w15:restartNumberingAfterBreak="0">
    <w:nsid w:val="79063736"/>
    <w:multiLevelType w:val="hybridMultilevel"/>
    <w:tmpl w:val="A672DBF4"/>
    <w:lvl w:ilvl="0" w:tplc="0C090017">
      <w:start w:val="1"/>
      <w:numFmt w:val="lowerLetter"/>
      <w:lvlText w:val="%1)"/>
      <w:lvlJc w:val="left"/>
      <w:pPr>
        <w:ind w:left="1429" w:hanging="360"/>
      </w:pPr>
    </w:lvl>
    <w:lvl w:ilvl="1" w:tplc="0C090019" w:tentative="1">
      <w:start w:val="1"/>
      <w:numFmt w:val="lowerLetter"/>
      <w:lvlText w:val="%2."/>
      <w:lvlJc w:val="left"/>
      <w:pPr>
        <w:ind w:left="2149" w:hanging="360"/>
      </w:pPr>
    </w:lvl>
    <w:lvl w:ilvl="2" w:tplc="0C09001B" w:tentative="1">
      <w:start w:val="1"/>
      <w:numFmt w:val="lowerRoman"/>
      <w:lvlText w:val="%3."/>
      <w:lvlJc w:val="right"/>
      <w:pPr>
        <w:ind w:left="2869" w:hanging="180"/>
      </w:pPr>
    </w:lvl>
    <w:lvl w:ilvl="3" w:tplc="0C09000F" w:tentative="1">
      <w:start w:val="1"/>
      <w:numFmt w:val="decimal"/>
      <w:lvlText w:val="%4."/>
      <w:lvlJc w:val="left"/>
      <w:pPr>
        <w:ind w:left="3589" w:hanging="360"/>
      </w:pPr>
    </w:lvl>
    <w:lvl w:ilvl="4" w:tplc="0C090019" w:tentative="1">
      <w:start w:val="1"/>
      <w:numFmt w:val="lowerLetter"/>
      <w:lvlText w:val="%5."/>
      <w:lvlJc w:val="left"/>
      <w:pPr>
        <w:ind w:left="4309" w:hanging="360"/>
      </w:pPr>
    </w:lvl>
    <w:lvl w:ilvl="5" w:tplc="0C09001B" w:tentative="1">
      <w:start w:val="1"/>
      <w:numFmt w:val="lowerRoman"/>
      <w:lvlText w:val="%6."/>
      <w:lvlJc w:val="right"/>
      <w:pPr>
        <w:ind w:left="5029" w:hanging="180"/>
      </w:pPr>
    </w:lvl>
    <w:lvl w:ilvl="6" w:tplc="0C09000F" w:tentative="1">
      <w:start w:val="1"/>
      <w:numFmt w:val="decimal"/>
      <w:lvlText w:val="%7."/>
      <w:lvlJc w:val="left"/>
      <w:pPr>
        <w:ind w:left="5749" w:hanging="360"/>
      </w:pPr>
    </w:lvl>
    <w:lvl w:ilvl="7" w:tplc="0C090019" w:tentative="1">
      <w:start w:val="1"/>
      <w:numFmt w:val="lowerLetter"/>
      <w:lvlText w:val="%8."/>
      <w:lvlJc w:val="left"/>
      <w:pPr>
        <w:ind w:left="6469" w:hanging="360"/>
      </w:pPr>
    </w:lvl>
    <w:lvl w:ilvl="8" w:tplc="0C09001B" w:tentative="1">
      <w:start w:val="1"/>
      <w:numFmt w:val="lowerRoman"/>
      <w:lvlText w:val="%9."/>
      <w:lvlJc w:val="right"/>
      <w:pPr>
        <w:ind w:left="7189" w:hanging="180"/>
      </w:pPr>
    </w:lvl>
  </w:abstractNum>
  <w:abstractNum w:abstractNumId="22" w15:restartNumberingAfterBreak="0">
    <w:nsid w:val="7F484C89"/>
    <w:multiLevelType w:val="hybridMultilevel"/>
    <w:tmpl w:val="CB18EE86"/>
    <w:lvl w:ilvl="0" w:tplc="54104A76">
      <w:start w:val="1"/>
      <w:numFmt w:val="bullet"/>
      <w:lvlText w:val="•"/>
      <w:lvlJc w:val="left"/>
      <w:pPr>
        <w:ind w:left="540" w:hanging="320"/>
      </w:pPr>
    </w:lvl>
    <w:lvl w:ilvl="1" w:tplc="0F42B0D6">
      <w:numFmt w:val="decimal"/>
      <w:lvlText w:val=""/>
      <w:lvlJc w:val="left"/>
    </w:lvl>
    <w:lvl w:ilvl="2" w:tplc="884C487A">
      <w:numFmt w:val="decimal"/>
      <w:lvlText w:val=""/>
      <w:lvlJc w:val="left"/>
    </w:lvl>
    <w:lvl w:ilvl="3" w:tplc="C0F8A29C">
      <w:numFmt w:val="decimal"/>
      <w:lvlText w:val=""/>
      <w:lvlJc w:val="left"/>
    </w:lvl>
    <w:lvl w:ilvl="4" w:tplc="C6D8D9C6">
      <w:numFmt w:val="decimal"/>
      <w:lvlText w:val=""/>
      <w:lvlJc w:val="left"/>
    </w:lvl>
    <w:lvl w:ilvl="5" w:tplc="2902A088">
      <w:numFmt w:val="decimal"/>
      <w:lvlText w:val=""/>
      <w:lvlJc w:val="left"/>
    </w:lvl>
    <w:lvl w:ilvl="6" w:tplc="EAA426DC">
      <w:numFmt w:val="decimal"/>
      <w:lvlText w:val=""/>
      <w:lvlJc w:val="left"/>
    </w:lvl>
    <w:lvl w:ilvl="7" w:tplc="2604B6A6">
      <w:numFmt w:val="decimal"/>
      <w:lvlText w:val=""/>
      <w:lvlJc w:val="left"/>
    </w:lvl>
    <w:lvl w:ilvl="8" w:tplc="86C22F38">
      <w:numFmt w:val="decimal"/>
      <w:lvlText w:val=""/>
      <w:lvlJc w:val="left"/>
    </w:lvl>
  </w:abstractNum>
  <w:num w:numId="1" w16cid:durableId="253562429">
    <w:abstractNumId w:val="3"/>
  </w:num>
  <w:num w:numId="2" w16cid:durableId="1252468866">
    <w:abstractNumId w:val="10"/>
  </w:num>
  <w:num w:numId="3" w16cid:durableId="1373774163">
    <w:abstractNumId w:val="8"/>
  </w:num>
  <w:num w:numId="4" w16cid:durableId="984310045">
    <w:abstractNumId w:val="1"/>
  </w:num>
  <w:num w:numId="5" w16cid:durableId="995845146">
    <w:abstractNumId w:val="20"/>
  </w:num>
  <w:num w:numId="6" w16cid:durableId="530191151">
    <w:abstractNumId w:val="4"/>
  </w:num>
  <w:num w:numId="7" w16cid:durableId="1659728927">
    <w:abstractNumId w:val="16"/>
  </w:num>
  <w:num w:numId="8" w16cid:durableId="282807434">
    <w:abstractNumId w:val="11"/>
  </w:num>
  <w:num w:numId="9" w16cid:durableId="817113281">
    <w:abstractNumId w:val="12"/>
  </w:num>
  <w:num w:numId="10" w16cid:durableId="1484850594">
    <w:abstractNumId w:val="7"/>
  </w:num>
  <w:num w:numId="11" w16cid:durableId="2080908296">
    <w:abstractNumId w:val="19"/>
  </w:num>
  <w:num w:numId="12" w16cid:durableId="844395967">
    <w:abstractNumId w:val="20"/>
  </w:num>
  <w:num w:numId="13" w16cid:durableId="1469202145">
    <w:abstractNumId w:val="4"/>
  </w:num>
  <w:num w:numId="14" w16cid:durableId="953093519">
    <w:abstractNumId w:val="16"/>
  </w:num>
  <w:num w:numId="15" w16cid:durableId="68694079">
    <w:abstractNumId w:val="15"/>
  </w:num>
  <w:num w:numId="16" w16cid:durableId="492767847">
    <w:abstractNumId w:val="9"/>
  </w:num>
  <w:num w:numId="17" w16cid:durableId="1142843330">
    <w:abstractNumId w:val="13"/>
  </w:num>
  <w:num w:numId="18" w16cid:durableId="1617902721">
    <w:abstractNumId w:val="17"/>
  </w:num>
  <w:num w:numId="19" w16cid:durableId="1274481969">
    <w:abstractNumId w:val="5"/>
  </w:num>
  <w:num w:numId="20" w16cid:durableId="1250119628">
    <w:abstractNumId w:val="21"/>
  </w:num>
  <w:num w:numId="21" w16cid:durableId="1982344307">
    <w:abstractNumId w:val="18"/>
  </w:num>
  <w:num w:numId="22" w16cid:durableId="1524441610">
    <w:abstractNumId w:val="2"/>
  </w:num>
  <w:num w:numId="23" w16cid:durableId="186868592">
    <w:abstractNumId w:val="6"/>
  </w:num>
  <w:num w:numId="24" w16cid:durableId="680205980">
    <w:abstractNumId w:val="0"/>
  </w:num>
  <w:num w:numId="25" w16cid:durableId="1768883034">
    <w:abstractNumId w:val="14"/>
  </w:num>
  <w:num w:numId="26" w16cid:durableId="338195397">
    <w:abstractNumId w:val="2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8" w:allStyles="0" w:customStyles="0" w:latentStyles="0" w:stylesInUse="1" w:headingStyles="1" w:numberingStyles="0" w:tableStyles="0" w:directFormattingOnRuns="0" w:directFormattingOnParagraphs="0" w:directFormattingOnNumbering="0" w:directFormattingOnTables="0" w:clearFormatting="1" w:top3HeadingStyles="0" w:visibleStyles="0" w:alternateStyleNames="0"/>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013"/>
    <w:rsid w:val="0000265F"/>
    <w:rsid w:val="000051A8"/>
    <w:rsid w:val="00020FCE"/>
    <w:rsid w:val="000212C8"/>
    <w:rsid w:val="00025AB2"/>
    <w:rsid w:val="00035F85"/>
    <w:rsid w:val="000421BE"/>
    <w:rsid w:val="0005107C"/>
    <w:rsid w:val="00057588"/>
    <w:rsid w:val="00070A66"/>
    <w:rsid w:val="000726E8"/>
    <w:rsid w:val="00073703"/>
    <w:rsid w:val="0008149C"/>
    <w:rsid w:val="00093B02"/>
    <w:rsid w:val="000A64CF"/>
    <w:rsid w:val="000B6927"/>
    <w:rsid w:val="000B72CA"/>
    <w:rsid w:val="000D722C"/>
    <w:rsid w:val="000E14CE"/>
    <w:rsid w:val="000E403F"/>
    <w:rsid w:val="0010166F"/>
    <w:rsid w:val="00103CC0"/>
    <w:rsid w:val="001169F4"/>
    <w:rsid w:val="0012537E"/>
    <w:rsid w:val="001268A2"/>
    <w:rsid w:val="00132361"/>
    <w:rsid w:val="0013544E"/>
    <w:rsid w:val="00154E9A"/>
    <w:rsid w:val="00160B36"/>
    <w:rsid w:val="00162650"/>
    <w:rsid w:val="001645B6"/>
    <w:rsid w:val="00184079"/>
    <w:rsid w:val="001914C0"/>
    <w:rsid w:val="00194B94"/>
    <w:rsid w:val="00196F14"/>
    <w:rsid w:val="001A1B18"/>
    <w:rsid w:val="001B4423"/>
    <w:rsid w:val="001B7E54"/>
    <w:rsid w:val="001C2B0D"/>
    <w:rsid w:val="001D41C2"/>
    <w:rsid w:val="001E2D6C"/>
    <w:rsid w:val="00201F1B"/>
    <w:rsid w:val="002135E3"/>
    <w:rsid w:val="00221F1C"/>
    <w:rsid w:val="002317EC"/>
    <w:rsid w:val="00240E6E"/>
    <w:rsid w:val="0024672F"/>
    <w:rsid w:val="00254112"/>
    <w:rsid w:val="00256456"/>
    <w:rsid w:val="00262601"/>
    <w:rsid w:val="002664FA"/>
    <w:rsid w:val="0028765F"/>
    <w:rsid w:val="00291CE1"/>
    <w:rsid w:val="002C1C25"/>
    <w:rsid w:val="002C6BB3"/>
    <w:rsid w:val="002E726C"/>
    <w:rsid w:val="003365EA"/>
    <w:rsid w:val="0033685C"/>
    <w:rsid w:val="00353AE1"/>
    <w:rsid w:val="00356F9A"/>
    <w:rsid w:val="003A486B"/>
    <w:rsid w:val="003C0850"/>
    <w:rsid w:val="003C2B09"/>
    <w:rsid w:val="003C4F86"/>
    <w:rsid w:val="003E62DE"/>
    <w:rsid w:val="003F4778"/>
    <w:rsid w:val="003F6ABF"/>
    <w:rsid w:val="00403B6A"/>
    <w:rsid w:val="00410345"/>
    <w:rsid w:val="00411BFC"/>
    <w:rsid w:val="0042192E"/>
    <w:rsid w:val="00435BE3"/>
    <w:rsid w:val="00442CF1"/>
    <w:rsid w:val="0044577B"/>
    <w:rsid w:val="004B2CF4"/>
    <w:rsid w:val="004B3FA6"/>
    <w:rsid w:val="004B52D0"/>
    <w:rsid w:val="004C465B"/>
    <w:rsid w:val="004C5CA9"/>
    <w:rsid w:val="004D2A6A"/>
    <w:rsid w:val="004D687C"/>
    <w:rsid w:val="004D6E31"/>
    <w:rsid w:val="004E45B4"/>
    <w:rsid w:val="004E623E"/>
    <w:rsid w:val="004E7E96"/>
    <w:rsid w:val="004E7F42"/>
    <w:rsid w:val="0050397D"/>
    <w:rsid w:val="005157BB"/>
    <w:rsid w:val="00526212"/>
    <w:rsid w:val="0053047F"/>
    <w:rsid w:val="00535300"/>
    <w:rsid w:val="005635BB"/>
    <w:rsid w:val="00566A46"/>
    <w:rsid w:val="0058242C"/>
    <w:rsid w:val="005944A9"/>
    <w:rsid w:val="005A0A93"/>
    <w:rsid w:val="005C0255"/>
    <w:rsid w:val="005E3E9F"/>
    <w:rsid w:val="005F1667"/>
    <w:rsid w:val="00601272"/>
    <w:rsid w:val="0060285D"/>
    <w:rsid w:val="006121C6"/>
    <w:rsid w:val="006175F7"/>
    <w:rsid w:val="0062458A"/>
    <w:rsid w:val="006333EE"/>
    <w:rsid w:val="00662C6E"/>
    <w:rsid w:val="00670C60"/>
    <w:rsid w:val="006764A9"/>
    <w:rsid w:val="006E1AD7"/>
    <w:rsid w:val="00727931"/>
    <w:rsid w:val="00730A2A"/>
    <w:rsid w:val="0073547A"/>
    <w:rsid w:val="00743F54"/>
    <w:rsid w:val="007553CA"/>
    <w:rsid w:val="0075674D"/>
    <w:rsid w:val="00765AC3"/>
    <w:rsid w:val="00771B92"/>
    <w:rsid w:val="00776B52"/>
    <w:rsid w:val="007928F4"/>
    <w:rsid w:val="007965DF"/>
    <w:rsid w:val="007B6B9B"/>
    <w:rsid w:val="007B7585"/>
    <w:rsid w:val="007C754C"/>
    <w:rsid w:val="007D2D8B"/>
    <w:rsid w:val="007D471E"/>
    <w:rsid w:val="007D59CC"/>
    <w:rsid w:val="007D6FC1"/>
    <w:rsid w:val="007F371E"/>
    <w:rsid w:val="00835A28"/>
    <w:rsid w:val="00843318"/>
    <w:rsid w:val="00852B62"/>
    <w:rsid w:val="0086454E"/>
    <w:rsid w:val="00872AF0"/>
    <w:rsid w:val="0088769A"/>
    <w:rsid w:val="008A2147"/>
    <w:rsid w:val="008A7A56"/>
    <w:rsid w:val="008A7C99"/>
    <w:rsid w:val="008B491A"/>
    <w:rsid w:val="008B7ED2"/>
    <w:rsid w:val="008D1441"/>
    <w:rsid w:val="008D1F3E"/>
    <w:rsid w:val="008D3C50"/>
    <w:rsid w:val="008E13F0"/>
    <w:rsid w:val="008E4521"/>
    <w:rsid w:val="009156E6"/>
    <w:rsid w:val="00917F98"/>
    <w:rsid w:val="0092238B"/>
    <w:rsid w:val="00932E1A"/>
    <w:rsid w:val="009361B1"/>
    <w:rsid w:val="00941897"/>
    <w:rsid w:val="00953286"/>
    <w:rsid w:val="00963BF6"/>
    <w:rsid w:val="00965D77"/>
    <w:rsid w:val="00966910"/>
    <w:rsid w:val="00987F17"/>
    <w:rsid w:val="009A4C1F"/>
    <w:rsid w:val="009B0A0C"/>
    <w:rsid w:val="009B7448"/>
    <w:rsid w:val="009C5FE3"/>
    <w:rsid w:val="009E2242"/>
    <w:rsid w:val="009E5AD1"/>
    <w:rsid w:val="00A01D0C"/>
    <w:rsid w:val="00A22346"/>
    <w:rsid w:val="00A27CF4"/>
    <w:rsid w:val="00A31AE7"/>
    <w:rsid w:val="00A559D2"/>
    <w:rsid w:val="00A6771F"/>
    <w:rsid w:val="00A70854"/>
    <w:rsid w:val="00A73AE8"/>
    <w:rsid w:val="00A7759C"/>
    <w:rsid w:val="00A879B4"/>
    <w:rsid w:val="00A87E16"/>
    <w:rsid w:val="00A9375E"/>
    <w:rsid w:val="00A94978"/>
    <w:rsid w:val="00AA04FF"/>
    <w:rsid w:val="00AB4E10"/>
    <w:rsid w:val="00AC09D8"/>
    <w:rsid w:val="00AC1610"/>
    <w:rsid w:val="00AD1836"/>
    <w:rsid w:val="00AD7E06"/>
    <w:rsid w:val="00AE59DD"/>
    <w:rsid w:val="00AF4D10"/>
    <w:rsid w:val="00B03658"/>
    <w:rsid w:val="00B03A9C"/>
    <w:rsid w:val="00B13942"/>
    <w:rsid w:val="00B17194"/>
    <w:rsid w:val="00B6721F"/>
    <w:rsid w:val="00BB15FA"/>
    <w:rsid w:val="00BD1B44"/>
    <w:rsid w:val="00BE56F5"/>
    <w:rsid w:val="00BE7A83"/>
    <w:rsid w:val="00BF1B5E"/>
    <w:rsid w:val="00BF2FA3"/>
    <w:rsid w:val="00C10AB2"/>
    <w:rsid w:val="00C1287A"/>
    <w:rsid w:val="00C20D78"/>
    <w:rsid w:val="00C2491F"/>
    <w:rsid w:val="00C33144"/>
    <w:rsid w:val="00C46050"/>
    <w:rsid w:val="00C47846"/>
    <w:rsid w:val="00C54428"/>
    <w:rsid w:val="00C56287"/>
    <w:rsid w:val="00C56EDD"/>
    <w:rsid w:val="00C73320"/>
    <w:rsid w:val="00C7476E"/>
    <w:rsid w:val="00C753F5"/>
    <w:rsid w:val="00C8565B"/>
    <w:rsid w:val="00C93FDE"/>
    <w:rsid w:val="00CA1F8A"/>
    <w:rsid w:val="00CA299E"/>
    <w:rsid w:val="00CA503F"/>
    <w:rsid w:val="00CC0D50"/>
    <w:rsid w:val="00CE3885"/>
    <w:rsid w:val="00D01B82"/>
    <w:rsid w:val="00D216C1"/>
    <w:rsid w:val="00D21A55"/>
    <w:rsid w:val="00D2325C"/>
    <w:rsid w:val="00D508E6"/>
    <w:rsid w:val="00D8045A"/>
    <w:rsid w:val="00DA0EEB"/>
    <w:rsid w:val="00DB5CCE"/>
    <w:rsid w:val="00DD2205"/>
    <w:rsid w:val="00DD6817"/>
    <w:rsid w:val="00DD766F"/>
    <w:rsid w:val="00DE22F2"/>
    <w:rsid w:val="00DF132F"/>
    <w:rsid w:val="00DF7812"/>
    <w:rsid w:val="00E026BC"/>
    <w:rsid w:val="00E1601B"/>
    <w:rsid w:val="00E31E85"/>
    <w:rsid w:val="00E3554C"/>
    <w:rsid w:val="00E378D6"/>
    <w:rsid w:val="00E4144B"/>
    <w:rsid w:val="00E41AD3"/>
    <w:rsid w:val="00E44974"/>
    <w:rsid w:val="00E6249E"/>
    <w:rsid w:val="00E748FB"/>
    <w:rsid w:val="00E74ED6"/>
    <w:rsid w:val="00E87570"/>
    <w:rsid w:val="00E947EC"/>
    <w:rsid w:val="00EB1E2A"/>
    <w:rsid w:val="00EC1E09"/>
    <w:rsid w:val="00EC35CA"/>
    <w:rsid w:val="00ED2D68"/>
    <w:rsid w:val="00EF2D7C"/>
    <w:rsid w:val="00EF6531"/>
    <w:rsid w:val="00F047AC"/>
    <w:rsid w:val="00F0533E"/>
    <w:rsid w:val="00F05B64"/>
    <w:rsid w:val="00F1323E"/>
    <w:rsid w:val="00F24500"/>
    <w:rsid w:val="00F36EE0"/>
    <w:rsid w:val="00F5071C"/>
    <w:rsid w:val="00F50865"/>
    <w:rsid w:val="00F65D89"/>
    <w:rsid w:val="00F8493B"/>
    <w:rsid w:val="00F87F71"/>
    <w:rsid w:val="00F92E88"/>
    <w:rsid w:val="00FA3CFD"/>
    <w:rsid w:val="00FB10C5"/>
    <w:rsid w:val="00FB2CEF"/>
    <w:rsid w:val="00FB6D88"/>
    <w:rsid w:val="00FC1013"/>
    <w:rsid w:val="00FE24AA"/>
    <w:rsid w:val="00FE28C0"/>
    <w:rsid w:val="00FE68DA"/>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84FBF8"/>
  <w15:docId w15:val="{8B23AFC0-DD17-41F9-9DBA-8FAEA66F9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7931"/>
    <w:rPr>
      <w:sz w:val="20"/>
    </w:rPr>
  </w:style>
  <w:style w:type="paragraph" w:styleId="Heading1">
    <w:name w:val="heading 1"/>
    <w:basedOn w:val="Normal"/>
    <w:next w:val="Normal"/>
    <w:link w:val="Heading1Char"/>
    <w:uiPriority w:val="9"/>
    <w:qFormat/>
    <w:rsid w:val="00C5432C"/>
    <w:pPr>
      <w:keepNext/>
      <w:keepLines/>
      <w:spacing w:before="120" w:after="60"/>
      <w:contextualSpacing/>
      <w:outlineLvl w:val="0"/>
    </w:pPr>
    <w:rPr>
      <w:rFonts w:asciiTheme="majorHAnsi" w:eastAsiaTheme="majorEastAsia" w:hAnsiTheme="majorHAnsi" w:cstheme="majorBidi"/>
      <w:b/>
      <w:sz w:val="28"/>
      <w:szCs w:val="32"/>
    </w:rPr>
  </w:style>
  <w:style w:type="paragraph" w:styleId="Heading2">
    <w:name w:val="heading 2"/>
    <w:basedOn w:val="Normal"/>
    <w:next w:val="Normal"/>
    <w:link w:val="Heading2Char"/>
    <w:uiPriority w:val="9"/>
    <w:unhideWhenUsed/>
    <w:qFormat/>
    <w:rsid w:val="008B7ED2"/>
    <w:pPr>
      <w:keepNext/>
      <w:keepLines/>
      <w:spacing w:after="60"/>
      <w:ind w:left="720"/>
      <w:outlineLvl w:val="1"/>
    </w:pPr>
    <w:rPr>
      <w:rFonts w:asciiTheme="majorHAnsi" w:eastAsiaTheme="majorEastAsia" w:hAnsiTheme="majorHAnsi" w:cstheme="majorBidi"/>
      <w:b/>
      <w:color w:val="000000" w:themeColor="text1"/>
      <w:szCs w:val="26"/>
    </w:rPr>
  </w:style>
  <w:style w:type="paragraph" w:styleId="Heading3">
    <w:name w:val="heading 3"/>
    <w:basedOn w:val="Normal"/>
    <w:next w:val="Normal"/>
    <w:link w:val="Heading3Char"/>
    <w:uiPriority w:val="9"/>
    <w:unhideWhenUsed/>
    <w:qFormat/>
    <w:rsid w:val="00CE74A2"/>
    <w:pPr>
      <w:keepNext/>
      <w:keepLines/>
      <w:spacing w:after="60"/>
      <w:outlineLvl w:val="2"/>
    </w:pPr>
    <w:rPr>
      <w:rFonts w:asciiTheme="majorHAnsi" w:eastAsiaTheme="majorEastAsia" w:hAnsiTheme="majorHAnsi" w:cstheme="majorBidi"/>
      <w:color w:val="000000" w:themeColor="text1"/>
    </w:rPr>
  </w:style>
  <w:style w:type="paragraph" w:styleId="Heading4">
    <w:name w:val="heading 4"/>
    <w:basedOn w:val="Normal"/>
    <w:next w:val="Normal"/>
    <w:link w:val="Heading4Char"/>
    <w:uiPriority w:val="9"/>
    <w:semiHidden/>
    <w:unhideWhenUsed/>
    <w:qFormat/>
    <w:rsid w:val="009A6302"/>
    <w:pPr>
      <w:keepNext/>
      <w:keepLines/>
      <w:spacing w:after="60"/>
      <w:outlineLvl w:val="3"/>
    </w:pPr>
    <w:rPr>
      <w:rFonts w:asciiTheme="majorHAnsi" w:eastAsiaTheme="majorEastAsia" w:hAnsiTheme="majorHAnsi" w:cstheme="majorBidi"/>
      <w:i/>
      <w:iCs/>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erChar">
    <w:name w:val="Header Char"/>
    <w:basedOn w:val="DefaultParagraphFont"/>
    <w:link w:val="Header"/>
    <w:uiPriority w:val="99"/>
    <w:qFormat/>
    <w:rsid w:val="00EF2EC5"/>
    <w:rPr>
      <w:rFonts w:cs="Times New Roman (Body CS)"/>
      <w:sz w:val="14"/>
    </w:rPr>
  </w:style>
  <w:style w:type="character" w:customStyle="1" w:styleId="FooterChar">
    <w:name w:val="Footer Char"/>
    <w:basedOn w:val="DefaultParagraphFont"/>
    <w:link w:val="Footer"/>
    <w:uiPriority w:val="99"/>
    <w:qFormat/>
    <w:rsid w:val="00085C32"/>
    <w:rPr>
      <w:rFonts w:cs="Times New Roman (Body CS)"/>
      <w:caps/>
      <w:sz w:val="14"/>
    </w:rPr>
  </w:style>
  <w:style w:type="character" w:customStyle="1" w:styleId="Heading1Char">
    <w:name w:val="Heading 1 Char"/>
    <w:basedOn w:val="DefaultParagraphFont"/>
    <w:link w:val="Heading1"/>
    <w:uiPriority w:val="9"/>
    <w:qFormat/>
    <w:rsid w:val="00C5432C"/>
    <w:rPr>
      <w:rFonts w:asciiTheme="majorHAnsi" w:eastAsiaTheme="majorEastAsia" w:hAnsiTheme="majorHAnsi" w:cstheme="majorBidi"/>
      <w:b/>
      <w:sz w:val="28"/>
      <w:szCs w:val="32"/>
    </w:rPr>
  </w:style>
  <w:style w:type="character" w:customStyle="1" w:styleId="Heading2Char">
    <w:name w:val="Heading 2 Char"/>
    <w:basedOn w:val="DefaultParagraphFont"/>
    <w:link w:val="Heading2"/>
    <w:uiPriority w:val="9"/>
    <w:qFormat/>
    <w:rsid w:val="008B7ED2"/>
    <w:rPr>
      <w:rFonts w:asciiTheme="majorHAnsi" w:eastAsiaTheme="majorEastAsia" w:hAnsiTheme="majorHAnsi" w:cstheme="majorBidi"/>
      <w:b/>
      <w:color w:val="000000" w:themeColor="text1"/>
      <w:sz w:val="20"/>
      <w:szCs w:val="26"/>
    </w:rPr>
  </w:style>
  <w:style w:type="character" w:customStyle="1" w:styleId="Heading3Char">
    <w:name w:val="Heading 3 Char"/>
    <w:basedOn w:val="DefaultParagraphFont"/>
    <w:link w:val="Heading3"/>
    <w:uiPriority w:val="9"/>
    <w:qFormat/>
    <w:rsid w:val="00CE74A2"/>
    <w:rPr>
      <w:rFonts w:asciiTheme="majorHAnsi" w:eastAsiaTheme="majorEastAsia" w:hAnsiTheme="majorHAnsi" w:cstheme="majorBidi"/>
      <w:color w:val="000000" w:themeColor="text1"/>
      <w:sz w:val="20"/>
    </w:rPr>
  </w:style>
  <w:style w:type="character" w:customStyle="1" w:styleId="Heading4Char">
    <w:name w:val="Heading 4 Char"/>
    <w:basedOn w:val="DefaultParagraphFont"/>
    <w:link w:val="Heading4"/>
    <w:uiPriority w:val="9"/>
    <w:semiHidden/>
    <w:qFormat/>
    <w:rsid w:val="009A6302"/>
    <w:rPr>
      <w:rFonts w:asciiTheme="majorHAnsi" w:eastAsiaTheme="majorEastAsia" w:hAnsiTheme="majorHAnsi" w:cstheme="majorBidi"/>
      <w:i/>
      <w:iCs/>
      <w:color w:val="000000" w:themeColor="text1"/>
      <w:sz w:val="20"/>
    </w:rPr>
  </w:style>
  <w:style w:type="character" w:styleId="Hyperlink">
    <w:name w:val="Hyperlink"/>
    <w:basedOn w:val="DefaultParagraphFont"/>
    <w:uiPriority w:val="99"/>
    <w:unhideWhenUsed/>
    <w:rsid w:val="00C65701"/>
    <w:rPr>
      <w:color w:val="000000" w:themeColor="text1"/>
      <w:u w:val="single"/>
    </w:rPr>
  </w:style>
  <w:style w:type="character" w:styleId="PageNumber">
    <w:name w:val="page number"/>
    <w:basedOn w:val="DefaultParagraphFont"/>
    <w:uiPriority w:val="99"/>
    <w:semiHidden/>
    <w:unhideWhenUsed/>
    <w:rsid w:val="00CC2E6E"/>
  </w:style>
  <w:style w:type="character" w:customStyle="1" w:styleId="SubtitleChar">
    <w:name w:val="Subtitle Char"/>
    <w:basedOn w:val="DefaultParagraphFont"/>
    <w:link w:val="Subtitle"/>
    <w:uiPriority w:val="11"/>
    <w:qFormat/>
    <w:rsid w:val="004D6E31"/>
    <w:rPr>
      <w:rFonts w:ascii="Arial Bold" w:eastAsiaTheme="minorEastAsia" w:hAnsi="Arial Bold"/>
      <w:b/>
      <w:caps/>
      <w:spacing w:val="15"/>
      <w:sz w:val="22"/>
      <w:szCs w:val="22"/>
      <w:shd w:val="clear" w:color="auto" w:fill="AE002F" w:themeFill="background2"/>
      <w:lang w:val="en-AU"/>
    </w:rPr>
  </w:style>
  <w:style w:type="character" w:customStyle="1" w:styleId="TableHeadingChar">
    <w:name w:val="Table Heading Char"/>
    <w:basedOn w:val="DefaultParagraphFont"/>
    <w:link w:val="TableHeading"/>
    <w:qFormat/>
    <w:rsid w:val="00A63228"/>
    <w:rPr>
      <w:rFonts w:ascii="Arial Bold" w:hAnsi="Arial Bold"/>
      <w:bCs/>
      <w:sz w:val="18"/>
      <w:szCs w:val="22"/>
      <w:lang w:val="en-AU"/>
    </w:rPr>
  </w:style>
  <w:style w:type="character" w:customStyle="1" w:styleId="TableTextChar">
    <w:name w:val="Table Text Char"/>
    <w:basedOn w:val="DefaultParagraphFont"/>
    <w:link w:val="TableText"/>
    <w:qFormat/>
    <w:rsid w:val="009171AE"/>
    <w:rPr>
      <w:rFonts w:ascii="Arial" w:hAnsi="Arial"/>
      <w:sz w:val="18"/>
      <w:szCs w:val="22"/>
      <w:lang w:val="en-AU" w:eastAsia="en-AU"/>
    </w:rPr>
  </w:style>
  <w:style w:type="character" w:styleId="CommentReference">
    <w:name w:val="annotation reference"/>
    <w:basedOn w:val="DefaultParagraphFont"/>
    <w:uiPriority w:val="99"/>
    <w:semiHidden/>
    <w:unhideWhenUsed/>
    <w:qFormat/>
    <w:rsid w:val="000B368B"/>
    <w:rPr>
      <w:sz w:val="16"/>
      <w:szCs w:val="16"/>
    </w:rPr>
  </w:style>
  <w:style w:type="character" w:customStyle="1" w:styleId="CommentTextChar">
    <w:name w:val="Comment Text Char"/>
    <w:basedOn w:val="DefaultParagraphFont"/>
    <w:link w:val="CommentText"/>
    <w:uiPriority w:val="99"/>
    <w:qFormat/>
    <w:rsid w:val="000B368B"/>
    <w:rPr>
      <w:rFonts w:ascii="Arial" w:hAnsi="Arial" w:cs="Arial"/>
      <w:sz w:val="20"/>
      <w:szCs w:val="20"/>
      <w:lang w:val="en-AU"/>
    </w:rPr>
  </w:style>
  <w:style w:type="character" w:styleId="Strong">
    <w:name w:val="Strong"/>
    <w:basedOn w:val="DefaultParagraphFont"/>
    <w:uiPriority w:val="22"/>
    <w:qFormat/>
    <w:rsid w:val="006B0811"/>
    <w:rPr>
      <w:b/>
      <w:bCs/>
    </w:rPr>
  </w:style>
  <w:style w:type="character" w:styleId="Emphasis">
    <w:name w:val="Emphasis"/>
    <w:basedOn w:val="DefaultParagraphFont"/>
    <w:uiPriority w:val="20"/>
    <w:qFormat/>
    <w:rsid w:val="003E1451"/>
    <w:rPr>
      <w:i/>
      <w:iCs/>
    </w:rPr>
  </w:style>
  <w:style w:type="character" w:customStyle="1" w:styleId="sr-only">
    <w:name w:val="sr-only"/>
    <w:basedOn w:val="DefaultParagraphFont"/>
    <w:qFormat/>
    <w:rsid w:val="00191BEE"/>
  </w:style>
  <w:style w:type="character" w:customStyle="1" w:styleId="NormalNumberedtextChar">
    <w:name w:val="Normal: Numbered text_ Char"/>
    <w:basedOn w:val="DefaultParagraphFont"/>
    <w:link w:val="NormalNumberedtext"/>
    <w:qFormat/>
    <w:rsid w:val="00C22FCF"/>
    <w:rPr>
      <w:sz w:val="20"/>
      <w:lang w:val="en-AU"/>
    </w:rPr>
  </w:style>
  <w:style w:type="character" w:styleId="PlaceholderText">
    <w:name w:val="Placeholder Text"/>
    <w:basedOn w:val="DefaultParagraphFont"/>
    <w:uiPriority w:val="99"/>
    <w:semiHidden/>
    <w:qFormat/>
    <w:rsid w:val="0056355F"/>
    <w:rPr>
      <w:color w:val="666666"/>
    </w:rPr>
  </w:style>
  <w:style w:type="character" w:customStyle="1" w:styleId="CommentSubjectChar">
    <w:name w:val="Comment Subject Char"/>
    <w:basedOn w:val="CommentTextChar"/>
    <w:link w:val="CommentSubject"/>
    <w:uiPriority w:val="99"/>
    <w:semiHidden/>
    <w:qFormat/>
    <w:rsid w:val="00E374A8"/>
    <w:rPr>
      <w:rFonts w:ascii="Arial" w:hAnsi="Arial" w:cs="Arial"/>
      <w:b/>
      <w:bCs/>
      <w:sz w:val="20"/>
      <w:szCs w:val="20"/>
      <w:lang w:val="en-AU"/>
    </w:rPr>
  </w:style>
  <w:style w:type="character" w:customStyle="1" w:styleId="AutomatedProjectNameChar">
    <w:name w:val="Automated Project Name Char"/>
    <w:basedOn w:val="DefaultParagraphFont"/>
    <w:link w:val="AutomatedProjectName"/>
    <w:qFormat/>
    <w:rsid w:val="008B5BDD"/>
    <w:rPr>
      <w:sz w:val="28"/>
      <w:szCs w:val="28"/>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rPr>
  </w:style>
  <w:style w:type="paragraph" w:customStyle="1" w:styleId="Index">
    <w:name w:val="Index"/>
    <w:basedOn w:val="Normal"/>
    <w:qFormat/>
    <w:pPr>
      <w:suppressLineNumbers/>
    </w:pPr>
    <w:rPr>
      <w:rFonts w:cs="FreeSans"/>
    </w:rPr>
  </w:style>
  <w:style w:type="paragraph" w:customStyle="1" w:styleId="BulletL1">
    <w:name w:val="Bullet: L1_"/>
    <w:basedOn w:val="Normal"/>
    <w:qFormat/>
    <w:rsid w:val="00551909"/>
    <w:pPr>
      <w:numPr>
        <w:numId w:val="3"/>
      </w:numPr>
      <w:ind w:left="170" w:hanging="170"/>
    </w:pPr>
  </w:style>
  <w:style w:type="paragraph" w:customStyle="1" w:styleId="BulletL2">
    <w:name w:val="Bullet: L2_"/>
    <w:basedOn w:val="BulletL1"/>
    <w:qFormat/>
    <w:rsid w:val="00551909"/>
    <w:pPr>
      <w:ind w:left="397" w:hanging="227"/>
    </w:pPr>
  </w:style>
  <w:style w:type="paragraph" w:customStyle="1" w:styleId="BulletL3">
    <w:name w:val="Bullet: L3_"/>
    <w:basedOn w:val="BulletL2"/>
    <w:qFormat/>
    <w:rsid w:val="00871606"/>
    <w:pPr>
      <w:ind w:left="624"/>
      <w:contextualSpacing/>
    </w:pPr>
  </w:style>
  <w:style w:type="paragraph" w:customStyle="1" w:styleId="HeaderandFooter">
    <w:name w:val="Header and Footer"/>
    <w:basedOn w:val="Normal"/>
    <w:qFormat/>
  </w:style>
  <w:style w:type="paragraph" w:styleId="Header">
    <w:name w:val="header"/>
    <w:basedOn w:val="Normal"/>
    <w:link w:val="HeaderChar"/>
    <w:uiPriority w:val="99"/>
    <w:unhideWhenUsed/>
    <w:rsid w:val="00EF2EC5"/>
    <w:pPr>
      <w:tabs>
        <w:tab w:val="right" w:pos="9639"/>
      </w:tabs>
      <w:spacing w:line="280" w:lineRule="auto"/>
    </w:pPr>
    <w:rPr>
      <w:rFonts w:cs="Times New Roman (Body CS)"/>
      <w:sz w:val="14"/>
    </w:rPr>
  </w:style>
  <w:style w:type="paragraph" w:styleId="Footer">
    <w:name w:val="footer"/>
    <w:basedOn w:val="Normal"/>
    <w:link w:val="FooterChar"/>
    <w:uiPriority w:val="99"/>
    <w:unhideWhenUsed/>
    <w:rsid w:val="00085C32"/>
    <w:pPr>
      <w:tabs>
        <w:tab w:val="center" w:pos="4513"/>
        <w:tab w:val="right" w:pos="9026"/>
      </w:tabs>
      <w:jc w:val="center"/>
    </w:pPr>
    <w:rPr>
      <w:rFonts w:cs="Times New Roman (Body CS)"/>
      <w:caps/>
      <w:sz w:val="14"/>
    </w:rPr>
  </w:style>
  <w:style w:type="paragraph" w:customStyle="1" w:styleId="FrontcoverSubheading">
    <w:name w:val="Front cover: Subheading_"/>
    <w:basedOn w:val="Normal"/>
    <w:qFormat/>
    <w:rsid w:val="00300ACE"/>
    <w:pPr>
      <w:spacing w:before="120"/>
    </w:pPr>
    <w:rPr>
      <w:sz w:val="32"/>
      <w:szCs w:val="32"/>
    </w:rPr>
  </w:style>
  <w:style w:type="paragraph" w:styleId="ListParagraph">
    <w:name w:val="List Paragraph"/>
    <w:basedOn w:val="Normal"/>
    <w:qFormat/>
    <w:rsid w:val="00AC5179"/>
    <w:pPr>
      <w:ind w:left="720"/>
      <w:contextualSpacing/>
    </w:pPr>
  </w:style>
  <w:style w:type="paragraph" w:customStyle="1" w:styleId="FrontcoverHeading">
    <w:name w:val="Front cover: Heading_"/>
    <w:basedOn w:val="FrontCoverHeading0"/>
    <w:next w:val="Normal"/>
    <w:qFormat/>
    <w:rsid w:val="00FE28C0"/>
  </w:style>
  <w:style w:type="paragraph" w:customStyle="1" w:styleId="Introtext">
    <w:name w:val="Intro text_"/>
    <w:basedOn w:val="Normal"/>
    <w:next w:val="Normal"/>
    <w:qFormat/>
    <w:rsid w:val="005B4F37"/>
    <w:rPr>
      <w:rFonts w:ascii="Arial" w:hAnsi="Arial" w:cs="Times New Roman (Body CS)"/>
      <w:color w:val="000000" w:themeColor="text1"/>
      <w:sz w:val="24"/>
      <w:szCs w:val="38"/>
    </w:rPr>
  </w:style>
  <w:style w:type="paragraph" w:customStyle="1" w:styleId="Caption0">
    <w:name w:val="Caption_"/>
    <w:basedOn w:val="Normal"/>
    <w:qFormat/>
    <w:rsid w:val="0084293D"/>
    <w:rPr>
      <w:color w:val="5D6C7C"/>
      <w:sz w:val="16"/>
    </w:rPr>
  </w:style>
  <w:style w:type="paragraph" w:customStyle="1" w:styleId="Companydetails">
    <w:name w:val="Company details_"/>
    <w:basedOn w:val="Normal"/>
    <w:qFormat/>
    <w:rsid w:val="000B5AC1"/>
    <w:rPr>
      <w:sz w:val="14"/>
      <w:szCs w:val="14"/>
    </w:rPr>
  </w:style>
  <w:style w:type="paragraph" w:customStyle="1" w:styleId="Heading1Numbered">
    <w:name w:val="Heading 1: Numbered_"/>
    <w:basedOn w:val="Heading1"/>
    <w:next w:val="Normal"/>
    <w:qFormat/>
    <w:rsid w:val="00D50EE8"/>
    <w:pPr>
      <w:keepNext w:val="0"/>
      <w:keepLines w:val="0"/>
      <w:numPr>
        <w:numId w:val="1"/>
      </w:numPr>
      <w:tabs>
        <w:tab w:val="left" w:pos="426"/>
      </w:tabs>
      <w:contextualSpacing w:val="0"/>
    </w:pPr>
    <w:rPr>
      <w:rFonts w:eastAsiaTheme="minorHAnsi" w:cstheme="minorBidi"/>
      <w:color w:val="000000" w:themeColor="text1"/>
      <w:szCs w:val="36"/>
    </w:rPr>
  </w:style>
  <w:style w:type="paragraph" w:customStyle="1" w:styleId="Heading2Numbered">
    <w:name w:val="Heading 2: Numbered_"/>
    <w:basedOn w:val="Heading2"/>
    <w:next w:val="Normal"/>
    <w:qFormat/>
    <w:rsid w:val="00703BA8"/>
    <w:pPr>
      <w:numPr>
        <w:ilvl w:val="1"/>
        <w:numId w:val="1"/>
      </w:numPr>
      <w:spacing w:before="120"/>
    </w:pPr>
    <w:rPr>
      <w:szCs w:val="30"/>
    </w:rPr>
  </w:style>
  <w:style w:type="paragraph" w:customStyle="1" w:styleId="Heading3Numbered">
    <w:name w:val="Heading 3: Numbered_"/>
    <w:basedOn w:val="Heading3"/>
    <w:next w:val="Normal"/>
    <w:qFormat/>
    <w:rsid w:val="00A463B3"/>
    <w:pPr>
      <w:numPr>
        <w:ilvl w:val="2"/>
        <w:numId w:val="1"/>
      </w:numPr>
      <w:spacing w:before="120"/>
    </w:pPr>
    <w:rPr>
      <w:rFonts w:asciiTheme="minorHAnsi" w:hAnsiTheme="minorHAnsi"/>
      <w:bCs/>
      <w:szCs w:val="18"/>
    </w:rPr>
  </w:style>
  <w:style w:type="paragraph" w:customStyle="1" w:styleId="NormalNumberedtext">
    <w:name w:val="Normal: Numbered text_"/>
    <w:basedOn w:val="Normal"/>
    <w:link w:val="NormalNumberedtextChar"/>
    <w:qFormat/>
    <w:rsid w:val="005657EF"/>
    <w:pPr>
      <w:ind w:left="709"/>
    </w:pPr>
    <w:rPr>
      <w:lang w:val="en-AU"/>
    </w:rPr>
  </w:style>
  <w:style w:type="paragraph" w:styleId="NormalWeb">
    <w:name w:val="Normal (Web)"/>
    <w:basedOn w:val="Normal"/>
    <w:uiPriority w:val="99"/>
    <w:semiHidden/>
    <w:unhideWhenUsed/>
    <w:qFormat/>
    <w:rsid w:val="00E26015"/>
    <w:rPr>
      <w:rFonts w:ascii="Times New Roman" w:hAnsi="Times New Roman" w:cs="Times New Roman"/>
      <w:sz w:val="24"/>
    </w:rPr>
  </w:style>
  <w:style w:type="paragraph" w:styleId="TOC1">
    <w:name w:val="toc 1"/>
    <w:basedOn w:val="Normal"/>
    <w:next w:val="Normal"/>
    <w:autoRedefine/>
    <w:uiPriority w:val="39"/>
    <w:unhideWhenUsed/>
    <w:rsid w:val="000D491A"/>
    <w:pPr>
      <w:tabs>
        <w:tab w:val="right" w:pos="9639"/>
      </w:tabs>
      <w:spacing w:before="160"/>
      <w:ind w:left="567" w:hanging="567"/>
    </w:pPr>
    <w:rPr>
      <w:b/>
    </w:rPr>
  </w:style>
  <w:style w:type="paragraph" w:styleId="TOC2">
    <w:name w:val="toc 2"/>
    <w:basedOn w:val="Normal"/>
    <w:next w:val="Normal"/>
    <w:autoRedefine/>
    <w:uiPriority w:val="39"/>
    <w:unhideWhenUsed/>
    <w:rsid w:val="00BA2C35"/>
    <w:pPr>
      <w:tabs>
        <w:tab w:val="right" w:pos="9639"/>
      </w:tabs>
      <w:spacing w:before="40"/>
      <w:ind w:left="1134" w:hanging="567"/>
    </w:pPr>
  </w:style>
  <w:style w:type="paragraph" w:styleId="TOC3">
    <w:name w:val="toc 3"/>
    <w:basedOn w:val="Normal"/>
    <w:next w:val="Normal"/>
    <w:autoRedefine/>
    <w:uiPriority w:val="39"/>
    <w:unhideWhenUsed/>
    <w:rsid w:val="00BA2C35"/>
    <w:pPr>
      <w:tabs>
        <w:tab w:val="right" w:pos="9639"/>
      </w:tabs>
      <w:spacing w:before="40"/>
      <w:ind w:left="1701" w:hanging="567"/>
    </w:pPr>
  </w:style>
  <w:style w:type="paragraph" w:customStyle="1" w:styleId="NumberedBulletL1">
    <w:name w:val="Numbered Bullet: L1_"/>
    <w:basedOn w:val="NormalNumberedtext"/>
    <w:qFormat/>
    <w:rsid w:val="00872C4B"/>
    <w:pPr>
      <w:numPr>
        <w:numId w:val="2"/>
      </w:numPr>
      <w:ind w:left="700"/>
    </w:pPr>
  </w:style>
  <w:style w:type="paragraph" w:customStyle="1" w:styleId="NumberedBulletL2">
    <w:name w:val="Numbered Bullet: L2_"/>
    <w:basedOn w:val="NumberedBulletL1"/>
    <w:rsid w:val="000449BE"/>
  </w:style>
  <w:style w:type="paragraph" w:customStyle="1" w:styleId="NumberedBulletL3">
    <w:name w:val="Numbered Bullet: L3_"/>
    <w:basedOn w:val="NumberedBulletL2"/>
    <w:qFormat/>
    <w:rsid w:val="001C6E9B"/>
    <w:pPr>
      <w:ind w:left="1474" w:hanging="227"/>
    </w:pPr>
  </w:style>
  <w:style w:type="paragraph" w:customStyle="1" w:styleId="DataClassification">
    <w:name w:val="Data Classification_"/>
    <w:basedOn w:val="Normal"/>
    <w:qFormat/>
    <w:rsid w:val="00085C32"/>
    <w:pPr>
      <w:jc w:val="center"/>
    </w:pPr>
    <w:rPr>
      <w:rFonts w:cs="Times New Roman (Body CS)"/>
      <w:caps/>
      <w:sz w:val="14"/>
      <w:szCs w:val="14"/>
    </w:rPr>
  </w:style>
  <w:style w:type="paragraph" w:customStyle="1" w:styleId="Headerunderline">
    <w:name w:val="Header underline_"/>
    <w:basedOn w:val="Header"/>
    <w:qFormat/>
    <w:rsid w:val="00EF2EC5"/>
    <w:pPr>
      <w:pBdr>
        <w:bottom w:val="single" w:sz="2" w:space="2" w:color="000000" w:themeColor="dark1"/>
      </w:pBdr>
    </w:pPr>
  </w:style>
  <w:style w:type="paragraph" w:customStyle="1" w:styleId="NumberedCaption">
    <w:name w:val="Numbered Caption_"/>
    <w:basedOn w:val="Caption0"/>
    <w:qFormat/>
    <w:rsid w:val="009A7562"/>
    <w:pPr>
      <w:ind w:left="851"/>
    </w:pPr>
  </w:style>
  <w:style w:type="paragraph" w:customStyle="1" w:styleId="Documentcontroltext">
    <w:name w:val="Document control text_"/>
    <w:basedOn w:val="Normal"/>
    <w:qFormat/>
    <w:rsid w:val="00890B4D"/>
    <w:rPr>
      <w:sz w:val="16"/>
      <w:szCs w:val="16"/>
    </w:rPr>
  </w:style>
  <w:style w:type="paragraph" w:customStyle="1" w:styleId="Instructions">
    <w:name w:val="Instructions"/>
    <w:basedOn w:val="Normal"/>
    <w:qFormat/>
    <w:rsid w:val="00822FEE"/>
    <w:pPr>
      <w:spacing w:after="120" w:line="280" w:lineRule="atLeast"/>
    </w:pPr>
    <w:rPr>
      <w:rFonts w:ascii="Arial" w:eastAsia="Times New Roman" w:hAnsi="Arial" w:cs="Arial"/>
      <w:i/>
      <w:color w:val="0064D8" w:themeColor="accent1" w:themeTint="BF"/>
      <w:sz w:val="18"/>
      <w:szCs w:val="20"/>
      <w:lang w:eastAsia="en-AU"/>
    </w:rPr>
  </w:style>
  <w:style w:type="paragraph" w:styleId="Subtitle">
    <w:name w:val="Subtitle"/>
    <w:basedOn w:val="Normal"/>
    <w:next w:val="Normal"/>
    <w:link w:val="SubtitleChar"/>
    <w:autoRedefine/>
    <w:uiPriority w:val="11"/>
    <w:qFormat/>
    <w:rsid w:val="004D6E31"/>
    <w:pPr>
      <w:widowControl w:val="0"/>
      <w:shd w:val="clear" w:color="auto" w:fill="AE002F" w:themeFill="background2"/>
      <w:spacing w:before="960" w:after="160"/>
      <w:ind w:right="7796"/>
      <w:jc w:val="center"/>
    </w:pPr>
    <w:rPr>
      <w:rFonts w:ascii="Arial Bold" w:eastAsiaTheme="minorEastAsia" w:hAnsi="Arial Bold"/>
      <w:b/>
      <w:caps/>
      <w:spacing w:val="15"/>
      <w:sz w:val="22"/>
      <w:szCs w:val="22"/>
      <w:lang w:val="en-AU"/>
    </w:rPr>
  </w:style>
  <w:style w:type="paragraph" w:customStyle="1" w:styleId="TableContents">
    <w:name w:val="Table Contents"/>
    <w:basedOn w:val="Normal"/>
    <w:qFormat/>
  </w:style>
  <w:style w:type="paragraph" w:customStyle="1" w:styleId="TableHeading">
    <w:name w:val="Table Heading"/>
    <w:basedOn w:val="Normal"/>
    <w:link w:val="TableHeadingChar"/>
    <w:autoRedefine/>
    <w:qFormat/>
    <w:rsid w:val="00A63228"/>
    <w:pPr>
      <w:spacing w:line="240" w:lineRule="atLeast"/>
    </w:pPr>
    <w:rPr>
      <w:rFonts w:ascii="Arial Bold" w:hAnsi="Arial Bold"/>
      <w:bCs/>
      <w:sz w:val="18"/>
      <w:szCs w:val="22"/>
      <w:lang w:val="en-AU"/>
    </w:rPr>
  </w:style>
  <w:style w:type="paragraph" w:customStyle="1" w:styleId="TableText">
    <w:name w:val="Table Text"/>
    <w:basedOn w:val="Normal"/>
    <w:link w:val="TableTextChar"/>
    <w:autoRedefine/>
    <w:qFormat/>
    <w:rsid w:val="009171AE"/>
    <w:pPr>
      <w:numPr>
        <w:numId w:val="4"/>
      </w:numPr>
      <w:spacing w:line="240" w:lineRule="atLeast"/>
    </w:pPr>
    <w:rPr>
      <w:rFonts w:ascii="Arial" w:hAnsi="Arial"/>
      <w:sz w:val="18"/>
      <w:szCs w:val="22"/>
      <w:lang w:val="en-AU" w:eastAsia="en-AU"/>
    </w:rPr>
  </w:style>
  <w:style w:type="paragraph" w:styleId="CommentText">
    <w:name w:val="annotation text"/>
    <w:basedOn w:val="Normal"/>
    <w:link w:val="CommentTextChar"/>
    <w:uiPriority w:val="99"/>
    <w:unhideWhenUsed/>
    <w:rsid w:val="000B368B"/>
    <w:pPr>
      <w:spacing w:before="120" w:after="120"/>
      <w:ind w:left="357"/>
    </w:pPr>
    <w:rPr>
      <w:rFonts w:ascii="Arial" w:hAnsi="Arial" w:cs="Arial"/>
      <w:szCs w:val="20"/>
      <w:lang w:val="en-AU"/>
    </w:rPr>
  </w:style>
  <w:style w:type="paragraph" w:styleId="Revision">
    <w:name w:val="Revision"/>
    <w:uiPriority w:val="99"/>
    <w:semiHidden/>
    <w:qFormat/>
    <w:rsid w:val="000C3DA1"/>
    <w:rPr>
      <w:sz w:val="20"/>
    </w:rPr>
  </w:style>
  <w:style w:type="paragraph" w:styleId="CommentSubject">
    <w:name w:val="annotation subject"/>
    <w:basedOn w:val="CommentText"/>
    <w:next w:val="CommentText"/>
    <w:link w:val="CommentSubjectChar"/>
    <w:uiPriority w:val="99"/>
    <w:semiHidden/>
    <w:unhideWhenUsed/>
    <w:qFormat/>
    <w:rsid w:val="00E374A8"/>
    <w:pPr>
      <w:spacing w:before="0" w:after="0"/>
      <w:ind w:left="0"/>
    </w:pPr>
    <w:rPr>
      <w:rFonts w:asciiTheme="minorHAnsi" w:hAnsiTheme="minorHAnsi" w:cstheme="minorBidi"/>
      <w:b/>
      <w:bCs/>
      <w:lang w:val="en-GB"/>
    </w:rPr>
  </w:style>
  <w:style w:type="paragraph" w:customStyle="1" w:styleId="AutomatedProjectName">
    <w:name w:val="Automated Project Name"/>
    <w:basedOn w:val="Normal"/>
    <w:link w:val="AutomatedProjectNameChar"/>
    <w:qFormat/>
    <w:rsid w:val="008B5BDD"/>
    <w:rPr>
      <w:sz w:val="28"/>
      <w:szCs w:val="28"/>
    </w:rPr>
  </w:style>
  <w:style w:type="paragraph" w:customStyle="1" w:styleId="FrameContents">
    <w:name w:val="Frame Contents"/>
    <w:basedOn w:val="Normal"/>
    <w:qFormat/>
  </w:style>
  <w:style w:type="paragraph" w:customStyle="1" w:styleId="HeaderLeft">
    <w:name w:val="Header Left"/>
    <w:basedOn w:val="Header"/>
    <w:qFormat/>
  </w:style>
  <w:style w:type="numbering" w:customStyle="1" w:styleId="Bulletandendash">
    <w:name w:val="Bullet and en dash_"/>
    <w:uiPriority w:val="99"/>
    <w:qFormat/>
    <w:rsid w:val="007E596C"/>
  </w:style>
  <w:style w:type="numbering" w:customStyle="1" w:styleId="CurrentList1">
    <w:name w:val="Current List1"/>
    <w:uiPriority w:val="99"/>
    <w:qFormat/>
    <w:rsid w:val="00347A8C"/>
  </w:style>
  <w:style w:type="numbering" w:customStyle="1" w:styleId="CurrentList2">
    <w:name w:val="Current List2"/>
    <w:uiPriority w:val="99"/>
    <w:qFormat/>
    <w:rsid w:val="003821F7"/>
  </w:style>
  <w:style w:type="table" w:customStyle="1" w:styleId="Holdingtable">
    <w:name w:val="Holding table_"/>
    <w:basedOn w:val="TableNormal"/>
    <w:uiPriority w:val="99"/>
    <w:rsid w:val="00D219B1"/>
    <w:rPr>
      <w:sz w:val="20"/>
    </w:rPr>
    <w:tblPr/>
    <w:tcPr>
      <w:tcMar>
        <w:left w:w="0" w:type="dxa"/>
        <w:right w:w="0" w:type="dxa"/>
      </w:tcMar>
    </w:tcPr>
  </w:style>
  <w:style w:type="table" w:styleId="TableGrid">
    <w:name w:val="Table Grid"/>
    <w:basedOn w:val="TableNormal"/>
    <w:rsid w:val="007319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Option1">
    <w:name w:val="Table: Option 1_"/>
    <w:basedOn w:val="TableNormal"/>
    <w:uiPriority w:val="99"/>
    <w:rsid w:val="00C45E8B"/>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cPr>
      <w:tcMar>
        <w:top w:w="57" w:type="dxa"/>
        <w:bottom w:w="57" w:type="dxa"/>
      </w:tcMar>
    </w:tcPr>
  </w:style>
  <w:style w:type="table" w:customStyle="1" w:styleId="TableOption2">
    <w:name w:val="Table: Option 2_"/>
    <w:basedOn w:val="TableNormal"/>
    <w:uiPriority w:val="99"/>
    <w:rsid w:val="00583A22"/>
    <w:tblPr>
      <w:tblBorders>
        <w:top w:val="single" w:sz="4" w:space="0" w:color="000000" w:themeColor="text1"/>
        <w:bottom w:val="single" w:sz="4" w:space="0" w:color="000000" w:themeColor="text1"/>
        <w:insideH w:val="single" w:sz="4" w:space="0" w:color="000000" w:themeColor="text1"/>
      </w:tblBorders>
    </w:tblPr>
    <w:tcPr>
      <w:tcMar>
        <w:top w:w="57" w:type="dxa"/>
        <w:bottom w:w="57" w:type="dxa"/>
      </w:tcMar>
    </w:tcPr>
  </w:style>
  <w:style w:type="table" w:styleId="ListTable3-Accent3">
    <w:name w:val="List Table 3 Accent 3"/>
    <w:basedOn w:val="TableNormal"/>
    <w:uiPriority w:val="48"/>
    <w:rsid w:val="00BA2C35"/>
    <w:rPr>
      <w:sz w:val="22"/>
      <w:szCs w:val="22"/>
    </w:rPr>
    <w:tblPr>
      <w:tblStyleRowBandSize w:val="1"/>
      <w:tblStyleColBandSize w:val="1"/>
      <w:tblBorders>
        <w:top w:val="single" w:sz="4" w:space="0" w:color="01593C" w:themeColor="accent3"/>
        <w:left w:val="single" w:sz="4" w:space="0" w:color="01593C" w:themeColor="accent3"/>
        <w:bottom w:val="single" w:sz="4" w:space="0" w:color="01593C" w:themeColor="accent3"/>
        <w:right w:val="single" w:sz="4" w:space="0" w:color="01593C" w:themeColor="accent3"/>
      </w:tblBorders>
    </w:tblPr>
    <w:tblStylePr w:type="firstRow">
      <w:rPr>
        <w:b/>
        <w:bCs/>
        <w:color w:val="FFFFFF" w:themeColor="background1"/>
      </w:rPr>
      <w:tblPr/>
      <w:tcPr>
        <w:shd w:val="clear" w:color="auto" w:fill="01593C" w:themeFill="accent3"/>
      </w:tcPr>
    </w:tblStylePr>
    <w:tblStylePr w:type="lastRow">
      <w:rPr>
        <w:b/>
        <w:bCs/>
      </w:rPr>
      <w:tblPr/>
      <w:tcPr>
        <w:tcBorders>
          <w:top w:val="double" w:sz="4" w:space="0" w:color="01593C"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1593C" w:themeColor="accent3"/>
          <w:right w:val="single" w:sz="4" w:space="0" w:color="01593C" w:themeColor="accent3"/>
        </w:tcBorders>
      </w:tcPr>
    </w:tblStylePr>
    <w:tblStylePr w:type="band1Horz">
      <w:tblPr/>
      <w:tcPr>
        <w:tcBorders>
          <w:top w:val="single" w:sz="4" w:space="0" w:color="01593C" w:themeColor="accent3"/>
          <w:bottom w:val="single" w:sz="4" w:space="0" w:color="01593C"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1593C" w:themeColor="accent3"/>
          <w:left w:val="nil"/>
        </w:tcBorders>
      </w:tcPr>
    </w:tblStylePr>
    <w:tblStylePr w:type="swCell">
      <w:tblPr/>
      <w:tcPr>
        <w:tcBorders>
          <w:top w:val="double" w:sz="4" w:space="0" w:color="01593C" w:themeColor="accent3"/>
          <w:right w:val="nil"/>
        </w:tcBorders>
      </w:tcPr>
    </w:tblStylePr>
  </w:style>
  <w:style w:type="paragraph" w:customStyle="1" w:styleId="HeaderRight">
    <w:name w:val="Header Right"/>
    <w:basedOn w:val="Normal"/>
    <w:rsid w:val="00A31AE7"/>
    <w:pPr>
      <w:suppressAutoHyphens w:val="0"/>
      <w:spacing w:before="240"/>
      <w:jc w:val="right"/>
    </w:pPr>
    <w:rPr>
      <w:rFonts w:ascii="Arial" w:eastAsia="Times New Roman" w:hAnsi="Arial" w:cs="Times New Roman"/>
      <w:sz w:val="28"/>
      <w:szCs w:val="20"/>
    </w:rPr>
  </w:style>
  <w:style w:type="paragraph" w:customStyle="1" w:styleId="FrontCoverSubheading0">
    <w:name w:val="Front Cover Subheading"/>
    <w:basedOn w:val="Normal"/>
    <w:qFormat/>
    <w:rsid w:val="003C2B09"/>
    <w:pPr>
      <w:suppressAutoHyphens w:val="0"/>
      <w:spacing w:before="120" w:after="360"/>
    </w:pPr>
    <w:rPr>
      <w:rFonts w:ascii="Arial" w:eastAsia="Times New Roman" w:hAnsi="Arial" w:cs="Times New Roman"/>
      <w:color w:val="404040" w:themeColor="text1" w:themeTint="BF"/>
      <w:sz w:val="40"/>
      <w:szCs w:val="32"/>
      <w:lang w:val="en-AU" w:bidi="en-US"/>
    </w:rPr>
  </w:style>
  <w:style w:type="paragraph" w:customStyle="1" w:styleId="FrontCoverHeading0">
    <w:name w:val="Front Cover Heading"/>
    <w:basedOn w:val="Normal"/>
    <w:next w:val="Normal"/>
    <w:qFormat/>
    <w:rsid w:val="003C2B09"/>
    <w:pPr>
      <w:tabs>
        <w:tab w:val="right" w:pos="9639"/>
      </w:tabs>
      <w:suppressAutoHyphens w:val="0"/>
      <w:spacing w:before="960"/>
    </w:pPr>
    <w:rPr>
      <w:rFonts w:ascii="Arial" w:eastAsia="Times New Roman" w:hAnsi="Arial" w:cs="Times New Roman"/>
      <w:b/>
      <w:bCs/>
      <w:color w:val="404040" w:themeColor="text1" w:themeTint="BF"/>
      <w:sz w:val="56"/>
      <w:szCs w:val="56"/>
      <w:lang w:val="en-AU" w:eastAsia="en-AU" w:bidi="en-US"/>
    </w:rPr>
  </w:style>
  <w:style w:type="numbering" w:customStyle="1" w:styleId="Headings">
    <w:name w:val="Headings"/>
    <w:uiPriority w:val="99"/>
    <w:rsid w:val="003C2B09"/>
    <w:pPr>
      <w:numPr>
        <w:numId w:val="2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2.xml.rels><?xml version="1.0" encoding="UTF-8" standalone="yes"?>
<Relationships xmlns="http://schemas.openxmlformats.org/package/2006/relationships"><Relationship Id="rId3" Type="http://schemas.openxmlformats.org/officeDocument/2006/relationships/image" Target="media/image3.sv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RioTintoMSWordFeb2023">
  <a:themeElements>
    <a:clrScheme name="Custom 5">
      <a:dk1>
        <a:srgbClr val="000000"/>
      </a:dk1>
      <a:lt1>
        <a:srgbClr val="FFFFFF"/>
      </a:lt1>
      <a:dk2>
        <a:srgbClr val="CA2320"/>
      </a:dk2>
      <a:lt2>
        <a:srgbClr val="AE002F"/>
      </a:lt2>
      <a:accent1>
        <a:srgbClr val="003776"/>
      </a:accent1>
      <a:accent2>
        <a:srgbClr val="0059D1"/>
      </a:accent2>
      <a:accent3>
        <a:srgbClr val="01593C"/>
      </a:accent3>
      <a:accent4>
        <a:srgbClr val="007461"/>
      </a:accent4>
      <a:accent5>
        <a:srgbClr val="B5B8C0"/>
      </a:accent5>
      <a:accent6>
        <a:srgbClr val="5D6C7C"/>
      </a:accent6>
      <a:hlink>
        <a:srgbClr val="000000"/>
      </a:hlink>
      <a:folHlink>
        <a:srgbClr val="CA2320"/>
      </a:folHlink>
    </a:clrScheme>
    <a:fontScheme name="Arial">
      <a:majorFont>
        <a:latin typeface="Arial" panose="020B0604020202020204"/>
        <a:ea typeface=""/>
        <a:cs typeface=""/>
      </a:majorFont>
      <a:minorFont>
        <a:latin typeface="Arial" panose="020B06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5e197f2-df1a-4275-af0d-2d425d2305ac">
      <Terms xmlns="http://schemas.microsoft.com/office/infopath/2007/PartnerControls"/>
    </lcf76f155ced4ddcb4097134ff3c332f>
    <TaxCatchAll xmlns="3f8b23f9-ca21-47be-b3e2-2641c8058dd1" xsi:nil="true"/>
    <ApprovalCompleted xmlns="65e197f2-df1a-4275-af0d-2d425d2305ac" xsi:nil="true"/>
    <IssuedForUse xmlns="65e197f2-df1a-4275-af0d-2d425d2305ac" xsi:nil="true"/>
    <ReviewStatus xmlns="65e197f2-df1a-4275-af0d-2d425d2305ac">Not Started</ReviewStatus>
    <UpdateNotes xmlns="65e197f2-df1a-4275-af0d-2d425d2305ac" xsi:nil="true"/>
    <DocumentType xmlns="65e197f2-df1a-4275-af0d-2d425d2305ac" xsi:nil="true"/>
    <ReviewCompleted xmlns="65e197f2-df1a-4275-af0d-2d425d2305ac" xsi:nil="true"/>
    <WorkScopeCategory xmlns="65e197f2-df1a-4275-af0d-2d425d2305ac"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8957747BE8EC348A2D657B974A8D1F0" ma:contentTypeVersion="20" ma:contentTypeDescription="Create a new document." ma:contentTypeScope="" ma:versionID="612ab7ca577f1aff0f37e3112c079435">
  <xsd:schema xmlns:xsd="http://www.w3.org/2001/XMLSchema" xmlns:xs="http://www.w3.org/2001/XMLSchema" xmlns:p="http://schemas.microsoft.com/office/2006/metadata/properties" xmlns:ns2="65e197f2-df1a-4275-af0d-2d425d2305ac" xmlns:ns3="3f8b23f9-ca21-47be-b3e2-2641c8058dd1" targetNamespace="http://schemas.microsoft.com/office/2006/metadata/properties" ma:root="true" ma:fieldsID="583ff3aa54861f6fe227510cdf6252f8" ns2:_="" ns3:_="">
    <xsd:import namespace="65e197f2-df1a-4275-af0d-2d425d2305ac"/>
    <xsd:import namespace="3f8b23f9-ca21-47be-b3e2-2641c8058dd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ReviewStatus" minOccurs="0"/>
                <xsd:element ref="ns2:UpdateNotes" minOccurs="0"/>
                <xsd:element ref="ns2:ReviewCompleted" minOccurs="0"/>
                <xsd:element ref="ns2:ApprovalCompleted" minOccurs="0"/>
                <xsd:element ref="ns2:IssuedForUse" minOccurs="0"/>
                <xsd:element ref="ns2:WorkScopeCategory" minOccurs="0"/>
                <xsd:element ref="ns2:MediaServiceLocation" minOccurs="0"/>
                <xsd:element ref="ns2:MediaLengthInSeconds" minOccurs="0"/>
                <xsd:element ref="ns2:DocumentTyp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e197f2-df1a-4275-af0d-2d425d2305a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eee30a-abdd-4ed4-9221-278e5f3103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ReviewStatus" ma:index="19" nillable="true" ma:displayName="Review Status" ma:default="Not Started" ma:format="Dropdown" ma:internalName="ReviewStatus">
      <xsd:simpleType>
        <xsd:restriction base="dms:Choice">
          <xsd:enumeration value="Not Started"/>
          <xsd:enumeration value="In Progress"/>
          <xsd:enumeration value="Delayed"/>
          <xsd:enumeration value="Pending Input"/>
          <xsd:enumeration value="Pending Review/ Approval"/>
          <xsd:enumeration value="Void"/>
          <xsd:enumeration value="Completed"/>
          <xsd:enumeration value="Issued For Use"/>
          <xsd:enumeration value="Information Only"/>
        </xsd:restriction>
      </xsd:simpleType>
    </xsd:element>
    <xsd:element name="UpdateNotes" ma:index="20" nillable="true" ma:displayName="Update Notes" ma:format="Dropdown" ma:internalName="UpdateNotes">
      <xsd:simpleType>
        <xsd:restriction base="dms:Note">
          <xsd:maxLength value="255"/>
        </xsd:restriction>
      </xsd:simpleType>
    </xsd:element>
    <xsd:element name="ReviewCompleted" ma:index="21" nillable="true" ma:displayName="Review Completed" ma:format="DateOnly" ma:internalName="ReviewCompleted">
      <xsd:simpleType>
        <xsd:restriction base="dms:DateTime"/>
      </xsd:simpleType>
    </xsd:element>
    <xsd:element name="ApprovalCompleted" ma:index="22" nillable="true" ma:displayName="Approval Completed" ma:format="DateOnly" ma:internalName="ApprovalCompleted">
      <xsd:simpleType>
        <xsd:restriction base="dms:DateTime"/>
      </xsd:simpleType>
    </xsd:element>
    <xsd:element name="IssuedForUse" ma:index="23" nillable="true" ma:displayName="Issued For Use" ma:format="DateOnly" ma:internalName="IssuedForUse">
      <xsd:simpleType>
        <xsd:restriction base="dms:DateTime"/>
      </xsd:simpleType>
    </xsd:element>
    <xsd:element name="WorkScopeCategory" ma:index="24" nillable="true" ma:displayName="Work Scope Category" ma:format="Dropdown" ma:internalName="WorkScopeCategory">
      <xsd:simpleType>
        <xsd:restriction base="dms:Choice">
          <xsd:enumeration value="Appendix C Refresh"/>
          <xsd:enumeration value="Critical Requirements"/>
          <xsd:enumeration value="PM+ Supporting Document Update"/>
          <xsd:enumeration value="HSSEC Stewardship (Non-Managed)"/>
          <xsd:enumeration value="HSSECMS Development"/>
          <xsd:enumeration value="No Action Required"/>
        </xsd:restriction>
      </xsd:simpleType>
    </xsd:element>
    <xsd:element name="MediaServiceLocation" ma:index="25" nillable="true" ma:displayName="Location" ma:indexed="true" ma:internalName="MediaServiceLocation" ma:readOnly="true">
      <xsd:simpleType>
        <xsd:restriction base="dms:Text"/>
      </xsd:simpleType>
    </xsd:element>
    <xsd:element name="MediaLengthInSeconds" ma:index="26" nillable="true" ma:displayName="MediaLengthInSeconds" ma:hidden="true" ma:internalName="MediaLengthInSeconds" ma:readOnly="true">
      <xsd:simpleType>
        <xsd:restriction base="dms:Unknown"/>
      </xsd:simpleType>
    </xsd:element>
    <xsd:element name="DocumentType" ma:index="27" nillable="true" ma:displayName="Document Type" ma:format="Dropdown" ma:internalName="DocumentType">
      <xsd:simpleType>
        <xsd:restriction base="dms:Choice">
          <xsd:enumeration value="Procedure"/>
          <xsd:enumeration value="Guidance/ Management Plan"/>
          <xsd:enumeration value="Registers"/>
          <xsd:enumeration value="Forms/ Templates"/>
        </xsd:restriction>
      </xsd:simpleType>
    </xsd:element>
  </xsd:schema>
  <xsd:schema xmlns:xsd="http://www.w3.org/2001/XMLSchema" xmlns:xs="http://www.w3.org/2001/XMLSchema" xmlns:dms="http://schemas.microsoft.com/office/2006/documentManagement/types" xmlns:pc="http://schemas.microsoft.com/office/infopath/2007/PartnerControls" targetNamespace="3f8b23f9-ca21-47be-b3e2-2641c8058dd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24a3a3c5-8bfa-431a-a526-0901b8485d2f}" ma:internalName="TaxCatchAll" ma:showField="CatchAllData" ma:web="3f8b23f9-ca21-47be-b3e2-2641c8058dd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2D9E33-4E07-413F-8EE7-94DAF9FB6A95}">
  <ds:schemaRefs>
    <ds:schemaRef ds:uri="http://schemas.microsoft.com/office/2006/metadata/properties"/>
    <ds:schemaRef ds:uri="http://schemas.microsoft.com/office/infopath/2007/PartnerControls"/>
    <ds:schemaRef ds:uri="65e197f2-df1a-4275-af0d-2d425d2305ac"/>
    <ds:schemaRef ds:uri="3f8b23f9-ca21-47be-b3e2-2641c8058dd1"/>
  </ds:schemaRefs>
</ds:datastoreItem>
</file>

<file path=customXml/itemProps2.xml><?xml version="1.0" encoding="utf-8"?>
<ds:datastoreItem xmlns:ds="http://schemas.openxmlformats.org/officeDocument/2006/customXml" ds:itemID="{CCA599EC-14D5-4590-832F-AEA54321868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e197f2-df1a-4275-af0d-2d425d2305ac"/>
    <ds:schemaRef ds:uri="3f8b23f9-ca21-47be-b3e2-2641c8058d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A478EB8-DA8F-46D0-9691-BB91349D1352}">
  <ds:schemaRefs>
    <ds:schemaRef ds:uri="http://schemas.microsoft.com/sharepoint/v3/contenttype/forms"/>
  </ds:schemaRefs>
</ds:datastoreItem>
</file>

<file path=customXml/itemProps4.xml><?xml version="1.0" encoding="utf-8"?>
<ds:datastoreItem xmlns:ds="http://schemas.openxmlformats.org/officeDocument/2006/customXml" ds:itemID="{7319BAC4-4476-4951-9EC7-615C0F36B0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3</Pages>
  <Words>89</Words>
  <Characters>518</Characters>
  <Application>Microsoft Office Word</Application>
  <DocSecurity>0</DocSecurity>
  <Lines>76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Ashleigh Phillips</dc:creator>
  <cp:lastModifiedBy>Ashleigh Phillips</cp:lastModifiedBy>
  <cp:revision>4</cp:revision>
  <dcterms:created xsi:type="dcterms:W3CDTF">2026-06-16T05:02:00Z</dcterms:created>
  <dcterms:modified xsi:type="dcterms:W3CDTF">2026-06-22T10:24:00Z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2025-11-28T01:34:00Z</dcterms:created>
  <dc:creator>De Roo, Justin (STP)</dc:creator>
  <dc:description/>
  <dc:language>en-US</dc:language>
  <cp:lastModifiedBy>Ashleigh Phillips</cp:lastModifiedBy>
  <cp:lastPrinted>2026-02-09T07:22:00Z</cp:lastPrinted>
  <dcterms:modified xsi:type="dcterms:W3CDTF">2026-05-04T04:36:00Z</dcterms:modified>
  <cp:revision>59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0x01010098957747BE8EC348A2D657B974A8D1F0</vt:lpwstr>
  </property>
  <property fmtid="{D5CDD505-2E9C-101B-9397-08002B2CF9AE}" pid="3" name="Doc Type">
    <vt:lpwstr>23;#Template|c9df5e63-6677-4a8a-bf18-582bdefa876e</vt:lpwstr>
  </property>
  <property fmtid="{D5CDD505-2E9C-101B-9397-08002B2CF9AE}" pid="4" name="Doc_x0020_Type">
    <vt:lpwstr>23;#Template|c9df5e63-6677-4a8a-bf18-582bdefa876e</vt:lpwstr>
  </property>
  <property fmtid="{D5CDD505-2E9C-101B-9397-08002B2CF9AE}" pid="5" name="Function Group">
    <vt:lpwstr/>
  </property>
  <property fmtid="{D5CDD505-2E9C-101B-9397-08002B2CF9AE}" pid="6" name="Function_x0020_Group">
    <vt:lpwstr/>
  </property>
  <property fmtid="{D5CDD505-2E9C-101B-9397-08002B2CF9AE}" pid="7" name="GrammarlyDocumentId">
    <vt:lpwstr>fe4ffe3e-119a-4f91-9429-2d1e97004826</vt:lpwstr>
  </property>
  <property fmtid="{D5CDD505-2E9C-101B-9397-08002B2CF9AE}" pid="8" name="MediaServiceImageTags">
    <vt:lpwstr/>
  </property>
  <property fmtid="{D5CDD505-2E9C-101B-9397-08002B2CF9AE}" pid="9" name="Project Phases">
    <vt:lpwstr/>
  </property>
  <property fmtid="{D5CDD505-2E9C-101B-9397-08002B2CF9AE}" pid="10" name="Project_x0020_Phases">
    <vt:lpwstr/>
  </property>
</Properties>
</file>