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Monitoring and Measuring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Monitoring and Measuring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monitoring and measuring HSESC performance across the owner-led project to verify control effectiveness, confirm compliance with performance criteria, detect changing conditions, and support adaptive management and continuous improvement.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monitoring and measuring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HSESC domains within scope, and the lifecycle phases during which monitoring and measuring requirements apply.</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what this procedure governs, the standards it operationalises, and the project phases to which it applies.</w:t>
      </w:r>
    </w:p>
    <w:p>
      <w:pPr>
        <w:pStyle w:val="NormalNumberedtext"/>
      </w:pPr>
      <w:r>
        <w:t>This procedure meets the following purpose requirements:</w:t>
      </w:r>
    </w:p>
    <w:p>
      <w:pPr>
        <w:pStyle w:val="NormalNumberedtext"/>
      </w:pPr>
      <w:r>
        <w:t>This procedure operationalises Rio Tinto Group monitoring and measuring requirements into a documented, project-specific process for tracking HSESC performance across safety, occupational health, environment, and social domains.</w:t>
      </w:r>
    </w:p>
    <w:p>
      <w:pPr>
        <w:pStyle w:val="NormalNumberedtext"/>
      </w:pPr>
      <w:r>
        <w:t>This procedure defines the requirements for the project HSESC monitoring programme, the inspection programme, measuring equipment calibration, Trigger Action Response Plans, and monthly HSESC performance reporting. It applies from project Execution through to Handover.</w:t>
      </w:r>
    </w:p>
    <w:p>
      <w:pPr>
        <w:pStyle w:val="NormalNumberedtext"/>
      </w:pPr>
      <w:r>
        <w:t xml:space="preserve">This procedure supports </w:t>
      </w:r>
    </w:p>
    <w:p>
      <w:pPr>
        <w:pStyle w:val="NormalNumberedtext"/>
      </w:pPr>
      <w:r>
        <w:rPr>
          <w:b/>
          <w:bCs/>
          <w:color w:val="0059D1"/>
        </w:rPr>
        <w:t>[INSERT: project_name] — Enter project name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monitoring and measuring activities are governed by this procedure and how it connects to related project HSESC procedures.</w:t>
      </w:r>
    </w:p>
    <w:p>
      <w:pPr>
        <w:pStyle w:val="NormalNumberedtext"/>
      </w:pPr>
      <w:r>
        <w:t>This procedure applies the following scope requirements:</w:t>
      </w:r>
    </w:p>
    <w:p>
      <w:pPr>
        <w:pStyle w:val="NormalNumberedtext"/>
      </w:pPr>
      <w:r>
        <w:t>This procedure governs all planned monitoring and measuring activities conducted during the execution, commissioning, and handover phases of the project, including leading and lagging safety indicators, occupational health and hygiene monitoring, environmental monitoring, critical risk management verification, social performance monitoring, and inspection and calibration activities.</w:t>
      </w:r>
    </w:p>
    <w:p>
      <w:pPr>
        <w:pStyle w:val="NormalNumberedtext"/>
      </w:pPr>
      <w:r>
        <w:t>This procedure does not reproduce the content of related procedures. The risk register maintained under [INSERT: Project Document Number] forms the basis for defining the scope and frequency of the monitoring programme. Incident data collected under [INSERT: Project Document Number] is used as a monitoring input. Monitoring data collected under this procedure feeds into the improvement planning process under [INSERT: Project Document Number]. Environmental monitoring activities governed by [INSERT: Project Document Number], [INSERT: Project Document Number], and [INSERT: Project Document Number] are scheduled and reported under this procedure. Audit activities conducted under [INSERT: Project Document Number] form part of the overall HSESC performance assessment framework.</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HSESC monitoring and measuring responsibilities for all project roles, covering the Rio Tinto project team and all contractor organisations.</w:t>
      </w:r>
    </w:p>
    <w:p>
      <w:pPr>
        <w:pStyle w:val="NormalNumberedtext"/>
      </w:pPr>
      <w:r>
        <w:t>Monitoring and measuring responsibilities are assigned to the following roles:</w:t>
      </w:r>
    </w:p>
    <w:p>
      <w:pPr>
        <w:pStyle w:val="NormalNumberedtext"/>
      </w:pPr>
      <w:r>
        <w:t>Table 1: Monitoring and Measuring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Own the project HSESC monitoring programme; approve the monitoring schedule and TARP register; review and endorse the monthly HSESC report before submission to the Project Manager.</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Receive and review the monthly HSESC report; ensure corrective actions arising from monitoring and inspection findings are resourced and closed.</w:t>
            </w:r>
          </w:p>
        </w:tc>
      </w:tr>
      <w:tr>
        <w:tc>
          <w:tcPr>
            <w:tcW w:type="dxa" w:w="4888"/>
          </w:tcPr>
          <w:p>
            <w:pPr>
              <w:pStyle w:val="TableContents"/>
              <w:spacing w:before="0" w:after="0" w:line="240" w:lineRule="atLeast"/>
            </w:pPr>
            <w:r>
              <w:rPr>
                <w:rFonts w:ascii="Arial" w:hAnsi="Arial" w:cs="Arial" w:eastAsia="Arial"/>
                <w:sz w:val="16"/>
                <w:szCs w:val="16"/>
              </w:rPr>
              <w:t>HSESC Advisor</w:t>
            </w:r>
          </w:p>
        </w:tc>
        <w:tc>
          <w:tcPr>
            <w:tcW w:type="dxa" w:w="4889"/>
          </w:tcPr>
          <w:p>
            <w:pPr>
              <w:pStyle w:val="TableContents"/>
              <w:spacing w:before="0" w:after="0" w:line="240" w:lineRule="atLeast"/>
            </w:pPr>
            <w:r>
              <w:rPr>
                <w:rFonts w:ascii="Arial" w:hAnsi="Arial" w:cs="Arial" w:eastAsia="Arial"/>
                <w:sz w:val="16"/>
                <w:szCs w:val="16"/>
              </w:rPr>
              <w:t>Execute the monitoring programme in accordance with the approved schedule; coordinate inspection activities; maintain calibration records; analyse monitoring data and prepare the monthly HSESC report.</w:t>
            </w:r>
          </w:p>
        </w:tc>
      </w:tr>
      <w:tr>
        <w:tc>
          <w:tcPr>
            <w:tcW w:type="dxa" w:w="4888"/>
          </w:tcPr>
          <w:p>
            <w:pPr>
              <w:pStyle w:val="TableContents"/>
              <w:spacing w:before="0" w:after="0" w:line="240" w:lineRule="atLeast"/>
            </w:pPr>
            <w:r>
              <w:rPr>
                <w:rFonts w:ascii="Arial" w:hAnsi="Arial" w:cs="Arial" w:eastAsia="Arial"/>
                <w:sz w:val="16"/>
                <w:szCs w:val="16"/>
              </w:rPr>
              <w:t>Works Supervisor</w:t>
            </w:r>
          </w:p>
        </w:tc>
        <w:tc>
          <w:tcPr>
            <w:tcW w:type="dxa" w:w="4889"/>
          </w:tcPr>
          <w:p>
            <w:pPr>
              <w:pStyle w:val="TableContents"/>
              <w:spacing w:before="0" w:after="0" w:line="240" w:lineRule="atLeast"/>
            </w:pPr>
            <w:r>
              <w:rPr>
                <w:rFonts w:ascii="Arial" w:hAnsi="Arial" w:cs="Arial" w:eastAsia="Arial"/>
                <w:sz w:val="16"/>
                <w:szCs w:val="16"/>
              </w:rPr>
              <w:t>Conduct workplace inspections at the required frequency; record findings and corrective actions in the project action tracking system; confirm gas detector bump-tests are completed and recorded before each shift.</w:t>
            </w:r>
          </w:p>
        </w:tc>
      </w:tr>
      <w:tr>
        <w:tc>
          <w:tcPr>
            <w:tcW w:type="dxa" w:w="4888"/>
          </w:tcPr>
          <w:p>
            <w:pPr>
              <w:pStyle w:val="TableContents"/>
              <w:spacing w:before="0" w:after="0" w:line="240" w:lineRule="atLeast"/>
            </w:pPr>
            <w:r>
              <w:rPr>
                <w:rFonts w:ascii="Arial" w:hAnsi="Arial" w:cs="Arial" w:eastAsia="Arial"/>
                <w:sz w:val="16"/>
                <w:szCs w:val="16"/>
              </w:rPr>
              <w:t>Contractor HSESC Representative</w:t>
            </w:r>
          </w:p>
        </w:tc>
        <w:tc>
          <w:tcPr>
            <w:tcW w:type="dxa" w:w="4889"/>
          </w:tcPr>
          <w:p>
            <w:pPr>
              <w:pStyle w:val="TableContents"/>
              <w:spacing w:before="0" w:after="0" w:line="240" w:lineRule="atLeast"/>
            </w:pPr>
            <w:r>
              <w:rPr>
                <w:rFonts w:ascii="Arial" w:hAnsi="Arial" w:cs="Arial" w:eastAsia="Arial"/>
                <w:sz w:val="16"/>
                <w:szCs w:val="16"/>
              </w:rPr>
              <w:t>Conduct contractor-side inspections and monitoring as defined in the agreed HSESC metrics; submit data to the HSESC Advisor at the agreed reporting interval; ensure contractor-owned measuring equipment is calibrated and records are available for audit.</w:t>
            </w:r>
          </w:p>
        </w:tc>
      </w:tr>
      <w:tr>
        <w:tc>
          <w:tcPr>
            <w:tcW w:type="dxa" w:w="4888"/>
          </w:tcPr>
          <w:p>
            <w:pPr>
              <w:pStyle w:val="TableContents"/>
              <w:spacing w:before="0" w:after="0" w:line="240" w:lineRule="atLeast"/>
            </w:pPr>
            <w:r>
              <w:rPr>
                <w:rFonts w:ascii="Arial" w:hAnsi="Arial" w:cs="Arial" w:eastAsia="Arial"/>
                <w:b/>
                <w:bCs/>
                <w:color w:val="0059D1"/>
                <w:sz w:val="16"/>
                <w:szCs w:val="16"/>
              </w:rPr>
              <w:t>[INSERT: role]</w:t>
            </w:r>
          </w:p>
        </w:tc>
        <w:tc>
          <w:tcPr>
            <w:tcW w:type="dxa" w:w="4889"/>
          </w:tcPr>
          <w:p>
            <w:pPr>
              <w:pStyle w:val="TableContents"/>
              <w:spacing w:before="0" w:after="0" w:line="240" w:lineRule="atLeast"/>
            </w:pPr>
            <w:r>
              <w:rPr>
                <w:rFonts w:ascii="Arial" w:hAnsi="Arial" w:cs="Arial" w:eastAsia="Arial"/>
                <w:b/>
                <w:bCs/>
                <w:color w:val="0059D1"/>
                <w:sz w:val="16"/>
                <w:szCs w:val="16"/>
              </w:rPr>
              <w:t>[INSERT: responsibility]</w:t>
            </w:r>
          </w:p>
        </w:tc>
      </w:tr>
    </w:tbl>
    <w:p>
      <w:pPr>
        <w:pStyle w:val="NormalNumberedtext"/>
      </w:pPr>
    </w:p>
    <w:p>
      <w:pPr>
        <w:pStyle w:val="Heading1Numbered"/>
        <w:numPr>
          <w:ilvl w:val="0"/>
          <w:numId w:val="1"/>
        </w:numPr>
      </w:pPr>
      <w:r>
        <w:rPr>
          <w:rFonts w:ascii="Arial" w:hAnsi="Arial" w:cs="Arial" w:eastAsia="Arial"/>
        </w:rPr>
        <w:t>HSESC Monitoring Programme</w:t>
      </w:r>
    </w:p>
    <w:p>
      <w:pPr>
        <w:pStyle w:val="NormalNumberedtext"/>
      </w:pPr>
      <w:r>
        <w:t>This section defines the scope, frequency, methodology, quality assurance requirements, and data recording requirements for the project HSESC monitoring programme.</w:t>
      </w:r>
    </w:p>
    <w:p>
      <w:pPr>
        <w:pStyle w:val="NormalNumberedtext"/>
      </w:pPr>
    </w:p>
    <w:p>
      <w:pPr>
        <w:pStyle w:val="Heading2Numbered"/>
        <w:numPr>
          <w:ilvl w:val="1"/>
          <w:numId w:val="1"/>
        </w:numPr>
      </w:pPr>
      <w:r>
        <w:rPr>
          <w:rFonts w:ascii="Arial" w:hAnsi="Arial" w:cs="Arial" w:eastAsia="Arial"/>
        </w:rPr>
        <w:t>Programme Scope</w:t>
      </w:r>
    </w:p>
    <w:p>
      <w:pPr>
        <w:pStyle w:val="NormalNumberedtext"/>
      </w:pPr>
      <w:r>
        <w:t>This section defines the domains covered by the project HSESC monitoring programme and the requirement basis for each domain.</w:t>
      </w:r>
    </w:p>
    <w:p>
      <w:pPr>
        <w:pStyle w:val="NormalNumberedtext"/>
      </w:pPr>
      <w:r>
        <w:t>The project HSESC monitoring programme covers the following domains, consistent with Rio Tinto Standard requirements:</w:t>
      </w:r>
    </w:p>
    <w:p>
      <w:pPr>
        <w:pStyle w:val="NormalNumberedtext"/>
      </w:pPr>
      <w:r>
        <w:t>The monitoring programme scope includes:</w:t>
      </w:r>
    </w:p>
    <w:p>
      <w:pPr>
        <w:pStyle w:val="NumberedBulletL1"/>
      </w:pPr>
      <w:r>
        <w:t>Safety performance leading indicators, including critical control verification completion rates, inspection completion rates, toolbox talk frequency, and stop-work events.</w:t>
      </w:r>
    </w:p>
    <w:p>
      <w:pPr>
        <w:pStyle w:val="NumberedBulletL1"/>
      </w:pPr>
      <w:r>
        <w:t>Safety performance lagging indicators, including total recordable injury frequency, lost time injury frequency, high-potential incident frequency, and severity rate.</w:t>
      </w:r>
    </w:p>
    <w:p>
      <w:pPr>
        <w:pStyle w:val="NumberedBulletL1"/>
      </w:pPr>
      <w:r>
        <w:t>Occupational health and hygiene monitoring, including noise exposure, dust and silica monitoring, heat stress monitoring, and chemical exposure monitoring where relevant to the project.</w:t>
      </w:r>
    </w:p>
    <w:p>
      <w:pPr>
        <w:pStyle w:val="NumberedBulletL1"/>
      </w:pPr>
      <w:r>
        <w:t>Environmental monitoring covering water quality, air quality, soil, and biodiversity, as governed by [INSERT: Project Document Number], [INSERT: Project Document Number], and [INSERT: Project Document Number] and scheduled under this procedure.</w:t>
      </w:r>
    </w:p>
    <w:p>
      <w:pPr>
        <w:pStyle w:val="NumberedBulletL1"/>
      </w:pPr>
      <w:r>
        <w:t>Critical risk management verification performance, including critical control field verification completion rates reported by critical risk category.</w:t>
      </w:r>
    </w:p>
    <w:p>
      <w:pPr>
        <w:pStyle w:val="NumberedBulletL1"/>
      </w:pPr>
      <w:r>
        <w:t>Safe Management Maturity assessment results and improvement trajectory.</w:t>
      </w:r>
    </w:p>
    <w:p>
      <w:pPr>
        <w:pStyle w:val="NumberedBulletL1"/>
      </w:pPr>
      <w:r>
        <w:rPr>
          <w:color w:val="C55A11"/>
        </w:rPr>
        <w:t>Social and community performance indicators, including grievance receipt and closure rates, community engagement activity completion, and incident response timeliness.</w:t>
      </w:r>
    </w:p>
    <w:p>
      <w:pPr>
        <w:pStyle w:val="NormalNumberedtext"/>
      </w:pPr>
      <w:r>
        <w:rPr>
          <w:b/>
          <w:bCs/>
          <w:color w:val="0059D1"/>
        </w:rPr>
        <w:t>[INSERT: additional_monitoring_domain]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Develop the project HSESC monitoring programme as a schedule listing each monitoring type, frequency, responsible role, and data recording method. Insert as Appendix A - [INSERT: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Appendix A: HSESC Monitoring Programme Schedule].</w:t>
            </w:r>
          </w:p>
        </w:tc>
      </w:tr>
    </w:tbl>
    <w:p>
      <w:pPr>
        <w:pStyle w:val="NormalNumberedtext"/>
      </w:pPr>
    </w:p>
    <w:p>
      <w:pPr>
        <w:pStyle w:val="Heading2Numbered"/>
        <w:numPr>
          <w:ilvl w:val="1"/>
          <w:numId w:val="1"/>
        </w:numPr>
      </w:pPr>
      <w:r>
        <w:rPr>
          <w:rFonts w:ascii="Arial" w:hAnsi="Arial" w:cs="Arial" w:eastAsia="Arial"/>
        </w:rPr>
        <w:t>Monitoring Frequency, Methodology, and Data Recording</w:t>
      </w:r>
    </w:p>
    <w:p>
      <w:pPr>
        <w:pStyle w:val="NormalNumberedtext"/>
      </w:pPr>
      <w:r>
        <w:t>This section defines the frequency, methodology, quality assurance, and recording requirements for each monitoring type in the programme.</w:t>
      </w:r>
    </w:p>
    <w:p>
      <w:pPr>
        <w:pStyle w:val="NormalNumberedtext"/>
      </w:pPr>
      <w:r>
        <w:t>The HSESC Advisor maintains the project HSESC monitoring programme schedule, consistent with IFC PS1 §22 requirements. For each monitoring type, the schedule defines the frequency, methodology, responsible role, QA/QC requirements, and the data recording method.</w:t>
      </w:r>
    </w:p>
    <w:p>
      <w:pPr>
        <w:pStyle w:val="NormalNumberedtext"/>
      </w:pPr>
      <w:r>
        <w:t>The minimum monitoring frequencies for the project are defined in the following table. The HSESC Advisor may increase frequency in response to monitoring results, regulatory requirements, or TARP trigger events:</w:t>
      </w:r>
    </w:p>
    <w:p>
      <w:pPr>
        <w:pStyle w:val="NormalNumberedtext"/>
      </w:pPr>
      <w:r>
        <w:t>Table 2: HSESC Monitoring Programme - Minimum Frequencies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Monitoring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Data Recording Method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QA/QC Requirement</w:t>
            </w:r>
          </w:p>
        </w:tc>
      </w:tr>
      <w:tr>
        <w:tc>
          <w:tcPr>
            <w:tcW w:type="dxa" w:w="1805"/>
          </w:tcPr>
          <w:p>
            <w:pPr>
              <w:pStyle w:val="TableContents"/>
              <w:spacing w:before="0" w:after="0" w:line="240" w:lineRule="atLeast"/>
            </w:pPr>
            <w:r>
              <w:rPr>
                <w:rFonts w:ascii="Arial" w:hAnsi="Arial" w:cs="Arial" w:eastAsia="Arial"/>
                <w:sz w:val="16"/>
                <w:szCs w:val="16"/>
              </w:rPr>
              <w:t>Safety leading indicators</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sz w:val="16"/>
                <w:szCs w:val="16"/>
              </w:rPr>
              <w:t>Project HSESC performance dashboard</w:t>
            </w:r>
          </w:p>
        </w:tc>
        <w:tc>
          <w:tcPr>
            <w:tcW w:type="dxa" w:w="1806"/>
          </w:tcPr>
          <w:p>
            <w:pPr>
              <w:pStyle w:val="TableContents"/>
              <w:spacing w:before="0" w:after="0" w:line="240" w:lineRule="atLeast"/>
            </w:pPr>
            <w:r>
              <w:rPr>
                <w:rFonts w:ascii="Arial" w:hAnsi="Arial" w:cs="Arial" w:eastAsia="Arial"/>
                <w:sz w:val="16"/>
                <w:szCs w:val="16"/>
              </w:rPr>
              <w:t>HSESC Manager review before report issue</w:t>
            </w:r>
          </w:p>
        </w:tc>
      </w:tr>
      <w:tr>
        <w:tc>
          <w:tcPr>
            <w:tcW w:type="dxa" w:w="1805"/>
          </w:tcPr>
          <w:p>
            <w:pPr>
              <w:pStyle w:val="TableContents"/>
              <w:spacing w:before="0" w:after="0" w:line="240" w:lineRule="atLeast"/>
            </w:pPr>
            <w:r>
              <w:rPr>
                <w:rFonts w:ascii="Arial" w:hAnsi="Arial" w:cs="Arial" w:eastAsia="Arial"/>
                <w:sz w:val="16"/>
                <w:szCs w:val="16"/>
              </w:rPr>
              <w:t>Safety lagging indicators</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sz w:val="16"/>
                <w:szCs w:val="16"/>
              </w:rPr>
              <w:t>Project HSESC performance dashboard</w:t>
            </w:r>
          </w:p>
        </w:tc>
        <w:tc>
          <w:tcPr>
            <w:tcW w:type="dxa" w:w="1806"/>
          </w:tcPr>
          <w:p>
            <w:pPr>
              <w:pStyle w:val="TableContents"/>
              <w:spacing w:before="0" w:after="0" w:line="240" w:lineRule="atLeast"/>
            </w:pPr>
            <w:r>
              <w:rPr>
                <w:rFonts w:ascii="Arial" w:hAnsi="Arial" w:cs="Arial" w:eastAsia="Arial"/>
                <w:sz w:val="16"/>
                <w:szCs w:val="16"/>
              </w:rPr>
              <w:t xml:space="preserve">Data verified against incident register per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Occupational hygiene monitoring - noise</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sz w:val="16"/>
                <w:szCs w:val="16"/>
              </w:rPr>
              <w:t>Occupational hygiene monitoring - dust/silica</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sz w:val="16"/>
                <w:szCs w:val="16"/>
              </w:rPr>
              <w:t>Environmental monitoring - water quality</w:t>
            </w:r>
          </w:p>
        </w:tc>
        <w:tc>
          <w:tcPr>
            <w:tcW w:type="dxa" w:w="1805"/>
          </w:tcPr>
          <w:p>
            <w:pPr>
              <w:pStyle w:val="TableContents"/>
              <w:spacing w:before="0" w:after="0" w:line="240" w:lineRule="atLeast"/>
            </w:pPr>
            <w:r>
              <w:rPr>
                <w:rFonts w:ascii="Arial" w:hAnsi="Arial" w:cs="Arial" w:eastAsia="Arial"/>
                <w:b/>
                <w:bCs/>
                <w:color w:val="0059D1"/>
                <w:sz w:val="16"/>
                <w:szCs w:val="16"/>
              </w:rPr>
              <w:t>[INSERT: frequency per RTPR-HSE-PRO-0034/0035/0038]</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sz w:val="16"/>
                <w:szCs w:val="16"/>
              </w:rPr>
              <w:t>Accredited laboratory analysis; results verified against baseline</w:t>
            </w:r>
          </w:p>
        </w:tc>
      </w:tr>
      <w:tr>
        <w:tc>
          <w:tcPr>
            <w:tcW w:type="dxa" w:w="1805"/>
          </w:tcPr>
          <w:p>
            <w:pPr>
              <w:pStyle w:val="TableContents"/>
              <w:spacing w:before="0" w:after="0" w:line="240" w:lineRule="atLeast"/>
            </w:pPr>
            <w:r>
              <w:rPr>
                <w:rFonts w:ascii="Arial" w:hAnsi="Arial" w:cs="Arial" w:eastAsia="Arial"/>
                <w:sz w:val="16"/>
                <w:szCs w:val="16"/>
              </w:rPr>
              <w:t>Environmental monitoring - air quality</w:t>
            </w:r>
          </w:p>
        </w:tc>
        <w:tc>
          <w:tcPr>
            <w:tcW w:type="dxa" w:w="1805"/>
          </w:tcPr>
          <w:p>
            <w:pPr>
              <w:pStyle w:val="TableContents"/>
              <w:spacing w:before="0" w:after="0" w:line="240" w:lineRule="atLeast"/>
            </w:pPr>
            <w:r>
              <w:rPr>
                <w:rFonts w:ascii="Arial" w:hAnsi="Arial" w:cs="Arial" w:eastAsia="Arial"/>
                <w:b/>
                <w:bCs/>
                <w:color w:val="0059D1"/>
                <w:sz w:val="16"/>
                <w:szCs w:val="16"/>
              </w:rPr>
              <w:t>[INSERT: frequency per RTPR-HSE-PRO-0034/0035/0038]</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sz w:val="16"/>
                <w:szCs w:val="16"/>
              </w:rPr>
              <w:t>Environmental monitoring - soil</w:t>
            </w:r>
          </w:p>
        </w:tc>
        <w:tc>
          <w:tcPr>
            <w:tcW w:type="dxa" w:w="1805"/>
          </w:tcPr>
          <w:p>
            <w:pPr>
              <w:pStyle w:val="TableContents"/>
              <w:spacing w:before="0" w:after="0" w:line="240" w:lineRule="atLeast"/>
            </w:pPr>
            <w:r>
              <w:rPr>
                <w:rFonts w:ascii="Arial" w:hAnsi="Arial" w:cs="Arial" w:eastAsia="Arial"/>
                <w:b/>
                <w:bCs/>
                <w:color w:val="0059D1"/>
                <w:sz w:val="16"/>
                <w:szCs w:val="16"/>
              </w:rPr>
              <w:t>[INSERT: frequency per RTPR-HSE-PRO-0034/0035/0038]</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sz w:val="16"/>
                <w:szCs w:val="16"/>
              </w:rPr>
              <w:t>Environmental monitoring - biodiversity</w:t>
            </w:r>
          </w:p>
        </w:tc>
        <w:tc>
          <w:tcPr>
            <w:tcW w:type="dxa" w:w="1805"/>
          </w:tcPr>
          <w:p>
            <w:pPr>
              <w:pStyle w:val="TableContents"/>
              <w:spacing w:before="0" w:after="0" w:line="240" w:lineRule="atLeast"/>
            </w:pPr>
            <w:r>
              <w:rPr>
                <w:rFonts w:ascii="Arial" w:hAnsi="Arial" w:cs="Arial" w:eastAsia="Arial"/>
                <w:b/>
                <w:bCs/>
                <w:color w:val="0059D1"/>
                <w:sz w:val="16"/>
                <w:szCs w:val="16"/>
              </w:rPr>
              <w:t>[INSERT: frequency per RTPR-HSE-PRO-0034/0035/0038]</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sz w:val="16"/>
                <w:szCs w:val="16"/>
              </w:rPr>
              <w:t>CRM critical control verification</w:t>
            </w:r>
          </w:p>
        </w:tc>
        <w:tc>
          <w:tcPr>
            <w:tcW w:type="dxa" w:w="1805"/>
          </w:tcPr>
          <w:p>
            <w:pPr>
              <w:pStyle w:val="TableContents"/>
              <w:spacing w:before="0" w:after="0" w:line="240" w:lineRule="atLeast"/>
            </w:pPr>
            <w:r>
              <w:rPr>
                <w:rFonts w:ascii="Arial" w:hAnsi="Arial" w:cs="Arial" w:eastAsia="Arial"/>
                <w:sz w:val="16"/>
                <w:szCs w:val="16"/>
              </w:rPr>
              <w:t>Monthly minimum; refer Section 5</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sz w:val="16"/>
                <w:szCs w:val="16"/>
              </w:rPr>
              <w:t>CRM verification register</w:t>
            </w:r>
          </w:p>
        </w:tc>
        <w:tc>
          <w:tcPr>
            <w:tcW w:type="dxa" w:w="1806"/>
          </w:tcPr>
          <w:p>
            <w:pPr>
              <w:pStyle w:val="TableContents"/>
              <w:spacing w:before="0" w:after="0" w:line="240" w:lineRule="atLeast"/>
            </w:pPr>
            <w:r>
              <w:rPr>
                <w:rFonts w:ascii="Arial" w:hAnsi="Arial" w:cs="Arial" w:eastAsia="Arial"/>
                <w:sz w:val="16"/>
                <w:szCs w:val="16"/>
              </w:rPr>
              <w:t>HSESC Manager review</w:t>
            </w:r>
          </w:p>
        </w:tc>
      </w:tr>
      <w:tr>
        <w:tc>
          <w:tcPr>
            <w:tcW w:type="dxa" w:w="1805"/>
          </w:tcPr>
          <w:p>
            <w:pPr>
              <w:pStyle w:val="TableContents"/>
              <w:spacing w:before="0" w:after="0" w:line="240" w:lineRule="atLeast"/>
            </w:pPr>
            <w:r>
              <w:rPr>
                <w:rFonts w:ascii="Arial" w:hAnsi="Arial" w:cs="Arial" w:eastAsia="Arial"/>
                <w:sz w:val="16"/>
                <w:szCs w:val="16"/>
              </w:rPr>
              <w:t>SMM maturity assessment</w:t>
            </w:r>
          </w:p>
        </w:tc>
        <w:tc>
          <w:tcPr>
            <w:tcW w:type="dxa" w:w="1805"/>
          </w:tcPr>
          <w:p>
            <w:pPr>
              <w:pStyle w:val="TableContents"/>
              <w:spacing w:before="0" w:after="0" w:line="240" w:lineRule="atLeast"/>
            </w:pPr>
            <w:r>
              <w:rPr>
                <w:rFonts w:ascii="Arial" w:hAnsi="Arial" w:cs="Arial" w:eastAsia="Arial"/>
                <w:b/>
                <w:bCs/>
                <w:color w:val="0059D1"/>
                <w:sz w:val="16"/>
                <w:szCs w:val="16"/>
              </w:rPr>
              <w:t>[INSERT: frequency, suggested annually]</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 and location]</w:t>
            </w:r>
          </w:p>
        </w:tc>
        <w:tc>
          <w:tcPr>
            <w:tcW w:type="dxa" w:w="1806"/>
          </w:tcPr>
          <w:p>
            <w:pPr>
              <w:pStyle w:val="TableContents"/>
              <w:spacing w:before="0" w:after="0" w:line="240" w:lineRule="atLeast"/>
            </w:pPr>
            <w:r>
              <w:rPr>
                <w:rFonts w:ascii="Arial" w:hAnsi="Arial" w:cs="Arial" w:eastAsia="Arial"/>
                <w:sz w:val="16"/>
                <w:szCs w:val="16"/>
              </w:rPr>
              <w:t>Facilitated assessment with documented output</w:t>
            </w:r>
          </w:p>
        </w:tc>
      </w:tr>
      <w:tr>
        <w:tc>
          <w:tcPr>
            <w:tcW w:type="dxa" w:w="1805"/>
          </w:tcPr>
          <w:p>
            <w:pPr>
              <w:pStyle w:val="TableContents"/>
              <w:spacing w:before="0" w:after="0" w:line="240" w:lineRule="atLeast"/>
            </w:pPr>
            <w:r>
              <w:rPr>
                <w:rFonts w:ascii="Arial" w:hAnsi="Arial" w:cs="Arial" w:eastAsia="Arial"/>
                <w:sz w:val="16"/>
                <w:szCs w:val="16"/>
              </w:rPr>
              <w:t>Social and community performance</w:t>
            </w:r>
          </w:p>
        </w:tc>
        <w:tc>
          <w:tcPr>
            <w:tcW w:type="dxa" w:w="1805"/>
          </w:tcPr>
          <w:p>
            <w:pPr>
              <w:pStyle w:val="TableContents"/>
              <w:spacing w:before="0" w:after="0" w:line="240" w:lineRule="atLeast"/>
            </w:pPr>
            <w:r>
              <w:rPr>
                <w:rFonts w:ascii="Arial" w:hAnsi="Arial" w:cs="Arial" w:eastAsia="Arial"/>
                <w:sz w:val="16"/>
                <w:szCs w:val="16"/>
              </w:rPr>
              <w:t>Monthly</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5"/>
          </w:tcPr>
          <w:p>
            <w:pPr>
              <w:pStyle w:val="TableContents"/>
              <w:spacing w:before="0" w:after="0" w:line="240" w:lineRule="atLeast"/>
            </w:pPr>
            <w:r>
              <w:rPr>
                <w:rFonts w:ascii="Arial" w:hAnsi="Arial" w:cs="Arial" w:eastAsia="Arial"/>
                <w:b/>
                <w:bCs/>
                <w:color w:val="0059D1"/>
                <w:sz w:val="16"/>
                <w:szCs w:val="16"/>
              </w:rPr>
              <w:t>[INSERT: community performance register]</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r>
        <w:tc>
          <w:tcPr>
            <w:tcW w:type="dxa" w:w="1805"/>
          </w:tcPr>
          <w:p>
            <w:pPr>
              <w:pStyle w:val="TableContents"/>
              <w:spacing w:before="0" w:after="0" w:line="240" w:lineRule="atLeast"/>
            </w:pPr>
            <w:r>
              <w:rPr>
                <w:rFonts w:ascii="Arial" w:hAnsi="Arial" w:cs="Arial" w:eastAsia="Arial"/>
                <w:b/>
                <w:bCs/>
                <w:color w:val="0059D1"/>
                <w:sz w:val="16"/>
                <w:szCs w:val="16"/>
              </w:rPr>
              <w:t>[INSERT: monitoring type]</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record format]</w:t>
            </w:r>
          </w:p>
        </w:tc>
        <w:tc>
          <w:tcPr>
            <w:tcW w:type="dxa" w:w="1806"/>
          </w:tcPr>
          <w:p>
            <w:pPr>
              <w:pStyle w:val="TableContents"/>
              <w:spacing w:before="0" w:after="0" w:line="240" w:lineRule="atLeast"/>
            </w:pPr>
            <w:r>
              <w:rPr>
                <w:rFonts w:ascii="Arial" w:hAnsi="Arial" w:cs="Arial" w:eastAsia="Arial"/>
                <w:b/>
                <w:bCs/>
                <w:color w:val="0059D1"/>
                <w:sz w:val="16"/>
                <w:szCs w:val="16"/>
              </w:rPr>
              <w:t>[INSERT: QA/QC method]</w:t>
            </w:r>
          </w:p>
        </w:tc>
      </w:tr>
    </w:tbl>
    <w:p>
      <w:pPr>
        <w:pStyle w:val="NormalNumberedtext"/>
      </w:pPr>
    </w:p>
    <w:p>
      <w:pPr>
        <w:pStyle w:val="NormalNumberedtext"/>
      </w:pPr>
      <w:r>
        <w:t>Monitoring data is analysed and interpreted at least annually, or at a frequency suited to operational needs and regulatory requirements, whichever is more frequent. The HSESC Advisor documents analysis outcomes and presents findings at the relevant project review meeting.</w:t>
      </w:r>
    </w:p>
    <w:p>
      <w:pPr>
        <w:pStyle w:val="NormalNumberedtext"/>
      </w:pPr>
      <w:r>
        <w:t>Environmental monitoring uses methods consistent with nationally or internationally recognised analytical and sampling standards, consistent with IFC EHS General Guidelines §2.9. Data quality is verified through QA/QC processes defined in the monitoring programme schedule, including sample chain-of-custody documentation, accredited laboratory use, and results verification against project baseline data.</w:t>
      </w:r>
    </w:p>
    <w:p>
      <w:pPr>
        <w:pStyle w:val="NormalNumberedtext"/>
      </w:pPr>
    </w:p>
    <w:p>
      <w:pPr>
        <w:pStyle w:val="Heading2Numbered"/>
        <w:numPr>
          <w:ilvl w:val="1"/>
          <w:numId w:val="1"/>
        </w:numPr>
      </w:pPr>
      <w:r>
        <w:rPr>
          <w:rFonts w:ascii="Arial" w:hAnsi="Arial" w:cs="Arial" w:eastAsia="Arial"/>
        </w:rPr>
        <w:t>Safety and Health Targets</w:t>
      </w:r>
    </w:p>
    <w:p>
      <w:pPr>
        <w:pStyle w:val="NormalNumberedtext"/>
      </w:pPr>
      <w:r>
        <w:t>This section defines the requirement to set and monitor measurable safety and health targets and report performance against them.</w:t>
      </w:r>
    </w:p>
    <w:p>
      <w:pPr>
        <w:pStyle w:val="NormalNumberedtext"/>
      </w:pPr>
      <w:r>
        <w:t>The project sets and monitors measurable safety and health targets, consistent with TSM Safe, Healthy and Respectful Workplaces Protocol Indicator SH2. Performance against targets is reported as part of the monthly and annual HSESC performance reporting cycle defined in Section 6.</w:t>
      </w:r>
    </w:p>
    <w:p>
      <w:pPr>
        <w:pStyle w:val="NormalNumberedtext"/>
      </w:pPr>
      <w:r>
        <w:t xml:space="preserve">HSESC metrics including objectives, targets, and KPIs are proposed by the Contractor and agreed with the Company before the execution phase commences. Agreed metrics are reported at agreed intervals. Proposed metrics are submitted to the HSESC Manager for review and approval no later than </w:t>
      </w:r>
    </w:p>
    <w:p>
      <w:pPr>
        <w:pStyle w:val="NormalNumberedtext"/>
      </w:pPr>
      <w:r>
        <w:rPr>
          <w:b/>
          <w:bCs/>
          <w:color w:val="0059D1"/>
        </w:rPr>
        <w:t>[INSERT: metrics_submission_deadline] — Enter the deadline for contractor metric submission, e.g. 30 days before execution phase commencement</w:t>
      </w:r>
    </w:p>
    <w:p>
      <w:pPr>
        <w:pStyle w:val="NormalNumberedtext"/>
      </w:pPr>
      <w:r>
        <w:t>The following safety and health targets apply as a minimum to this project:</w:t>
      </w:r>
    </w:p>
    <w:p>
      <w:pPr>
        <w:pStyle w:val="NormalNumberedtext"/>
      </w:pPr>
      <w:r>
        <w:t>Table 3: Project Safety and Health Targets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Indicator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Target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Reporting 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2256"/>
          </w:tcPr>
          <w:p>
            <w:pPr>
              <w:pStyle w:val="TableContents"/>
              <w:spacing w:before="0" w:after="0" w:line="240" w:lineRule="atLeast"/>
            </w:pPr>
            <w:r>
              <w:rPr>
                <w:rFonts w:ascii="Arial" w:hAnsi="Arial" w:cs="Arial" w:eastAsia="Arial"/>
                <w:sz w:val="16"/>
                <w:szCs w:val="16"/>
              </w:rPr>
              <w:t>Total Recordable Injury Frequency (TRIF)</w:t>
            </w:r>
          </w:p>
        </w:tc>
        <w:tc>
          <w:tcPr>
            <w:tcW w:type="dxa" w:w="2256"/>
          </w:tcPr>
          <w:p>
            <w:pPr>
              <w:pStyle w:val="TableContents"/>
              <w:spacing w:before="0" w:after="0" w:line="240" w:lineRule="atLeast"/>
            </w:pPr>
            <w:r>
              <w:rPr>
                <w:rFonts w:ascii="Arial" w:hAnsi="Arial" w:cs="Arial" w:eastAsia="Arial"/>
                <w:b/>
                <w:bCs/>
                <w:color w:val="0059D1"/>
                <w:sz w:val="16"/>
                <w:szCs w:val="16"/>
              </w:rPr>
              <w:t>[INSERT: target value]</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HSESC Advisor</w:t>
            </w:r>
          </w:p>
        </w:tc>
      </w:tr>
      <w:tr>
        <w:tc>
          <w:tcPr>
            <w:tcW w:type="dxa" w:w="2256"/>
          </w:tcPr>
          <w:p>
            <w:pPr>
              <w:pStyle w:val="TableContents"/>
              <w:spacing w:before="0" w:after="0" w:line="240" w:lineRule="atLeast"/>
            </w:pPr>
            <w:r>
              <w:rPr>
                <w:rFonts w:ascii="Arial" w:hAnsi="Arial" w:cs="Arial" w:eastAsia="Arial"/>
                <w:sz w:val="16"/>
                <w:szCs w:val="16"/>
              </w:rPr>
              <w:t>Lost Time Injury Frequency (LTIF)</w:t>
            </w:r>
          </w:p>
        </w:tc>
        <w:tc>
          <w:tcPr>
            <w:tcW w:type="dxa" w:w="2256"/>
          </w:tcPr>
          <w:p>
            <w:pPr>
              <w:pStyle w:val="TableContents"/>
              <w:spacing w:before="0" w:after="0" w:line="240" w:lineRule="atLeast"/>
            </w:pPr>
            <w:r>
              <w:rPr>
                <w:rFonts w:ascii="Arial" w:hAnsi="Arial" w:cs="Arial" w:eastAsia="Arial"/>
                <w:b/>
                <w:bCs/>
                <w:color w:val="0059D1"/>
                <w:sz w:val="16"/>
                <w:szCs w:val="16"/>
              </w:rPr>
              <w:t>[INSERT: target value]</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HSESC Advisor</w:t>
            </w:r>
          </w:p>
        </w:tc>
      </w:tr>
      <w:tr>
        <w:tc>
          <w:tcPr>
            <w:tcW w:type="dxa" w:w="2256"/>
          </w:tcPr>
          <w:p>
            <w:pPr>
              <w:pStyle w:val="TableContents"/>
              <w:spacing w:before="0" w:after="0" w:line="240" w:lineRule="atLeast"/>
            </w:pPr>
            <w:r>
              <w:rPr>
                <w:rFonts w:ascii="Arial" w:hAnsi="Arial" w:cs="Arial" w:eastAsia="Arial"/>
                <w:sz w:val="16"/>
                <w:szCs w:val="16"/>
              </w:rPr>
              <w:t>High-Potential Incident Frequency (HiPo)</w:t>
            </w:r>
          </w:p>
        </w:tc>
        <w:tc>
          <w:tcPr>
            <w:tcW w:type="dxa" w:w="2256"/>
          </w:tcPr>
          <w:p>
            <w:pPr>
              <w:pStyle w:val="TableContents"/>
              <w:spacing w:before="0" w:after="0" w:line="240" w:lineRule="atLeast"/>
            </w:pPr>
            <w:r>
              <w:rPr>
                <w:rFonts w:ascii="Arial" w:hAnsi="Arial" w:cs="Arial" w:eastAsia="Arial"/>
                <w:b/>
                <w:bCs/>
                <w:color w:val="0059D1"/>
                <w:sz w:val="16"/>
                <w:szCs w:val="16"/>
              </w:rPr>
              <w:t>[INSERT: target value]</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HSESC Advisor</w:t>
            </w:r>
          </w:p>
        </w:tc>
      </w:tr>
      <w:tr>
        <w:tc>
          <w:tcPr>
            <w:tcW w:type="dxa" w:w="2256"/>
          </w:tcPr>
          <w:p>
            <w:pPr>
              <w:pStyle w:val="TableContents"/>
              <w:spacing w:before="0" w:after="0" w:line="240" w:lineRule="atLeast"/>
            </w:pPr>
            <w:r>
              <w:rPr>
                <w:rFonts w:ascii="Arial" w:hAnsi="Arial" w:cs="Arial" w:eastAsia="Arial"/>
                <w:sz w:val="16"/>
                <w:szCs w:val="16"/>
              </w:rPr>
              <w:t>Critical Control Field Verification completion rate</w:t>
            </w:r>
          </w:p>
        </w:tc>
        <w:tc>
          <w:tcPr>
            <w:tcW w:type="dxa" w:w="2256"/>
          </w:tcPr>
          <w:p>
            <w:pPr>
              <w:pStyle w:val="TableContents"/>
              <w:spacing w:before="0" w:after="0" w:line="240" w:lineRule="atLeast"/>
            </w:pPr>
            <w:r>
              <w:rPr>
                <w:rFonts w:ascii="Arial" w:hAnsi="Arial" w:cs="Arial" w:eastAsia="Arial"/>
                <w:b/>
                <w:bCs/>
                <w:color w:val="0059D1"/>
                <w:sz w:val="16"/>
                <w:szCs w:val="16"/>
              </w:rPr>
              <w:t>[INSERT: target %, suggested 95%]</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HSESC Advisor</w:t>
            </w:r>
          </w:p>
        </w:tc>
      </w:tr>
      <w:tr>
        <w:tc>
          <w:tcPr>
            <w:tcW w:type="dxa" w:w="2256"/>
          </w:tcPr>
          <w:p>
            <w:pPr>
              <w:pStyle w:val="TableContents"/>
              <w:spacing w:before="0" w:after="0" w:line="240" w:lineRule="atLeast"/>
            </w:pPr>
            <w:r>
              <w:rPr>
                <w:rFonts w:ascii="Arial" w:hAnsi="Arial" w:cs="Arial" w:eastAsia="Arial"/>
                <w:sz w:val="16"/>
                <w:szCs w:val="16"/>
              </w:rPr>
              <w:t>Inspection programme completion rate</w:t>
            </w:r>
          </w:p>
        </w:tc>
        <w:tc>
          <w:tcPr>
            <w:tcW w:type="dxa" w:w="2256"/>
          </w:tcPr>
          <w:p>
            <w:pPr>
              <w:pStyle w:val="TableContents"/>
              <w:spacing w:before="0" w:after="0" w:line="240" w:lineRule="atLeast"/>
            </w:pPr>
            <w:r>
              <w:rPr>
                <w:rFonts w:ascii="Arial" w:hAnsi="Arial" w:cs="Arial" w:eastAsia="Arial"/>
                <w:b/>
                <w:bCs/>
                <w:color w:val="0059D1"/>
                <w:sz w:val="16"/>
                <w:szCs w:val="16"/>
              </w:rPr>
              <w:t>[INSERT: target %, suggested 95%]</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HSESC Advisor</w:t>
            </w:r>
          </w:p>
        </w:tc>
      </w:tr>
      <w:tr>
        <w:tc>
          <w:tcPr>
            <w:tcW w:type="dxa" w:w="2256"/>
          </w:tcPr>
          <w:p>
            <w:pPr>
              <w:pStyle w:val="TableContents"/>
              <w:spacing w:before="0" w:after="0" w:line="240" w:lineRule="atLeast"/>
            </w:pPr>
            <w:r>
              <w:rPr>
                <w:rFonts w:ascii="Arial" w:hAnsi="Arial" w:cs="Arial" w:eastAsia="Arial"/>
                <w:b/>
                <w:bCs/>
                <w:color w:val="0059D1"/>
                <w:sz w:val="16"/>
                <w:szCs w:val="16"/>
              </w:rPr>
              <w:t>[INSERT: indicator]</w:t>
            </w:r>
          </w:p>
        </w:tc>
        <w:tc>
          <w:tcPr>
            <w:tcW w:type="dxa" w:w="2256"/>
          </w:tcPr>
          <w:p>
            <w:pPr>
              <w:pStyle w:val="TableContents"/>
              <w:spacing w:before="0" w:after="0" w:line="240" w:lineRule="atLeast"/>
            </w:pPr>
            <w:r>
              <w:rPr>
                <w:rFonts w:ascii="Arial" w:hAnsi="Arial" w:cs="Arial" w:eastAsia="Arial"/>
                <w:b/>
                <w:bCs/>
                <w:color w:val="0059D1"/>
                <w:sz w:val="16"/>
                <w:szCs w:val="16"/>
              </w:rPr>
              <w:t>[INSERT: target]</w:t>
            </w:r>
          </w:p>
        </w:tc>
        <w:tc>
          <w:tcPr>
            <w:tcW w:type="dxa" w:w="2256"/>
          </w:tcPr>
          <w:p>
            <w:pPr>
              <w:pStyle w:val="TableContents"/>
              <w:spacing w:before="0" w:after="0" w:line="240" w:lineRule="atLeast"/>
            </w:pPr>
            <w:r>
              <w:rPr>
                <w:rFonts w:ascii="Arial" w:hAnsi="Arial" w:cs="Arial" w:eastAsia="Arial"/>
                <w:b/>
                <w:bCs/>
                <w:color w:val="0059D1"/>
                <w:sz w:val="16"/>
                <w:szCs w:val="16"/>
              </w:rPr>
              <w:t>[INSERT: frequency]</w:t>
            </w:r>
          </w:p>
        </w:tc>
        <w:tc>
          <w:tcPr>
            <w:tcW w:type="dxa" w:w="2258"/>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Heading1Numbered"/>
        <w:numPr>
          <w:ilvl w:val="0"/>
          <w:numId w:val="1"/>
        </w:numPr>
      </w:pPr>
      <w:r>
        <w:rPr>
          <w:rFonts w:ascii="Arial" w:hAnsi="Arial" w:cs="Arial" w:eastAsia="Arial"/>
        </w:rPr>
        <w:t>Inspection Programme</w:t>
      </w:r>
    </w:p>
    <w:p>
      <w:pPr>
        <w:pStyle w:val="NormalNumberedtext"/>
      </w:pPr>
      <w:r>
        <w:t>This section defines the planned HSESC inspection programme, inspection types, frequencies, inspector competency requirements, documentation requirements, and obligations for accommodating Company audits.</w:t>
      </w:r>
    </w:p>
    <w:p>
      <w:pPr>
        <w:pStyle w:val="NormalNumberedtext"/>
      </w:pPr>
    </w:p>
    <w:p>
      <w:pPr>
        <w:pStyle w:val="Heading2Numbered"/>
        <w:numPr>
          <w:ilvl w:val="1"/>
          <w:numId w:val="1"/>
        </w:numPr>
      </w:pPr>
      <w:r>
        <w:rPr>
          <w:rFonts w:ascii="Arial" w:hAnsi="Arial" w:cs="Arial" w:eastAsia="Arial"/>
        </w:rPr>
        <w:t>Planned Inspection Types and Frequencies</w:t>
      </w:r>
    </w:p>
    <w:p>
      <w:pPr>
        <w:pStyle w:val="NormalNumberedtext"/>
      </w:pPr>
      <w:r>
        <w:t>This section defines each planned inspection type, the required frequency, and the competency required of the person conducting it.</w:t>
      </w:r>
    </w:p>
    <w:p>
      <w:pPr>
        <w:pStyle w:val="NormalNumberedtext"/>
      </w:pPr>
      <w:r>
        <w:t>The HSESC Advisor maintains a planned inspection programme covering all inspection types listed below, consistent with APPC Appendix C, C-1 §40 requirements. The inspection programme is recorded in the project HSESC monitoring programme schedule at Appendix A.</w:t>
      </w:r>
    </w:p>
    <w:p>
      <w:pPr>
        <w:pStyle w:val="NormalNumberedtext"/>
      </w:pPr>
      <w:r>
        <w:t>Table 4: Planned Inspection Programme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Required Inspector Competency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Documentation Requirement</w:t>
            </w:r>
          </w:p>
        </w:tc>
      </w:tr>
      <w:tr>
        <w:tc>
          <w:tcPr>
            <w:tcW w:type="dxa" w:w="2256"/>
          </w:tcPr>
          <w:p>
            <w:pPr>
              <w:pStyle w:val="TableContents"/>
              <w:spacing w:before="0" w:after="0" w:line="240" w:lineRule="atLeast"/>
            </w:pPr>
            <w:r>
              <w:rPr>
                <w:rFonts w:ascii="Arial" w:hAnsi="Arial" w:cs="Arial" w:eastAsia="Arial"/>
                <w:sz w:val="16"/>
                <w:szCs w:val="16"/>
              </w:rPr>
              <w:t>General site HSESC inspection</w:t>
            </w:r>
          </w:p>
        </w:tc>
        <w:tc>
          <w:tcPr>
            <w:tcW w:type="dxa" w:w="2256"/>
          </w:tcPr>
          <w:p>
            <w:pPr>
              <w:pStyle w:val="TableContents"/>
              <w:spacing w:before="0" w:after="0" w:line="240" w:lineRule="atLeast"/>
            </w:pPr>
            <w:r>
              <w:rPr>
                <w:rFonts w:ascii="Arial" w:hAnsi="Arial" w:cs="Arial" w:eastAsia="Arial"/>
                <w:sz w:val="16"/>
                <w:szCs w:val="16"/>
              </w:rPr>
              <w:t>Weekly</w:t>
            </w:r>
          </w:p>
        </w:tc>
        <w:tc>
          <w:tcPr>
            <w:tcW w:type="dxa" w:w="2256"/>
          </w:tcPr>
          <w:p>
            <w:pPr>
              <w:pStyle w:val="TableContents"/>
              <w:spacing w:before="0" w:after="0" w:line="240" w:lineRule="atLeast"/>
            </w:pPr>
            <w:r>
              <w:rPr>
                <w:rFonts w:ascii="Arial" w:hAnsi="Arial" w:cs="Arial" w:eastAsia="Arial"/>
                <w:sz w:val="16"/>
                <w:szCs w:val="16"/>
              </w:rPr>
              <w:t>HSESC Advisor or delegated HSESC Representative</w:t>
            </w:r>
          </w:p>
        </w:tc>
        <w:tc>
          <w:tcPr>
            <w:tcW w:type="dxa" w:w="2258"/>
          </w:tcPr>
          <w:p>
            <w:pPr>
              <w:pStyle w:val="TableContents"/>
              <w:spacing w:before="0" w:after="0" w:line="240" w:lineRule="atLeast"/>
            </w:pPr>
            <w:r>
              <w:rPr>
                <w:rFonts w:ascii="Arial" w:hAnsi="Arial" w:cs="Arial" w:eastAsia="Arial"/>
                <w:sz w:val="16"/>
                <w:szCs w:val="16"/>
              </w:rPr>
              <w:t>Completed inspection checklist recorded in project action tracking system</w:t>
            </w:r>
          </w:p>
        </w:tc>
      </w:tr>
      <w:tr>
        <w:tc>
          <w:tcPr>
            <w:tcW w:type="dxa" w:w="2256"/>
          </w:tcPr>
          <w:p>
            <w:pPr>
              <w:pStyle w:val="TableContents"/>
              <w:spacing w:before="0" w:after="0" w:line="240" w:lineRule="atLeast"/>
            </w:pPr>
            <w:r>
              <w:rPr>
                <w:rFonts w:ascii="Arial" w:hAnsi="Arial" w:cs="Arial" w:eastAsia="Arial"/>
                <w:sz w:val="16"/>
                <w:szCs w:val="16"/>
              </w:rPr>
              <w:t>Equipment inspection - safety-critical equipment</w:t>
            </w:r>
          </w:p>
        </w:tc>
        <w:tc>
          <w:tcPr>
            <w:tcW w:type="dxa" w:w="2256"/>
          </w:tcPr>
          <w:p>
            <w:pPr>
              <w:pStyle w:val="TableContents"/>
              <w:spacing w:before="0" w:after="0" w:line="240" w:lineRule="atLeast"/>
            </w:pPr>
            <w:r>
              <w:rPr>
                <w:rFonts w:ascii="Arial" w:hAnsi="Arial" w:cs="Arial" w:eastAsia="Arial"/>
                <w:b/>
                <w:bCs/>
                <w:color w:val="0059D1"/>
                <w:sz w:val="16"/>
                <w:szCs w:val="16"/>
              </w:rPr>
              <w:t>[INSERT: frequency, suggested per manufacturer recommendation or monthly minimum]</w:t>
            </w:r>
          </w:p>
        </w:tc>
        <w:tc>
          <w:tcPr>
            <w:tcW w:type="dxa" w:w="2256"/>
          </w:tcPr>
          <w:p>
            <w:pPr>
              <w:pStyle w:val="TableContents"/>
              <w:spacing w:before="0" w:after="0" w:line="240" w:lineRule="atLeast"/>
            </w:pPr>
            <w:r>
              <w:rPr>
                <w:rFonts w:ascii="Arial" w:hAnsi="Arial" w:cs="Arial" w:eastAsia="Arial"/>
                <w:sz w:val="16"/>
                <w:szCs w:val="16"/>
              </w:rPr>
              <w:t>Competent person as defined in the relevant equipment standard</w:t>
            </w:r>
          </w:p>
        </w:tc>
        <w:tc>
          <w:tcPr>
            <w:tcW w:type="dxa" w:w="2258"/>
          </w:tcPr>
          <w:p>
            <w:pPr>
              <w:pStyle w:val="TableContents"/>
              <w:spacing w:before="0" w:after="0" w:line="240" w:lineRule="atLeast"/>
            </w:pPr>
            <w:r>
              <w:rPr>
                <w:rFonts w:ascii="Arial" w:hAnsi="Arial" w:cs="Arial" w:eastAsia="Arial"/>
                <w:sz w:val="16"/>
                <w:szCs w:val="16"/>
              </w:rPr>
              <w:t>Completed inspection record stored in equipment register</w:t>
            </w:r>
          </w:p>
        </w:tc>
      </w:tr>
      <w:tr>
        <w:tc>
          <w:tcPr>
            <w:tcW w:type="dxa" w:w="2256"/>
          </w:tcPr>
          <w:p>
            <w:pPr>
              <w:pStyle w:val="TableContents"/>
              <w:spacing w:before="0" w:after="0" w:line="240" w:lineRule="atLeast"/>
            </w:pPr>
            <w:r>
              <w:rPr>
                <w:rFonts w:ascii="Arial" w:hAnsi="Arial" w:cs="Arial" w:eastAsia="Arial"/>
                <w:sz w:val="16"/>
                <w:szCs w:val="16"/>
              </w:rPr>
              <w:t>CRM Critical Control Field Verification (CCFV)</w:t>
            </w:r>
          </w:p>
        </w:tc>
        <w:tc>
          <w:tcPr>
            <w:tcW w:type="dxa" w:w="2256"/>
          </w:tcPr>
          <w:p>
            <w:pPr>
              <w:pStyle w:val="TableContents"/>
              <w:spacing w:before="0" w:after="0" w:line="240" w:lineRule="atLeast"/>
            </w:pPr>
            <w:r>
              <w:rPr>
                <w:rFonts w:ascii="Arial" w:hAnsi="Arial" w:cs="Arial" w:eastAsia="Arial"/>
                <w:sz w:val="16"/>
                <w:szCs w:val="16"/>
              </w:rPr>
              <w:t>Refer Section 4.2</w:t>
            </w:r>
          </w:p>
        </w:tc>
        <w:tc>
          <w:tcPr>
            <w:tcW w:type="dxa" w:w="2256"/>
          </w:tcPr>
          <w:p>
            <w:pPr>
              <w:pStyle w:val="TableContents"/>
              <w:spacing w:before="0" w:after="0" w:line="240" w:lineRule="atLeast"/>
            </w:pPr>
            <w:r>
              <w:rPr>
                <w:rFonts w:ascii="Arial" w:hAnsi="Arial" w:cs="Arial" w:eastAsia="Arial"/>
                <w:sz w:val="16"/>
                <w:szCs w:val="16"/>
              </w:rPr>
              <w:t>HSESC Advisor or HSESC Manager</w:t>
            </w:r>
          </w:p>
        </w:tc>
        <w:tc>
          <w:tcPr>
            <w:tcW w:type="dxa" w:w="2258"/>
          </w:tcPr>
          <w:p>
            <w:pPr>
              <w:pStyle w:val="TableContents"/>
              <w:spacing w:before="0" w:after="0" w:line="240" w:lineRule="atLeast"/>
            </w:pPr>
            <w:r>
              <w:rPr>
                <w:rFonts w:ascii="Arial" w:hAnsi="Arial" w:cs="Arial" w:eastAsia="Arial"/>
                <w:sz w:val="16"/>
                <w:szCs w:val="16"/>
              </w:rPr>
              <w:t>CCFV record in CRM verification register</w:t>
            </w:r>
          </w:p>
        </w:tc>
      </w:tr>
      <w:tr>
        <w:tc>
          <w:tcPr>
            <w:tcW w:type="dxa" w:w="2256"/>
          </w:tcPr>
          <w:p>
            <w:pPr>
              <w:pStyle w:val="TableContents"/>
              <w:spacing w:before="0" w:after="0" w:line="240" w:lineRule="atLeast"/>
            </w:pPr>
            <w:r>
              <w:rPr>
                <w:rFonts w:ascii="Arial" w:hAnsi="Arial" w:cs="Arial" w:eastAsia="Arial"/>
                <w:sz w:val="16"/>
                <w:szCs w:val="16"/>
              </w:rPr>
              <w:t>PTW system compliance check</w:t>
            </w:r>
          </w:p>
        </w:tc>
        <w:tc>
          <w:tcPr>
            <w:tcW w:type="dxa" w:w="2256"/>
          </w:tcPr>
          <w:p>
            <w:pPr>
              <w:pStyle w:val="TableContents"/>
              <w:spacing w:before="0" w:after="0" w:line="240" w:lineRule="atLeast"/>
            </w:pPr>
            <w:r>
              <w:rPr>
                <w:rFonts w:ascii="Arial" w:hAnsi="Arial" w:cs="Arial" w:eastAsia="Arial"/>
                <w:b/>
                <w:bCs/>
                <w:color w:val="0059D1"/>
                <w:sz w:val="16"/>
                <w:szCs w:val="16"/>
              </w:rPr>
              <w:t>[INSERT: frequency, suggested weekly]</w:t>
            </w:r>
          </w:p>
        </w:tc>
        <w:tc>
          <w:tcPr>
            <w:tcW w:type="dxa" w:w="2256"/>
          </w:tcPr>
          <w:p>
            <w:pPr>
              <w:pStyle w:val="TableContents"/>
              <w:spacing w:before="0" w:after="0" w:line="240" w:lineRule="atLeast"/>
            </w:pPr>
            <w:r>
              <w:rPr>
                <w:rFonts w:ascii="Arial" w:hAnsi="Arial" w:cs="Arial" w:eastAsia="Arial"/>
                <w:sz w:val="16"/>
                <w:szCs w:val="16"/>
              </w:rPr>
              <w:t>HSESC Advisor</w:t>
            </w:r>
          </w:p>
        </w:tc>
        <w:tc>
          <w:tcPr>
            <w:tcW w:type="dxa" w:w="2258"/>
          </w:tcPr>
          <w:p>
            <w:pPr>
              <w:pStyle w:val="TableContents"/>
              <w:spacing w:before="0" w:after="0" w:line="240" w:lineRule="atLeast"/>
            </w:pPr>
            <w:r>
              <w:rPr>
                <w:rFonts w:ascii="Arial" w:hAnsi="Arial" w:cs="Arial" w:eastAsia="Arial"/>
                <w:sz w:val="16"/>
                <w:szCs w:val="16"/>
              </w:rPr>
              <w:t>Completed PTW compliance check record in project action tracking system</w:t>
            </w:r>
          </w:p>
        </w:tc>
      </w:tr>
      <w:tr>
        <w:tc>
          <w:tcPr>
            <w:tcW w:type="dxa" w:w="2256"/>
          </w:tcPr>
          <w:p>
            <w:pPr>
              <w:pStyle w:val="TableContents"/>
              <w:spacing w:before="0" w:after="0" w:line="240" w:lineRule="atLeast"/>
            </w:pPr>
            <w:r>
              <w:rPr>
                <w:rFonts w:ascii="Arial" w:hAnsi="Arial" w:cs="Arial" w:eastAsia="Arial"/>
                <w:sz w:val="16"/>
                <w:szCs w:val="16"/>
              </w:rPr>
              <w:t>Process safety proof test</w:t>
            </w:r>
          </w:p>
        </w:tc>
        <w:tc>
          <w:tcPr>
            <w:tcW w:type="dxa" w:w="2256"/>
          </w:tcPr>
          <w:p>
            <w:pPr>
              <w:pStyle w:val="TableContents"/>
              <w:spacing w:before="0" w:after="0" w:line="240" w:lineRule="atLeast"/>
            </w:pPr>
            <w:r>
              <w:rPr>
                <w:rFonts w:ascii="Arial" w:hAnsi="Arial" w:cs="Arial" w:eastAsia="Arial"/>
                <w:b/>
                <w:bCs/>
                <w:color w:val="0059D1"/>
                <w:sz w:val="16"/>
                <w:szCs w:val="16"/>
              </w:rPr>
              <w:t>[INSERT: frequency per engineering basis of design]</w:t>
            </w:r>
          </w:p>
        </w:tc>
        <w:tc>
          <w:tcPr>
            <w:tcW w:type="dxa" w:w="2256"/>
          </w:tcPr>
          <w:p>
            <w:pPr>
              <w:pStyle w:val="TableContents"/>
              <w:spacing w:before="0" w:after="0" w:line="240" w:lineRule="atLeast"/>
            </w:pPr>
            <w:r>
              <w:rPr>
                <w:rFonts w:ascii="Arial" w:hAnsi="Arial" w:cs="Arial" w:eastAsia="Arial"/>
                <w:b/>
                <w:bCs/>
                <w:color w:val="0059D1"/>
                <w:sz w:val="16"/>
                <w:szCs w:val="16"/>
              </w:rPr>
              <w:t>[INSERT: qualified engineer or competent person as defined by discipline]</w:t>
            </w:r>
          </w:p>
        </w:tc>
        <w:tc>
          <w:tcPr>
            <w:tcW w:type="dxa" w:w="2258"/>
          </w:tcPr>
          <w:p>
            <w:pPr>
              <w:pStyle w:val="TableContents"/>
              <w:spacing w:before="0" w:after="0" w:line="240" w:lineRule="atLeast"/>
            </w:pPr>
            <w:r>
              <w:rPr>
                <w:rFonts w:ascii="Arial" w:hAnsi="Arial" w:cs="Arial" w:eastAsia="Arial"/>
                <w:sz w:val="16"/>
                <w:szCs w:val="16"/>
              </w:rPr>
              <w:t>Completed proof test record stored in process safety register</w:t>
            </w:r>
          </w:p>
        </w:tc>
      </w:tr>
      <w:tr>
        <w:tc>
          <w:tcPr>
            <w:tcW w:type="dxa" w:w="2256"/>
          </w:tcPr>
          <w:p>
            <w:pPr>
              <w:pStyle w:val="TableContents"/>
              <w:spacing w:before="0" w:after="0" w:line="240" w:lineRule="atLeast"/>
            </w:pPr>
            <w:r>
              <w:rPr>
                <w:rFonts w:ascii="Arial" w:hAnsi="Arial" w:cs="Arial" w:eastAsia="Arial"/>
                <w:b/>
                <w:bCs/>
                <w:color w:val="0059D1"/>
                <w:sz w:val="16"/>
                <w:szCs w:val="16"/>
              </w:rPr>
              <w:t>[INSERT: inspection type]</w:t>
            </w:r>
          </w:p>
        </w:tc>
        <w:tc>
          <w:tcPr>
            <w:tcW w:type="dxa" w:w="2256"/>
          </w:tcPr>
          <w:p>
            <w:pPr>
              <w:pStyle w:val="TableContents"/>
              <w:spacing w:before="0" w:after="0" w:line="240" w:lineRule="atLeast"/>
            </w:pPr>
            <w:r>
              <w:rPr>
                <w:rFonts w:ascii="Arial" w:hAnsi="Arial" w:cs="Arial" w:eastAsia="Arial"/>
                <w:b/>
                <w:bCs/>
                <w:color w:val="0059D1"/>
                <w:sz w:val="16"/>
                <w:szCs w:val="16"/>
              </w:rPr>
              <w:t>[INSERT: frequency]</w:t>
            </w:r>
          </w:p>
        </w:tc>
        <w:tc>
          <w:tcPr>
            <w:tcW w:type="dxa" w:w="2256"/>
          </w:tcPr>
          <w:p>
            <w:pPr>
              <w:pStyle w:val="TableContents"/>
              <w:spacing w:before="0" w:after="0" w:line="240" w:lineRule="atLeast"/>
            </w:pPr>
            <w:r>
              <w:rPr>
                <w:rFonts w:ascii="Arial" w:hAnsi="Arial" w:cs="Arial" w:eastAsia="Arial"/>
                <w:b/>
                <w:bCs/>
                <w:color w:val="0059D1"/>
                <w:sz w:val="16"/>
                <w:szCs w:val="16"/>
              </w:rPr>
              <w:t>[INSERT: competency]</w:t>
            </w:r>
          </w:p>
        </w:tc>
        <w:tc>
          <w:tcPr>
            <w:tcW w:type="dxa" w:w="2258"/>
          </w:tcPr>
          <w:p>
            <w:pPr>
              <w:pStyle w:val="TableContents"/>
              <w:spacing w:before="0" w:after="0" w:line="240" w:lineRule="atLeast"/>
            </w:pPr>
            <w:r>
              <w:rPr>
                <w:rFonts w:ascii="Arial" w:hAnsi="Arial" w:cs="Arial" w:eastAsia="Arial"/>
                <w:b/>
                <w:bCs/>
                <w:color w:val="0059D1"/>
                <w:sz w:val="16"/>
                <w:szCs w:val="16"/>
              </w:rPr>
              <w:t>[INSERT: documentation requirement]</w:t>
            </w:r>
          </w:p>
        </w:tc>
      </w:tr>
    </w:tbl>
    <w:p>
      <w:pPr>
        <w:pStyle w:val="NormalNumberedtext"/>
      </w:pPr>
    </w:p>
    <w:p>
      <w:pPr>
        <w:pStyle w:val="NormalNumberedtext"/>
      </w:pPr>
      <w:r>
        <w:t xml:space="preserve">The Works Supervisor conducts regular workplace inspections to identify new or recurring hazards. Inspection findings are documented in the project action tracking system, </w:t>
      </w:r>
    </w:p>
    <w:p>
      <w:pPr>
        <w:pStyle w:val="NormalNumberedtext"/>
      </w:pPr>
      <w:r>
        <w:rPr>
          <w:b/>
          <w:bCs/>
          <w:color w:val="0059D1"/>
        </w:rPr>
        <w:t>[INSERT: action_tracking_system_name] — Enter the name and reference of the project action tracking system</w:t>
      </w:r>
    </w:p>
    <w:p>
      <w:pPr>
        <w:pStyle w:val="NormalNumberedtext"/>
      </w:pPr>
      <w:r>
        <w:t>, with assigned corrective actions, responsible roles, and due dates recorded at the time of inspection. All corrective actions arising from inspection findings are implemented within a mutually agreed timeframe and tracked to closure.</w:t>
      </w:r>
    </w:p>
    <w:p>
      <w:pPr>
        <w:pStyle w:val="NormalNumberedtext"/>
      </w:pPr>
    </w:p>
    <w:p>
      <w:pPr>
        <w:pStyle w:val="Heading2Numbered"/>
        <w:numPr>
          <w:ilvl w:val="1"/>
          <w:numId w:val="1"/>
        </w:numPr>
      </w:pPr>
      <w:r>
        <w:rPr>
          <w:rFonts w:ascii="Arial" w:hAnsi="Arial" w:cs="Arial" w:eastAsia="Arial"/>
        </w:rPr>
        <w:t>Critical Control Field Verifications</w:t>
      </w:r>
    </w:p>
    <w:p>
      <w:pPr>
        <w:pStyle w:val="NormalNumberedtext"/>
      </w:pPr>
      <w:r>
        <w:t>This section defines CCFV requirements, the verification schedule, target completion rates, and reporting format to the project owner.</w:t>
      </w:r>
    </w:p>
    <w:p>
      <w:pPr>
        <w:pStyle w:val="NormalNumberedtext"/>
      </w:pPr>
      <w:r>
        <w:t>The HSESC Advisor maintains the project CRM verification schedule, which defines the frequency of CCFVs by critical risk, the target CCFV completion rate, and the reporting format to the project owner. The CRM verification schedule is developed from the critical risk register maintained under [INSERT: Project Document Number].</w:t>
      </w:r>
    </w:p>
    <w:p>
      <w:pPr>
        <w:pStyle w:val="NormalNumberedtext"/>
      </w:pPr>
      <w:r>
        <w:t>Table 5: CRM Verification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Critical Risk</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CCFV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Target Completion Rate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Reporting Format</w:t>
            </w:r>
          </w:p>
        </w:tc>
      </w:tr>
      <w:tr>
        <w:tc>
          <w:tcPr>
            <w:tcW w:type="dxa" w:w="1805"/>
          </w:tcPr>
          <w:p>
            <w:pPr>
              <w:pStyle w:val="TableContents"/>
              <w:spacing w:before="0" w:after="0" w:line="240" w:lineRule="atLeast"/>
            </w:pPr>
            <w:r>
              <w:rPr>
                <w:rFonts w:ascii="Arial" w:hAnsi="Arial" w:cs="Arial" w:eastAsia="Arial"/>
                <w:b/>
                <w:bCs/>
                <w:color w:val="0059D1"/>
                <w:sz w:val="16"/>
                <w:szCs w:val="16"/>
              </w:rPr>
              <w:t>[INSERT: critical risk 1, e.g. Working at Height]</w:t>
            </w:r>
          </w:p>
        </w:tc>
        <w:tc>
          <w:tcPr>
            <w:tcW w:type="dxa" w:w="1805"/>
          </w:tcPr>
          <w:p>
            <w:pPr>
              <w:pStyle w:val="TableContents"/>
              <w:spacing w:before="0" w:after="0" w:line="240" w:lineRule="atLeast"/>
            </w:pPr>
            <w:r>
              <w:rPr>
                <w:rFonts w:ascii="Arial" w:hAnsi="Arial" w:cs="Arial" w:eastAsia="Arial"/>
                <w:b/>
                <w:bCs/>
                <w:color w:val="0059D1"/>
                <w:sz w:val="16"/>
                <w:szCs w:val="16"/>
              </w:rPr>
              <w:t>[INSERT: frequency, suggested monthly]</w:t>
            </w:r>
          </w:p>
        </w:tc>
        <w:tc>
          <w:tcPr>
            <w:tcW w:type="dxa" w:w="1805"/>
          </w:tcPr>
          <w:p>
            <w:pPr>
              <w:pStyle w:val="TableContents"/>
              <w:spacing w:before="0" w:after="0" w:line="240" w:lineRule="atLeast"/>
            </w:pPr>
            <w:r>
              <w:rPr>
                <w:rFonts w:ascii="Arial" w:hAnsi="Arial" w:cs="Arial" w:eastAsia="Arial"/>
                <w:b/>
                <w:bCs/>
                <w:color w:val="0059D1"/>
                <w:sz w:val="16"/>
                <w:szCs w:val="16"/>
              </w:rPr>
              <w:t>[INSERT: target %, suggested 95%]</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6"/>
          </w:tcPr>
          <w:p>
            <w:pPr>
              <w:pStyle w:val="TableContents"/>
              <w:spacing w:before="0" w:after="0" w:line="240" w:lineRule="atLeast"/>
            </w:pPr>
            <w:r>
              <w:rPr>
                <w:rFonts w:ascii="Arial" w:hAnsi="Arial" w:cs="Arial" w:eastAsia="Arial"/>
                <w:sz w:val="16"/>
                <w:szCs w:val="16"/>
              </w:rPr>
              <w:t xml:space="preserve">Monthly HSESC report - Section </w:t>
            </w:r>
            <w:r>
              <w:rPr>
                <w:rFonts w:ascii="Arial" w:hAnsi="Arial" w:cs="Arial" w:eastAsia="Arial"/>
                <w:b/>
                <w:bCs/>
                <w:color w:val="0059D1"/>
                <w:sz w:val="16"/>
                <w:szCs w:val="16"/>
              </w:rPr>
              <w:t>[INSERT: section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critical risk 2]</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6"/>
          </w:tcPr>
          <w:p>
            <w:pPr>
              <w:pStyle w:val="TableContents"/>
              <w:spacing w:before="0" w:after="0" w:line="240" w:lineRule="atLeast"/>
            </w:pPr>
            <w:r>
              <w:rPr>
                <w:rFonts w:ascii="Arial" w:hAnsi="Arial" w:cs="Arial" w:eastAsia="Arial"/>
                <w:sz w:val="16"/>
                <w:szCs w:val="16"/>
              </w:rPr>
              <w:t>Monthly HSESC report</w:t>
            </w:r>
          </w:p>
        </w:tc>
      </w:tr>
      <w:tr>
        <w:tc>
          <w:tcPr>
            <w:tcW w:type="dxa" w:w="1805"/>
          </w:tcPr>
          <w:p>
            <w:pPr>
              <w:pStyle w:val="TableContents"/>
              <w:spacing w:before="0" w:after="0" w:line="240" w:lineRule="atLeast"/>
            </w:pPr>
            <w:r>
              <w:rPr>
                <w:rFonts w:ascii="Arial" w:hAnsi="Arial" w:cs="Arial" w:eastAsia="Arial"/>
                <w:b/>
                <w:bCs/>
                <w:color w:val="0059D1"/>
                <w:sz w:val="16"/>
                <w:szCs w:val="16"/>
              </w:rPr>
              <w:t>[INSERT: critical risk 3]</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6"/>
          </w:tcPr>
          <w:p>
            <w:pPr>
              <w:pStyle w:val="TableContents"/>
              <w:spacing w:before="0" w:after="0" w:line="240" w:lineRule="atLeast"/>
            </w:pPr>
            <w:r>
              <w:rPr>
                <w:rFonts w:ascii="Arial" w:hAnsi="Arial" w:cs="Arial" w:eastAsia="Arial"/>
                <w:sz w:val="16"/>
                <w:szCs w:val="16"/>
              </w:rPr>
              <w:t>Monthly HSESC report</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Develop the full project CRM verification schedule for all material critical risks identified in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Define the frequency of CCFVs by critical risk, the target completion rate, and the reporting format for each risk category. Insert the completed schedule in Appendix A.</w:t>
            </w:r>
          </w:p>
        </w:tc>
      </w:tr>
    </w:tbl>
    <w:p>
      <w:pPr>
        <w:pStyle w:val="NormalNumberedtext"/>
      </w:pPr>
    </w:p>
    <w:p>
      <w:pPr>
        <w:pStyle w:val="Heading2Numbered"/>
        <w:numPr>
          <w:ilvl w:val="1"/>
          <w:numId w:val="1"/>
        </w:numPr>
      </w:pPr>
      <w:r>
        <w:rPr>
          <w:rFonts w:ascii="Arial" w:hAnsi="Arial" w:cs="Arial" w:eastAsia="Arial"/>
        </w:rPr>
        <w:t>Company Audit Access and Inspection Outcomes</w:t>
      </w:r>
    </w:p>
    <w:p>
      <w:pPr>
        <w:pStyle w:val="NormalNumberedtext"/>
      </w:pPr>
      <w:r>
        <w:t>This section defines obligations for accommodating Company HSESC audits and for implementing instructions arising from inspection findings.</w:t>
      </w:r>
    </w:p>
    <w:p>
      <w:pPr>
        <w:pStyle w:val="NormalNumberedtext"/>
      </w:pPr>
      <w:r>
        <w:t>The project makes all reasonable efforts to accommodate Company HSESC audits, consistent with APPC Appendix C, C-1 §40.1.1. The project provides unrestricted access to facilities, equipment, materials, personnel, and records for the purpose of Company audits. Company audits are conducted with a minimum of two working days notice. Audit activities conducted under [INSERT: Project Document Number] form part of the overall HSESC performance assessment framework and are not reproduced here.</w:t>
      </w:r>
    </w:p>
    <w:p>
      <w:pPr>
        <w:pStyle w:val="NormalNumberedtext"/>
      </w:pPr>
      <w:r>
        <w:t>Instructions issued by the Company based on inspection findings are implemented within a mutually agreed timeframe, consistent with APPC Appendix C, C-1 §40.2.1. Inspection outcomes are recorded in the project action tracking system and corrective actions are tracked to ensure timely resolution. The HSESC Advisor reports on the status of open corrective actions in the monthly HSESC report.</w:t>
      </w:r>
    </w:p>
    <w:p>
      <w:pPr>
        <w:pStyle w:val="NormalNumberedtext"/>
      </w:pPr>
    </w:p>
    <w:p>
      <w:pPr>
        <w:pStyle w:val="Heading1Numbered"/>
        <w:numPr>
          <w:ilvl w:val="0"/>
          <w:numId w:val="1"/>
        </w:numPr>
      </w:pPr>
      <w:r>
        <w:rPr>
          <w:rFonts w:ascii="Arial" w:hAnsi="Arial" w:cs="Arial" w:eastAsia="Arial"/>
        </w:rPr>
        <w:t>Measuring Equipment Calibration</w:t>
      </w:r>
    </w:p>
    <w:p>
      <w:pPr>
        <w:pStyle w:val="NormalNumberedtext"/>
      </w:pPr>
      <w:r>
        <w:t>This section defines calibration requirements for safety-critical and environmental measuring equipment, QA/QC requirements, and gas detector bump-testing requirements.</w:t>
      </w:r>
    </w:p>
    <w:p>
      <w:pPr>
        <w:pStyle w:val="NormalNumberedtext"/>
      </w:pPr>
    </w:p>
    <w:p>
      <w:pPr>
        <w:pStyle w:val="Heading2Numbered"/>
        <w:numPr>
          <w:ilvl w:val="1"/>
          <w:numId w:val="1"/>
        </w:numPr>
      </w:pPr>
      <w:r>
        <w:rPr>
          <w:rFonts w:ascii="Arial" w:hAnsi="Arial" w:cs="Arial" w:eastAsia="Arial"/>
        </w:rPr>
        <w:t>Calibration Requirements</w:t>
      </w:r>
    </w:p>
    <w:p>
      <w:pPr>
        <w:pStyle w:val="NormalNumberedtext"/>
      </w:pPr>
      <w:r>
        <w:t>This section defines the calibration standard, record-keeping obligations, and the roles responsible for maintaining calibration status.</w:t>
      </w:r>
    </w:p>
    <w:p>
      <w:pPr>
        <w:pStyle w:val="NormalNumberedtext"/>
      </w:pPr>
      <w:r>
        <w:t xml:space="preserve">All safety-critical measuring and monitoring equipment used on the project is calibrated in accordance with manufacturer requirements. Calibration records are maintained in the project calibration register, </w:t>
      </w:r>
    </w:p>
    <w:p>
      <w:pPr>
        <w:pStyle w:val="NormalNumberedtext"/>
      </w:pPr>
      <w:r>
        <w:rPr>
          <w:b/>
          <w:bCs/>
          <w:color w:val="0059D1"/>
        </w:rPr>
        <w:t>[INSERT: calibration_register_name_location] — Enter the name and storage location of the project calibration register</w:t>
      </w:r>
    </w:p>
    <w:p>
      <w:pPr>
        <w:pStyle w:val="NormalNumberedtext"/>
      </w:pPr>
      <w:r>
        <w:t>. The Contractor HSESC Representative ensures that contractor-owned measuring equipment is included in the calibration register and that records are available for inspection at any time.</w:t>
      </w:r>
    </w:p>
    <w:p>
      <w:pPr>
        <w:pStyle w:val="NormalNumberedtext"/>
      </w:pPr>
      <w:r>
        <w:t>The project calibration register records the following for each item of safety-critical measuring or monitoring equipment:</w:t>
      </w:r>
    </w:p>
    <w:p>
      <w:pPr>
        <w:pStyle w:val="NormalNumberedtext"/>
      </w:pPr>
      <w:r>
        <w:t>The calibration register records:</w:t>
      </w:r>
    </w:p>
    <w:p>
      <w:pPr>
        <w:pStyle w:val="NumberedBulletL1"/>
      </w:pPr>
      <w:r>
        <w:t>Equipment description and unique identifier.</w:t>
      </w:r>
    </w:p>
    <w:p>
      <w:pPr>
        <w:pStyle w:val="NumberedBulletL1"/>
      </w:pPr>
      <w:r>
        <w:t>Manufacturer calibration interval and method.</w:t>
      </w:r>
    </w:p>
    <w:p>
      <w:pPr>
        <w:pStyle w:val="NumberedBulletL1"/>
      </w:pPr>
      <w:r>
        <w:t>Date of last calibration and name of the person or organisation who conducted it.</w:t>
      </w:r>
    </w:p>
    <w:p>
      <w:pPr>
        <w:pStyle w:val="NumberedBulletL1"/>
      </w:pPr>
      <w:r>
        <w:t>Date of next required calibration.</w:t>
      </w:r>
    </w:p>
    <w:p>
      <w:pPr>
        <w:pStyle w:val="NumberedBulletL1"/>
      </w:pPr>
      <w:r>
        <w:t>Calibration certificate reference or record location.</w:t>
      </w:r>
    </w:p>
    <w:p>
      <w:pPr>
        <w:pStyle w:val="NumberedBulletL1"/>
      </w:pPr>
      <w:r>
        <w:rPr>
          <w:color w:val="C55A11"/>
        </w:rPr>
        <w:t>Out-of-service status and action taken where equipment is found to be out of calibration.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Define the project gas detector calibration register and bump-test recording system. The procedure requires calibration records to be maintained - define the project-specific record format and storage location and insert the reference as [INSERT: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Calibration Register].</w:t>
            </w:r>
          </w:p>
        </w:tc>
      </w:tr>
    </w:tbl>
    <w:p>
      <w:pPr>
        <w:pStyle w:val="NormalNumberedtext"/>
      </w:pPr>
    </w:p>
    <w:p>
      <w:pPr>
        <w:pStyle w:val="Heading2Numbered"/>
        <w:numPr>
          <w:ilvl w:val="1"/>
          <w:numId w:val="1"/>
        </w:numPr>
      </w:pPr>
      <w:r>
        <w:rPr>
          <w:rFonts w:ascii="Arial" w:hAnsi="Arial" w:cs="Arial" w:eastAsia="Arial"/>
        </w:rPr>
        <w:t>Gas Detector Bump-Testing</w:t>
      </w:r>
    </w:p>
    <w:p>
      <w:pPr>
        <w:pStyle w:val="NormalNumberedtext"/>
      </w:pPr>
      <w:r>
        <w:t>This section defines the gas detector bump-test requirement, the recording obligation, and the link to the permit to work system.</w:t>
      </w:r>
    </w:p>
    <w:p>
      <w:pPr>
        <w:pStyle w:val="NormalNumberedtext"/>
      </w:pPr>
      <w:r>
        <w:t>Gas detectors are bump-tested before each use. The Works Supervisor confirms the bump-test result is recorded on the relevant permit before work commences. Workers raise a permit via the site PTW system before commencing work, refer [INSERT: Project Document Number]. A failed bump-test result renders the detector out of service until it is recalibrated and confirmed functional.</w:t>
      </w:r>
    </w:p>
    <w:p>
      <w:pPr>
        <w:pStyle w:val="NormalNumberedtext"/>
      </w:pPr>
      <w:r>
        <w:t xml:space="preserve">Bump-test records are maintained in </w:t>
      </w:r>
    </w:p>
    <w:p>
      <w:pPr>
        <w:pStyle w:val="NormalNumberedtext"/>
      </w:pPr>
      <w:r>
        <w:rPr>
          <w:b/>
          <w:bCs/>
          <w:color w:val="0059D1"/>
        </w:rPr>
        <w:t>[INSERT: bump_test_record_location] — Enter the record format and storage location for bump-test results, e.g. paper permit attachment filed in the PTW archive</w:t>
      </w:r>
    </w:p>
    <w:p>
      <w:pPr>
        <w:pStyle w:val="NormalNumberedtext"/>
      </w:pPr>
      <w:r>
        <w:t>and are available for inspection at any time.</w:t>
      </w:r>
    </w:p>
    <w:p>
      <w:pPr>
        <w:pStyle w:val="NormalNumberedtext"/>
      </w:pPr>
    </w:p>
    <w:p>
      <w:pPr>
        <w:pStyle w:val="Heading2Numbered"/>
        <w:numPr>
          <w:ilvl w:val="1"/>
          <w:numId w:val="1"/>
        </w:numPr>
      </w:pPr>
      <w:r>
        <w:rPr>
          <w:rFonts w:ascii="Arial" w:hAnsi="Arial" w:cs="Arial" w:eastAsia="Arial"/>
        </w:rPr>
        <w:t>Environmental Monitoring Equipment Standards</w:t>
      </w:r>
    </w:p>
    <w:p>
      <w:pPr>
        <w:pStyle w:val="NormalNumberedtext"/>
      </w:pPr>
      <w:r>
        <w:t>This section defines the analytical and sampling standards required for environmental monitoring equipment and data quality verification.</w:t>
      </w:r>
    </w:p>
    <w:p>
      <w:pPr>
        <w:pStyle w:val="NormalNumberedtext"/>
      </w:pPr>
      <w:r>
        <w:t>Environmental monitoring uses methods consistent with nationally or internationally recognised analytical and sampling standards, consistent with IFC EHS General Guidelines §2.9. The HSESC Advisor confirms that the sampling methods, laboratory selection, and analytical protocols used on the project meet the standards specified in the project HSESC monitoring programme schedule at Appendix A.</w:t>
      </w:r>
    </w:p>
    <w:p>
      <w:pPr>
        <w:pStyle w:val="NormalNumberedtext"/>
      </w:pPr>
      <w:r>
        <w:t>Data quality is verified through QA/QC processes that include chain-of-custody documentation for all samples, use of accredited laboratories, duplicate and blank sample requirements, and results verification against project baseline data before results are reported. Any data quality failure is documented and the affected data set is flagged in the relevant monitoring report pending investigation.</w:t>
      </w:r>
    </w:p>
    <w:p>
      <w:pPr>
        <w:pStyle w:val="NormalNumberedtext"/>
      </w:pPr>
    </w:p>
    <w:p>
      <w:pPr>
        <w:pStyle w:val="Heading1Numbered"/>
        <w:numPr>
          <w:ilvl w:val="0"/>
          <w:numId w:val="1"/>
        </w:numPr>
      </w:pPr>
      <w:r>
        <w:rPr>
          <w:rFonts w:ascii="Arial" w:hAnsi="Arial" w:cs="Arial" w:eastAsia="Arial"/>
        </w:rPr>
        <w:t>Trigger Action Response Plans</w:t>
      </w:r>
    </w:p>
    <w:p>
      <w:pPr>
        <w:pStyle w:val="NormalNumberedtext"/>
      </w:pPr>
      <w:r>
        <w:t>This section defines TARP requirements for all material environmental and safety risks, including trigger levels, responsible roles, required actions, escalation paths, and testing requirements.</w:t>
      </w:r>
    </w:p>
    <w:p>
      <w:pPr>
        <w:pStyle w:val="NormalNumberedtext"/>
      </w:pPr>
    </w:p>
    <w:p>
      <w:pPr>
        <w:pStyle w:val="Heading2Numbered"/>
        <w:numPr>
          <w:ilvl w:val="1"/>
          <w:numId w:val="1"/>
        </w:numPr>
      </w:pPr>
      <w:r>
        <w:rPr>
          <w:rFonts w:ascii="Arial" w:hAnsi="Arial" w:cs="Arial" w:eastAsia="Arial"/>
        </w:rPr>
        <w:t>TARP Requirements</w:t>
      </w:r>
    </w:p>
    <w:p>
      <w:pPr>
        <w:pStyle w:val="NormalNumberedtext"/>
      </w:pPr>
      <w:r>
        <w:t>This section defines what each TARP must contain and the process for developing, approving, and maintaining the project TARP register.</w:t>
      </w:r>
    </w:p>
    <w:p>
      <w:pPr>
        <w:pStyle w:val="NormalNumberedtext"/>
      </w:pPr>
      <w:r>
        <w:t>The project develops and maintains Trigger Action Response Plans for all material environmental and safety risks, consistent with Rio Tinto Standard requirements. TARPs are developed from the material risks identified in the risk register maintained under [INSERT: Project Document Number]. Each TARP is specific to this project's monitoring locations and trigger thresholds.</w:t>
      </w:r>
    </w:p>
    <w:p>
      <w:pPr>
        <w:pStyle w:val="NormalNumberedtext"/>
      </w:pPr>
      <w:r>
        <w:t>Each TARP includes the following elements:</w:t>
      </w:r>
    </w:p>
    <w:p>
      <w:pPr>
        <w:pStyle w:val="NormalNumberedtext"/>
      </w:pPr>
      <w:r>
        <w:t>Each TARP defines:</w:t>
      </w:r>
    </w:p>
    <w:p>
      <w:pPr>
        <w:pStyle w:val="NumberedBulletL1"/>
      </w:pPr>
      <w:r>
        <w:t>The risk or monitoring parameter to which the TARP applies.</w:t>
      </w:r>
    </w:p>
    <w:p>
      <w:pPr>
        <w:pStyle w:val="NumberedBulletL1"/>
      </w:pPr>
      <w:r>
        <w:t>The trigger level that activates the TARP response, expressed as a measurable threshold.</w:t>
      </w:r>
    </w:p>
    <w:p>
      <w:pPr>
        <w:pStyle w:val="NumberedBulletL1"/>
      </w:pPr>
      <w:r>
        <w:t>The responsible role who is required to respond when the trigger level is reached.</w:t>
      </w:r>
    </w:p>
    <w:p>
      <w:pPr>
        <w:pStyle w:val="NumberedBulletL1"/>
      </w:pPr>
      <w:r>
        <w:t>The required action to be taken immediately upon trigger activation.</w:t>
      </w:r>
    </w:p>
    <w:p>
      <w:pPr>
        <w:pStyle w:val="NumberedBulletL1"/>
      </w:pPr>
      <w:r>
        <w:t>The escalation path, including the roles to be notified and the sequence of notification.</w:t>
      </w:r>
    </w:p>
    <w:p>
      <w:pPr>
        <w:pStyle w:val="NumberedBulletL1"/>
      </w:pPr>
      <w:r>
        <w:t>The response timeframe within which the required action must be completed.</w:t>
      </w:r>
    </w:p>
    <w:p>
      <w:pPr>
        <w:pStyle w:val="NumberedBulletL1"/>
      </w:pPr>
      <w:r>
        <w:rPr>
          <w:color w:val="C55A11"/>
        </w:rPr>
        <w:t>The verification step confirming the required action has been completed and the trigger condition has been resolved.</w:t>
      </w:r>
    </w:p>
    <w:p>
      <w:pPr>
        <w:pStyle w:val="NormalNumberedtext"/>
      </w:pPr>
      <w:r>
        <w:t xml:space="preserve">The HSESC Manager approves all project TARPs before the execution phase commences. TARPs are stored in </w:t>
      </w:r>
    </w:p>
    <w:p>
      <w:pPr>
        <w:pStyle w:val="NormalNumberedtext"/>
      </w:pPr>
      <w:r>
        <w:rPr>
          <w:b/>
          <w:bCs/>
          <w:color w:val="0059D1"/>
        </w:rPr>
        <w:t>[INSERT: tarp_register_location] — Enter the name and storage location of the project TARP register</w:t>
      </w:r>
    </w:p>
    <w:p>
      <w:pPr>
        <w:pStyle w:val="NormalNumberedtext"/>
      </w:pPr>
      <w:r>
        <w:t xml:space="preserve"> and are reviewed following any trigger event or at a minimum annually.</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Develop TARPs for all material environmental and safety risks identified in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Each TARP must be specific to this project's monitoring locations and trigger thresholds. Insert the completed TARP register as [INSERT: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Appendix B: Project TARP Register].</w:t>
            </w:r>
          </w:p>
        </w:tc>
      </w:tr>
    </w:tbl>
    <w:p>
      <w:pPr>
        <w:pStyle w:val="NormalNumberedtext"/>
      </w:pPr>
    </w:p>
    <w:p>
      <w:pPr>
        <w:pStyle w:val="Heading2Numbered"/>
        <w:numPr>
          <w:ilvl w:val="1"/>
          <w:numId w:val="1"/>
        </w:numPr>
      </w:pPr>
      <w:r>
        <w:rPr>
          <w:rFonts w:ascii="Arial" w:hAnsi="Arial" w:cs="Arial" w:eastAsia="Arial"/>
        </w:rPr>
        <w:t>TARP Testing and Adaptive Management</w:t>
      </w:r>
    </w:p>
    <w:p>
      <w:pPr>
        <w:pStyle w:val="NormalNumberedtext"/>
      </w:pPr>
      <w:r>
        <w:t>This section defines the requirement to test TARPs through drills and to verify and record the effectiveness of corrective actions taken following trigger events.</w:t>
      </w:r>
    </w:p>
    <w:p>
      <w:pPr>
        <w:pStyle w:val="NormalNumberedtext"/>
      </w:pPr>
      <w:r>
        <w:t>TARPs are tested through drills and exercises at defined intervals to confirm that responsible roles understand the trigger levels, required actions, and escalation paths. The HSESC Advisor records drill outcomes in the project action tracking system and reports results in the monthly HSESC report.</w:t>
      </w:r>
    </w:p>
    <w:p>
      <w:pPr>
        <w:pStyle w:val="NormalNumberedtext"/>
      </w:pPr>
      <w:r>
        <w:t>Table 6: TARP Testing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TARP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Testing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Testing Method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Record Location</w:t>
            </w:r>
          </w:p>
        </w:tc>
      </w:tr>
      <w:tr>
        <w:tc>
          <w:tcPr>
            <w:tcW w:type="dxa" w:w="1805"/>
          </w:tcPr>
          <w:p>
            <w:pPr>
              <w:pStyle w:val="TableContents"/>
              <w:spacing w:before="0" w:after="0" w:line="240" w:lineRule="atLeast"/>
            </w:pPr>
            <w:r>
              <w:rPr>
                <w:rFonts w:ascii="Arial" w:hAnsi="Arial" w:cs="Arial" w:eastAsia="Arial"/>
                <w:sz w:val="16"/>
                <w:szCs w:val="16"/>
              </w:rPr>
              <w:t>Environmental monitoring TARPs</w:t>
            </w:r>
          </w:p>
        </w:tc>
        <w:tc>
          <w:tcPr>
            <w:tcW w:type="dxa" w:w="1805"/>
          </w:tcPr>
          <w:p>
            <w:pPr>
              <w:pStyle w:val="TableContents"/>
              <w:spacing w:before="0" w:after="0" w:line="240" w:lineRule="atLeast"/>
            </w:pPr>
            <w:r>
              <w:rPr>
                <w:rFonts w:ascii="Arial" w:hAnsi="Arial" w:cs="Arial" w:eastAsia="Arial"/>
                <w:b/>
                <w:bCs/>
                <w:color w:val="0059D1"/>
                <w:sz w:val="16"/>
                <w:szCs w:val="16"/>
              </w:rPr>
              <w:t>[INSERT: frequency, suggested six-monthly]</w:t>
            </w:r>
          </w:p>
        </w:tc>
        <w:tc>
          <w:tcPr>
            <w:tcW w:type="dxa" w:w="1805"/>
          </w:tcPr>
          <w:p>
            <w:pPr>
              <w:pStyle w:val="TableContents"/>
              <w:spacing w:before="0" w:after="0" w:line="240" w:lineRule="atLeast"/>
            </w:pPr>
            <w:r>
              <w:rPr>
                <w:rFonts w:ascii="Arial" w:hAnsi="Arial" w:cs="Arial" w:eastAsia="Arial"/>
                <w:sz w:val="16"/>
                <w:szCs w:val="16"/>
              </w:rPr>
              <w:t>Tabletop exercise or simulated trigger event</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6"/>
          </w:tcPr>
          <w:p>
            <w:pPr>
              <w:pStyle w:val="TableContents"/>
              <w:spacing w:before="0" w:after="0" w:line="240" w:lineRule="atLeast"/>
            </w:pPr>
            <w:r>
              <w:rPr>
                <w:rFonts w:ascii="Arial" w:hAnsi="Arial" w:cs="Arial" w:eastAsia="Arial"/>
                <w:sz w:val="16"/>
                <w:szCs w:val="16"/>
              </w:rPr>
              <w:t>Project action tracking system</w:t>
            </w:r>
          </w:p>
        </w:tc>
      </w:tr>
      <w:tr>
        <w:tc>
          <w:tcPr>
            <w:tcW w:type="dxa" w:w="1805"/>
          </w:tcPr>
          <w:p>
            <w:pPr>
              <w:pStyle w:val="TableContents"/>
              <w:spacing w:before="0" w:after="0" w:line="240" w:lineRule="atLeast"/>
            </w:pPr>
            <w:r>
              <w:rPr>
                <w:rFonts w:ascii="Arial" w:hAnsi="Arial" w:cs="Arial" w:eastAsia="Arial"/>
                <w:sz w:val="16"/>
                <w:szCs w:val="16"/>
              </w:rPr>
              <w:t>Safety risk TARPs</w:t>
            </w:r>
          </w:p>
        </w:tc>
        <w:tc>
          <w:tcPr>
            <w:tcW w:type="dxa" w:w="1805"/>
          </w:tcPr>
          <w:p>
            <w:pPr>
              <w:pStyle w:val="TableContents"/>
              <w:spacing w:before="0" w:after="0" w:line="240" w:lineRule="atLeast"/>
            </w:pPr>
            <w:r>
              <w:rPr>
                <w:rFonts w:ascii="Arial" w:hAnsi="Arial" w:cs="Arial" w:eastAsia="Arial"/>
                <w:b/>
                <w:bCs/>
                <w:color w:val="0059D1"/>
                <w:sz w:val="16"/>
                <w:szCs w:val="16"/>
              </w:rPr>
              <w:t>[INSERT: frequency, suggested six-monthly]</w:t>
            </w:r>
          </w:p>
        </w:tc>
        <w:tc>
          <w:tcPr>
            <w:tcW w:type="dxa" w:w="1805"/>
          </w:tcPr>
          <w:p>
            <w:pPr>
              <w:pStyle w:val="TableContents"/>
              <w:spacing w:before="0" w:after="0" w:line="240" w:lineRule="atLeast"/>
            </w:pPr>
            <w:r>
              <w:rPr>
                <w:rFonts w:ascii="Arial" w:hAnsi="Arial" w:cs="Arial" w:eastAsia="Arial"/>
                <w:sz w:val="16"/>
                <w:szCs w:val="16"/>
              </w:rPr>
              <w:t>Simulated trigger event with full response walkthrough</w:t>
            </w:r>
          </w:p>
        </w:tc>
        <w:tc>
          <w:tcPr>
            <w:tcW w:type="dxa" w:w="1805"/>
          </w:tcPr>
          <w:p>
            <w:pPr>
              <w:pStyle w:val="TableContents"/>
              <w:spacing w:before="0" w:after="0" w:line="240" w:lineRule="atLeast"/>
            </w:pPr>
            <w:r>
              <w:rPr>
                <w:rFonts w:ascii="Arial" w:hAnsi="Arial" w:cs="Arial" w:eastAsia="Arial"/>
                <w:sz w:val="16"/>
                <w:szCs w:val="16"/>
              </w:rPr>
              <w:t>HSESC Advisor</w:t>
            </w:r>
          </w:p>
        </w:tc>
        <w:tc>
          <w:tcPr>
            <w:tcW w:type="dxa" w:w="1806"/>
          </w:tcPr>
          <w:p>
            <w:pPr>
              <w:pStyle w:val="TableContents"/>
              <w:spacing w:before="0" w:after="0" w:line="240" w:lineRule="atLeast"/>
            </w:pPr>
            <w:r>
              <w:rPr>
                <w:rFonts w:ascii="Arial" w:hAnsi="Arial" w:cs="Arial" w:eastAsia="Arial"/>
                <w:sz w:val="16"/>
                <w:szCs w:val="16"/>
              </w:rPr>
              <w:t>Project action tracking system</w:t>
            </w:r>
          </w:p>
        </w:tc>
      </w:tr>
      <w:tr>
        <w:tc>
          <w:tcPr>
            <w:tcW w:type="dxa" w:w="1805"/>
          </w:tcPr>
          <w:p>
            <w:pPr>
              <w:pStyle w:val="TableContents"/>
              <w:spacing w:before="0" w:after="0" w:line="240" w:lineRule="atLeast"/>
            </w:pPr>
            <w:r>
              <w:rPr>
                <w:rFonts w:ascii="Arial" w:hAnsi="Arial" w:cs="Arial" w:eastAsia="Arial"/>
                <w:b/>
                <w:bCs/>
                <w:color w:val="0059D1"/>
                <w:sz w:val="16"/>
                <w:szCs w:val="16"/>
              </w:rPr>
              <w:t>[INSERT: TARP category]</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5"/>
          </w:tcPr>
          <w:p>
            <w:pPr>
              <w:pStyle w:val="TableContents"/>
              <w:spacing w:before="0" w:after="0" w:line="240" w:lineRule="atLeast"/>
            </w:pPr>
            <w:r>
              <w:rPr>
                <w:rFonts w:ascii="Arial" w:hAnsi="Arial" w:cs="Arial" w:eastAsia="Arial"/>
                <w:b/>
                <w:bCs/>
                <w:color w:val="0059D1"/>
                <w:sz w:val="16"/>
                <w:szCs w:val="16"/>
              </w:rPr>
              <w:t>[INSERT: testing method]</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6"/>
          </w:tcPr>
          <w:p>
            <w:pPr>
              <w:pStyle w:val="TableContents"/>
              <w:spacing w:before="0" w:after="0" w:line="240" w:lineRule="atLeast"/>
            </w:pPr>
            <w:r>
              <w:rPr>
                <w:rFonts w:ascii="Arial" w:hAnsi="Arial" w:cs="Arial" w:eastAsia="Arial"/>
                <w:b/>
                <w:bCs/>
                <w:color w:val="0059D1"/>
                <w:sz w:val="16"/>
                <w:szCs w:val="16"/>
              </w:rPr>
              <w:t>[INSERT: record location]</w:t>
            </w:r>
          </w:p>
        </w:tc>
      </w:tr>
    </w:tbl>
    <w:p>
      <w:pPr>
        <w:pStyle w:val="NormalNumberedtext"/>
      </w:pPr>
    </w:p>
    <w:p>
      <w:pPr>
        <w:pStyle w:val="NormalNumberedtext"/>
      </w:pPr>
      <w:r>
        <w:t>When a TARP is activated by a real trigger event, the HSESC Advisor records the event, the response taken, and the timeframe of that response, consistent with IFC PS1 §11 adaptive management requirements. The effectiveness of the corrective action is verified before the TARP status is closed. Verification outcomes are recorded in the project action tracking system and summarised in the next monthly HSESC report. Incidents associated with TARP activation are reported per project requirements, refer [INSERT: Project Document Number].</w:t>
      </w:r>
    </w:p>
    <w:p>
      <w:pPr>
        <w:pStyle w:val="NormalNumberedtext"/>
      </w:pPr>
      <w:r>
        <w:t>Where a corrective action is found to be ineffective following verification, the HSESC Manager initiates a review of the relevant TARP and the underlying risk control, and records the outcome as an improvement action under [INSERT: Project Document Number].</w:t>
      </w:r>
    </w:p>
    <w:p>
      <w:pPr>
        <w:pStyle w:val="NormalNumberedtext"/>
      </w:pPr>
    </w:p>
    <w:p>
      <w:pPr>
        <w:pStyle w:val="Heading1Numbered"/>
        <w:numPr>
          <w:ilvl w:val="0"/>
          <w:numId w:val="1"/>
        </w:numPr>
      </w:pPr>
      <w:r>
        <w:rPr>
          <w:rFonts w:ascii="Arial" w:hAnsi="Arial" w:cs="Arial" w:eastAsia="Arial"/>
        </w:rPr>
        <w:t>Monthly HSESC Reporting</w:t>
      </w:r>
    </w:p>
    <w:p>
      <w:pPr>
        <w:pStyle w:val="NormalNumberedtext"/>
      </w:pPr>
      <w:r>
        <w:t>This section defines the content requirements for the monthly HSESC report, the reporting cycle, and the roles responsible for preparing and receiving the report.</w:t>
      </w:r>
    </w:p>
    <w:p>
      <w:pPr>
        <w:pStyle w:val="NormalNumberedtext"/>
      </w:pPr>
    </w:p>
    <w:p>
      <w:pPr>
        <w:pStyle w:val="Heading2Numbered"/>
        <w:numPr>
          <w:ilvl w:val="1"/>
          <w:numId w:val="1"/>
        </w:numPr>
      </w:pPr>
      <w:r>
        <w:rPr>
          <w:rFonts w:ascii="Arial" w:hAnsi="Arial" w:cs="Arial" w:eastAsia="Arial"/>
        </w:rPr>
        <w:t>Monthly Report Content Requirements</w:t>
      </w:r>
    </w:p>
    <w:p>
      <w:pPr>
        <w:pStyle w:val="NormalNumberedtext"/>
      </w:pPr>
      <w:r>
        <w:t>This section defines the mandatory content of the monthly HSESC report and the process for preparing, reviewing, and distributing it.</w:t>
      </w:r>
    </w:p>
    <w:p>
      <w:pPr>
        <w:pStyle w:val="NormalNumberedtext"/>
      </w:pPr>
      <w:r>
        <w:t xml:space="preserve">The HSESC Advisor prepares the monthly HSESC report and submits it to the HSESC Manager for review and endorsement before distribution to the Project Manager. The report is issued no later than </w:t>
      </w:r>
    </w:p>
    <w:p>
      <w:pPr>
        <w:pStyle w:val="NormalNumberedtext"/>
      </w:pPr>
      <w:r>
        <w:rPr>
          <w:b/>
          <w:bCs/>
          <w:color w:val="0059D1"/>
        </w:rPr>
        <w:t>[INSERT: monthly_report_due_date] — Enter the due date for the monthly HSESC report, e.g. the 10th calendar day of the following month</w:t>
      </w:r>
    </w:p>
    <w:p>
      <w:pPr>
        <w:pStyle w:val="NormalNumberedtext"/>
      </w:pPr>
      <w:r>
        <w:t xml:space="preserve"> each month. The monthly HSESC report is aligned to the RT Appendix C-8 template requirements.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Define the project monthly HSESC report template, aligned to the RT Appendix C-8 template requirements. This procedure defines the required content - the project team produces the formatted template and inserts the reference as [INSERT: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Monthly HSESC Report Template].</w:t>
            </w:r>
          </w:p>
        </w:tc>
      </w:tr>
    </w:tbl>
    <w:p>
      <w:pPr>
        <w:pStyle w:val="NormalNumberedtext"/>
      </w:pPr>
    </w:p>
    <w:p>
      <w:pPr>
        <w:pStyle w:val="NormalNumberedtext"/>
      </w:pPr>
      <w:r>
        <w:t>The monthly HSESC report includes the following content as a minimum:</w:t>
      </w:r>
    </w:p>
    <w:p>
      <w:pPr>
        <w:pStyle w:val="NormalNumberedtext"/>
      </w:pPr>
      <w:r>
        <w:t>Table 7: Monthly HSESC Report Content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Report Section</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Required Content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Data Source</w:t>
            </w:r>
          </w:p>
        </w:tc>
      </w:tr>
      <w:tr>
        <w:tc>
          <w:tcPr>
            <w:tcW w:type="dxa" w:w="3008"/>
          </w:tcPr>
          <w:p>
            <w:pPr>
              <w:pStyle w:val="TableContents"/>
              <w:spacing w:before="0" w:after="0" w:line="240" w:lineRule="atLeast"/>
            </w:pPr>
            <w:r>
              <w:rPr>
                <w:rFonts w:ascii="Arial" w:hAnsi="Arial" w:cs="Arial" w:eastAsia="Arial"/>
                <w:sz w:val="16"/>
                <w:szCs w:val="16"/>
              </w:rPr>
              <w:t>Safety performance - lagging indicators</w:t>
            </w:r>
          </w:p>
        </w:tc>
        <w:tc>
          <w:tcPr>
            <w:tcW w:type="dxa" w:w="3008"/>
          </w:tcPr>
          <w:p>
            <w:pPr>
              <w:pStyle w:val="TableContents"/>
              <w:spacing w:before="0" w:after="0" w:line="240" w:lineRule="atLeast"/>
            </w:pPr>
            <w:r>
              <w:rPr>
                <w:rFonts w:ascii="Arial" w:hAnsi="Arial" w:cs="Arial" w:eastAsia="Arial"/>
                <w:sz w:val="16"/>
                <w:szCs w:val="16"/>
              </w:rPr>
              <w:t>TRIF, LTIF, HiPo frequency, severity rate - reported against monthly and cumulative targets</w:t>
            </w:r>
          </w:p>
        </w:tc>
        <w:tc>
          <w:tcPr>
            <w:tcW w:type="dxa" w:w="3010"/>
          </w:tcPr>
          <w:p>
            <w:pPr>
              <w:pStyle w:val="TableContents"/>
              <w:spacing w:before="0" w:after="0" w:line="240" w:lineRule="atLeast"/>
            </w:pPr>
            <w:r>
              <w:rPr>
                <w:rFonts w:ascii="Arial" w:hAnsi="Arial" w:cs="Arial" w:eastAsia="Arial"/>
                <w:sz w:val="16"/>
                <w:szCs w:val="16"/>
              </w:rPr>
              <w:t xml:space="preserve">Incident register per </w:t>
            </w:r>
            <w:r>
              <w:rPr>
                <w:rFonts w:ascii="Arial" w:hAnsi="Arial" w:cs="Arial" w:eastAsia="Arial"/>
                <w:b/>
                <w:bCs/>
                <w:color w:val="0059D1"/>
                <w:sz w:val="16"/>
                <w:szCs w:val="16"/>
              </w:rPr>
              <w:t>[INSERT: Project Document Number]</w:t>
            </w:r>
          </w:p>
        </w:tc>
      </w:tr>
      <w:tr>
        <w:tc>
          <w:tcPr>
            <w:tcW w:type="dxa" w:w="3008"/>
          </w:tcPr>
          <w:p>
            <w:pPr>
              <w:pStyle w:val="TableContents"/>
              <w:spacing w:before="0" w:after="0" w:line="240" w:lineRule="atLeast"/>
            </w:pPr>
            <w:r>
              <w:rPr>
                <w:rFonts w:ascii="Arial" w:hAnsi="Arial" w:cs="Arial" w:eastAsia="Arial"/>
                <w:sz w:val="16"/>
                <w:szCs w:val="16"/>
              </w:rPr>
              <w:t>Safety performance - leading indicators</w:t>
            </w:r>
          </w:p>
        </w:tc>
        <w:tc>
          <w:tcPr>
            <w:tcW w:type="dxa" w:w="3008"/>
          </w:tcPr>
          <w:p>
            <w:pPr>
              <w:pStyle w:val="TableContents"/>
              <w:spacing w:before="0" w:after="0" w:line="240" w:lineRule="atLeast"/>
            </w:pPr>
            <w:r>
              <w:rPr>
                <w:rFonts w:ascii="Arial" w:hAnsi="Arial" w:cs="Arial" w:eastAsia="Arial"/>
                <w:sz w:val="16"/>
                <w:szCs w:val="16"/>
              </w:rPr>
              <w:t>Inspection completion rate, CCFV completion rate by critical risk, toolbox talk frequency, stop-work events, PTW compliance check results</w:t>
            </w:r>
          </w:p>
        </w:tc>
        <w:tc>
          <w:tcPr>
            <w:tcW w:type="dxa" w:w="3010"/>
          </w:tcPr>
          <w:p>
            <w:pPr>
              <w:pStyle w:val="TableContents"/>
              <w:spacing w:before="0" w:after="0" w:line="240" w:lineRule="atLeast"/>
            </w:pPr>
            <w:r>
              <w:rPr>
                <w:rFonts w:ascii="Arial" w:hAnsi="Arial" w:cs="Arial" w:eastAsia="Arial"/>
                <w:sz w:val="16"/>
                <w:szCs w:val="16"/>
              </w:rPr>
              <w:t>Inspection programme records; CRM verification register</w:t>
            </w:r>
          </w:p>
        </w:tc>
      </w:tr>
      <w:tr>
        <w:tc>
          <w:tcPr>
            <w:tcW w:type="dxa" w:w="3008"/>
          </w:tcPr>
          <w:p>
            <w:pPr>
              <w:pStyle w:val="TableContents"/>
              <w:spacing w:before="0" w:after="0" w:line="240" w:lineRule="atLeast"/>
            </w:pPr>
            <w:r>
              <w:rPr>
                <w:rFonts w:ascii="Arial" w:hAnsi="Arial" w:cs="Arial" w:eastAsia="Arial"/>
                <w:sz w:val="16"/>
                <w:szCs w:val="16"/>
              </w:rPr>
              <w:t>Occupational health and hygiene</w:t>
            </w:r>
          </w:p>
        </w:tc>
        <w:tc>
          <w:tcPr>
            <w:tcW w:type="dxa" w:w="3008"/>
          </w:tcPr>
          <w:p>
            <w:pPr>
              <w:pStyle w:val="TableContents"/>
              <w:spacing w:before="0" w:after="0" w:line="240" w:lineRule="atLeast"/>
            </w:pPr>
            <w:r>
              <w:rPr>
                <w:rFonts w:ascii="Arial" w:hAnsi="Arial" w:cs="Arial" w:eastAsia="Arial"/>
                <w:sz w:val="16"/>
                <w:szCs w:val="16"/>
              </w:rPr>
              <w:t>Summary of monitoring results for the period against applicable limits; any exceedances and actions taken</w:t>
            </w:r>
          </w:p>
        </w:tc>
        <w:tc>
          <w:tcPr>
            <w:tcW w:type="dxa" w:w="3010"/>
          </w:tcPr>
          <w:p>
            <w:pPr>
              <w:pStyle w:val="TableContents"/>
              <w:spacing w:before="0" w:after="0" w:line="240" w:lineRule="atLeast"/>
            </w:pPr>
            <w:r>
              <w:rPr>
                <w:rFonts w:ascii="Arial" w:hAnsi="Arial" w:cs="Arial" w:eastAsia="Arial"/>
                <w:sz w:val="16"/>
                <w:szCs w:val="16"/>
              </w:rPr>
              <w:t>Hygiene monitoring records per Appendix A schedule</w:t>
            </w:r>
          </w:p>
        </w:tc>
      </w:tr>
      <w:tr>
        <w:tc>
          <w:tcPr>
            <w:tcW w:type="dxa" w:w="3008"/>
          </w:tcPr>
          <w:p>
            <w:pPr>
              <w:pStyle w:val="TableContents"/>
              <w:spacing w:before="0" w:after="0" w:line="240" w:lineRule="atLeast"/>
            </w:pPr>
            <w:r>
              <w:rPr>
                <w:rFonts w:ascii="Arial" w:hAnsi="Arial" w:cs="Arial" w:eastAsia="Arial"/>
                <w:sz w:val="16"/>
                <w:szCs w:val="16"/>
              </w:rPr>
              <w:t>Environmental monitoring</w:t>
            </w:r>
          </w:p>
        </w:tc>
        <w:tc>
          <w:tcPr>
            <w:tcW w:type="dxa" w:w="3008"/>
          </w:tcPr>
          <w:p>
            <w:pPr>
              <w:pStyle w:val="TableContents"/>
              <w:spacing w:before="0" w:after="0" w:line="240" w:lineRule="atLeast"/>
            </w:pPr>
            <w:r>
              <w:rPr>
                <w:rFonts w:ascii="Arial" w:hAnsi="Arial" w:cs="Arial" w:eastAsia="Arial"/>
                <w:sz w:val="16"/>
                <w:szCs w:val="16"/>
              </w:rPr>
              <w:t>Summary of monitoring results for the period against applicable limits and TARP trigger levels; any exceedances, TARP activations, and corrective actions</w:t>
            </w:r>
          </w:p>
        </w:tc>
        <w:tc>
          <w:tcPr>
            <w:tcW w:type="dxa" w:w="3010"/>
          </w:tcPr>
          <w:p>
            <w:pPr>
              <w:pStyle w:val="TableContents"/>
              <w:spacing w:before="0" w:after="0" w:line="240" w:lineRule="atLeast"/>
            </w:pPr>
            <w:r>
              <w:rPr>
                <w:rFonts w:ascii="Arial" w:hAnsi="Arial" w:cs="Arial" w:eastAsia="Arial"/>
                <w:sz w:val="16"/>
                <w:szCs w:val="16"/>
              </w:rPr>
              <w:t xml:space="preserve">Environmental monitoring records per </w:t>
            </w:r>
            <w:r>
              <w:rPr>
                <w:rFonts w:ascii="Arial" w:hAnsi="Arial" w:cs="Arial" w:eastAsia="Arial"/>
                <w:b/>
                <w:bCs/>
                <w:color w:val="0059D1"/>
                <w:sz w:val="16"/>
                <w:szCs w:val="16"/>
              </w:rPr>
              <w:t>[INSERT: Project Document Number]</w:t>
            </w:r>
            <w:r>
              <w:rPr>
                <w:rFonts w:ascii="Arial" w:hAnsi="Arial" w:cs="Arial" w:eastAsia="Arial"/>
                <w:sz w:val="16"/>
                <w:szCs w:val="16"/>
              </w:rPr>
              <w:t>/0035/0038 and Appendix A schedule</w:t>
            </w:r>
          </w:p>
        </w:tc>
      </w:tr>
      <w:tr>
        <w:tc>
          <w:tcPr>
            <w:tcW w:type="dxa" w:w="3008"/>
          </w:tcPr>
          <w:p>
            <w:pPr>
              <w:pStyle w:val="TableContents"/>
              <w:spacing w:before="0" w:after="0" w:line="240" w:lineRule="atLeast"/>
            </w:pPr>
            <w:r>
              <w:rPr>
                <w:rFonts w:ascii="Arial" w:hAnsi="Arial" w:cs="Arial" w:eastAsia="Arial"/>
                <w:sz w:val="16"/>
                <w:szCs w:val="16"/>
              </w:rPr>
              <w:t>CRM verification performance</w:t>
            </w:r>
          </w:p>
        </w:tc>
        <w:tc>
          <w:tcPr>
            <w:tcW w:type="dxa" w:w="3008"/>
          </w:tcPr>
          <w:p>
            <w:pPr>
              <w:pStyle w:val="TableContents"/>
              <w:spacing w:before="0" w:after="0" w:line="240" w:lineRule="atLeast"/>
            </w:pPr>
            <w:r>
              <w:rPr>
                <w:rFonts w:ascii="Arial" w:hAnsi="Arial" w:cs="Arial" w:eastAsia="Arial"/>
                <w:sz w:val="16"/>
                <w:szCs w:val="16"/>
              </w:rPr>
              <w:t>CCFV completion rate by critical risk; summary of any critical control failures and corrective actions</w:t>
            </w:r>
          </w:p>
        </w:tc>
        <w:tc>
          <w:tcPr>
            <w:tcW w:type="dxa" w:w="3010"/>
          </w:tcPr>
          <w:p>
            <w:pPr>
              <w:pStyle w:val="TableContents"/>
              <w:spacing w:before="0" w:after="0" w:line="240" w:lineRule="atLeast"/>
            </w:pPr>
            <w:r>
              <w:rPr>
                <w:rFonts w:ascii="Arial" w:hAnsi="Arial" w:cs="Arial" w:eastAsia="Arial"/>
                <w:sz w:val="16"/>
                <w:szCs w:val="16"/>
              </w:rPr>
              <w:t>CRM verification register</w:t>
            </w:r>
          </w:p>
        </w:tc>
      </w:tr>
      <w:tr>
        <w:tc>
          <w:tcPr>
            <w:tcW w:type="dxa" w:w="3008"/>
          </w:tcPr>
          <w:p>
            <w:pPr>
              <w:pStyle w:val="TableContents"/>
              <w:spacing w:before="0" w:after="0" w:line="240" w:lineRule="atLeast"/>
            </w:pPr>
            <w:r>
              <w:rPr>
                <w:rFonts w:ascii="Arial" w:hAnsi="Arial" w:cs="Arial" w:eastAsia="Arial"/>
                <w:sz w:val="16"/>
                <w:szCs w:val="16"/>
              </w:rPr>
              <w:t>Social and community performance</w:t>
            </w:r>
          </w:p>
        </w:tc>
        <w:tc>
          <w:tcPr>
            <w:tcW w:type="dxa" w:w="3008"/>
          </w:tcPr>
          <w:p>
            <w:pPr>
              <w:pStyle w:val="TableContents"/>
              <w:spacing w:before="0" w:after="0" w:line="240" w:lineRule="atLeast"/>
            </w:pPr>
            <w:r>
              <w:rPr>
                <w:rFonts w:ascii="Arial" w:hAnsi="Arial" w:cs="Arial" w:eastAsia="Arial"/>
                <w:sz w:val="16"/>
                <w:szCs w:val="16"/>
              </w:rPr>
              <w:t>Grievance receipt and closure rates; community engagement activities completed; any community incidents</w:t>
            </w:r>
          </w:p>
        </w:tc>
        <w:tc>
          <w:tcPr>
            <w:tcW w:type="dxa" w:w="3010"/>
          </w:tcPr>
          <w:p>
            <w:pPr>
              <w:pStyle w:val="TableContents"/>
              <w:spacing w:before="0" w:after="0" w:line="240" w:lineRule="atLeast"/>
            </w:pPr>
            <w:r>
              <w:rPr>
                <w:rFonts w:ascii="Arial" w:hAnsi="Arial" w:cs="Arial" w:eastAsia="Arial"/>
                <w:sz w:val="16"/>
                <w:szCs w:val="16"/>
              </w:rPr>
              <w:t>Community performance register</w:t>
            </w:r>
          </w:p>
        </w:tc>
      </w:tr>
      <w:tr>
        <w:tc>
          <w:tcPr>
            <w:tcW w:type="dxa" w:w="3008"/>
          </w:tcPr>
          <w:p>
            <w:pPr>
              <w:pStyle w:val="TableContents"/>
              <w:spacing w:before="0" w:after="0" w:line="240" w:lineRule="atLeast"/>
            </w:pPr>
            <w:r>
              <w:rPr>
                <w:rFonts w:ascii="Arial" w:hAnsi="Arial" w:cs="Arial" w:eastAsia="Arial"/>
                <w:sz w:val="16"/>
                <w:szCs w:val="16"/>
              </w:rPr>
              <w:t>TARP status</w:t>
            </w:r>
          </w:p>
        </w:tc>
        <w:tc>
          <w:tcPr>
            <w:tcW w:type="dxa" w:w="3008"/>
          </w:tcPr>
          <w:p>
            <w:pPr>
              <w:pStyle w:val="TableContents"/>
              <w:spacing w:before="0" w:after="0" w:line="240" w:lineRule="atLeast"/>
            </w:pPr>
            <w:r>
              <w:rPr>
                <w:rFonts w:ascii="Arial" w:hAnsi="Arial" w:cs="Arial" w:eastAsia="Arial"/>
                <w:sz w:val="16"/>
                <w:szCs w:val="16"/>
              </w:rPr>
              <w:t>Summary of TARP activations in the period; response actions taken; verification outcomes; drill results</w:t>
            </w:r>
          </w:p>
        </w:tc>
        <w:tc>
          <w:tcPr>
            <w:tcW w:type="dxa" w:w="3010"/>
          </w:tcPr>
          <w:p>
            <w:pPr>
              <w:pStyle w:val="TableContents"/>
              <w:spacing w:before="0" w:after="0" w:line="240" w:lineRule="atLeast"/>
            </w:pPr>
            <w:r>
              <w:rPr>
                <w:rFonts w:ascii="Arial" w:hAnsi="Arial" w:cs="Arial" w:eastAsia="Arial"/>
                <w:sz w:val="16"/>
                <w:szCs w:val="16"/>
              </w:rPr>
              <w:t>Project action tracking system</w:t>
            </w:r>
          </w:p>
        </w:tc>
      </w:tr>
      <w:tr>
        <w:tc>
          <w:tcPr>
            <w:tcW w:type="dxa" w:w="3008"/>
          </w:tcPr>
          <w:p>
            <w:pPr>
              <w:pStyle w:val="TableContents"/>
              <w:spacing w:before="0" w:after="0" w:line="240" w:lineRule="atLeast"/>
            </w:pPr>
            <w:r>
              <w:rPr>
                <w:rFonts w:ascii="Arial" w:hAnsi="Arial" w:cs="Arial" w:eastAsia="Arial"/>
                <w:sz w:val="16"/>
                <w:szCs w:val="16"/>
              </w:rPr>
              <w:t>Inspection and audit findings</w:t>
            </w:r>
          </w:p>
        </w:tc>
        <w:tc>
          <w:tcPr>
            <w:tcW w:type="dxa" w:w="3008"/>
          </w:tcPr>
          <w:p>
            <w:pPr>
              <w:pStyle w:val="TableContents"/>
              <w:spacing w:before="0" w:after="0" w:line="240" w:lineRule="atLeast"/>
            </w:pPr>
            <w:r>
              <w:rPr>
                <w:rFonts w:ascii="Arial" w:hAnsi="Arial" w:cs="Arial" w:eastAsia="Arial"/>
                <w:sz w:val="16"/>
                <w:szCs w:val="16"/>
              </w:rPr>
              <w:t>Summary of open corrective actions; status of actions from previous periods; actions closed in the period</w:t>
            </w:r>
          </w:p>
        </w:tc>
        <w:tc>
          <w:tcPr>
            <w:tcW w:type="dxa" w:w="3010"/>
          </w:tcPr>
          <w:p>
            <w:pPr>
              <w:pStyle w:val="TableContents"/>
              <w:spacing w:before="0" w:after="0" w:line="240" w:lineRule="atLeast"/>
            </w:pPr>
            <w:r>
              <w:rPr>
                <w:rFonts w:ascii="Arial" w:hAnsi="Arial" w:cs="Arial" w:eastAsia="Arial"/>
                <w:sz w:val="16"/>
                <w:szCs w:val="16"/>
              </w:rPr>
              <w:t xml:space="preserve">Project action tracking system; </w:t>
            </w:r>
            <w:r>
              <w:rPr>
                <w:rFonts w:ascii="Arial" w:hAnsi="Arial" w:cs="Arial" w:eastAsia="Arial"/>
                <w:b/>
                <w:bCs/>
                <w:color w:val="0059D1"/>
                <w:sz w:val="16"/>
                <w:szCs w:val="16"/>
              </w:rPr>
              <w:t>[INSERT: Project Document Number]</w:t>
            </w:r>
          </w:p>
        </w:tc>
      </w:tr>
      <w:tr>
        <w:tc>
          <w:tcPr>
            <w:tcW w:type="dxa" w:w="3008"/>
          </w:tcPr>
          <w:p>
            <w:pPr>
              <w:pStyle w:val="TableContents"/>
              <w:spacing w:before="0" w:after="0" w:line="240" w:lineRule="atLeast"/>
            </w:pPr>
            <w:r>
              <w:rPr>
                <w:rFonts w:ascii="Arial" w:hAnsi="Arial" w:cs="Arial" w:eastAsia="Arial"/>
                <w:sz w:val="16"/>
                <w:szCs w:val="16"/>
              </w:rPr>
              <w:t>Improvement actions</w:t>
            </w:r>
          </w:p>
        </w:tc>
        <w:tc>
          <w:tcPr>
            <w:tcW w:type="dxa" w:w="3008"/>
          </w:tcPr>
          <w:p>
            <w:pPr>
              <w:pStyle w:val="TableContents"/>
              <w:spacing w:before="0" w:after="0" w:line="240" w:lineRule="atLeast"/>
            </w:pPr>
            <w:r>
              <w:rPr>
                <w:rFonts w:ascii="Arial" w:hAnsi="Arial" w:cs="Arial" w:eastAsia="Arial"/>
                <w:sz w:val="16"/>
                <w:szCs w:val="16"/>
              </w:rPr>
              <w:t>Summary of monitoring-driven improvement actions raised in the period; status of open improvement actions</w:t>
            </w:r>
          </w:p>
        </w:tc>
        <w:tc>
          <w:tcPr>
            <w:tcW w:type="dxa" w:w="3010"/>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3008"/>
          </w:tcPr>
          <w:p>
            <w:pPr>
              <w:pStyle w:val="TableContents"/>
              <w:spacing w:before="0" w:after="0" w:line="240" w:lineRule="atLeast"/>
            </w:pPr>
            <w:r>
              <w:rPr>
                <w:rFonts w:ascii="Arial" w:hAnsi="Arial" w:cs="Arial" w:eastAsia="Arial"/>
                <w:b/>
                <w:bCs/>
                <w:color w:val="0059D1"/>
                <w:sz w:val="16"/>
                <w:szCs w:val="16"/>
              </w:rPr>
              <w:t>[INSERT: report section]</w:t>
            </w:r>
          </w:p>
        </w:tc>
        <w:tc>
          <w:tcPr>
            <w:tcW w:type="dxa" w:w="3008"/>
          </w:tcPr>
          <w:p>
            <w:pPr>
              <w:pStyle w:val="TableContents"/>
              <w:spacing w:before="0" w:after="0" w:line="240" w:lineRule="atLeast"/>
            </w:pPr>
            <w:r>
              <w:rPr>
                <w:rFonts w:ascii="Arial" w:hAnsi="Arial" w:cs="Arial" w:eastAsia="Arial"/>
                <w:b/>
                <w:bCs/>
                <w:color w:val="0059D1"/>
                <w:sz w:val="16"/>
                <w:szCs w:val="16"/>
              </w:rPr>
              <w:t>[INSERT: required content]</w:t>
            </w:r>
          </w:p>
        </w:tc>
        <w:tc>
          <w:tcPr>
            <w:tcW w:type="dxa" w:w="3010"/>
          </w:tcPr>
          <w:p>
            <w:pPr>
              <w:pStyle w:val="TableContents"/>
              <w:spacing w:before="0" w:after="0" w:line="240" w:lineRule="atLeast"/>
            </w:pPr>
            <w:r>
              <w:rPr>
                <w:rFonts w:ascii="Arial" w:hAnsi="Arial" w:cs="Arial" w:eastAsia="Arial"/>
                <w:b/>
                <w:bCs/>
                <w:color w:val="0059D1"/>
                <w:sz w:val="16"/>
                <w:szCs w:val="16"/>
              </w:rPr>
              <w:t>[INSERT: data source]</w:t>
            </w:r>
          </w:p>
        </w:tc>
      </w:tr>
    </w:tbl>
    <w:p>
      <w:pPr>
        <w:pStyle w:val="NormalNumberedtext"/>
      </w:pPr>
    </w:p>
    <w:p>
      <w:pPr>
        <w:pStyle w:val="NormalNumberedtext"/>
      </w:pPr>
      <w:r>
        <w:t xml:space="preserve">Annual HSESC performance reporting includes an analysis of all monitoring data collected across the reporting year, performance against all targets defined in Table 3, and outcomes from the SMM maturity assessment. The HSESC Manager presents the annual performance report to </w:t>
      </w:r>
    </w:p>
    <w:p>
      <w:pPr>
        <w:pStyle w:val="NormalNumberedtext"/>
      </w:pPr>
      <w:r>
        <w:rPr>
          <w:b/>
          <w:bCs/>
          <w:color w:val="0059D1"/>
        </w:rPr>
        <w:t>[INSERT: annual_report_audience] — Enter the governance body or role to whom the annual HSESC performance report is presented, e.g. the Project Steering Committee</w:t>
      </w:r>
    </w:p>
    <w:p>
      <w:pPr>
        <w:pStyle w:val="NormalNumberedtext"/>
      </w:pPr>
      <w:r>
        <w:t>. Annual analysis findings are used as inputs to the improvement planning process under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and Community - the integrated discipline framework governing all related management activities on Rio Tinto owner-led projects.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measure used to evaluate the success of an organisation or activity in meeting objectives for HSESC performance.</w:t>
            </w:r>
          </w:p>
        </w:tc>
      </w:tr>
      <w:tr>
        <w:tc>
          <w:tcPr>
            <w:tcW w:type="dxa" w:w="4888"/>
          </w:tcPr>
          <w:p>
            <w:pPr>
              <w:pStyle w:val="TableContents"/>
              <w:spacing w:before="0" w:after="0" w:line="240" w:lineRule="atLeast"/>
            </w:pPr>
            <w:r>
              <w:rPr>
                <w:rFonts w:ascii="Arial" w:hAnsi="Arial" w:cs="Arial" w:eastAsia="Arial"/>
                <w:sz w:val="16"/>
                <w:szCs w:val="16"/>
              </w:rPr>
              <w:t>TARP</w:t>
            </w:r>
          </w:p>
        </w:tc>
        <w:tc>
          <w:tcPr>
            <w:tcW w:type="dxa" w:w="4889"/>
          </w:tcPr>
          <w:p>
            <w:pPr>
              <w:pStyle w:val="TableContents"/>
              <w:spacing w:before="0" w:after="0" w:line="240" w:lineRule="atLeast"/>
            </w:pPr>
            <w:r>
              <w:rPr>
                <w:rFonts w:ascii="Arial" w:hAnsi="Arial" w:cs="Arial" w:eastAsia="Arial"/>
                <w:sz w:val="16"/>
                <w:szCs w:val="16"/>
              </w:rPr>
              <w:t>Trigger Action Response Plan - a pre-defined escalation framework that specifies the actions to be taken when a monitored parameter reaches or exceeds a defined threshold or trigger level.</w:t>
            </w:r>
          </w:p>
        </w:tc>
      </w:tr>
      <w:tr>
        <w:tc>
          <w:tcPr>
            <w:tcW w:type="dxa" w:w="4888"/>
          </w:tcPr>
          <w:p>
            <w:pPr>
              <w:pStyle w:val="TableContents"/>
              <w:spacing w:before="0" w:after="0" w:line="240" w:lineRule="atLeast"/>
            </w:pPr>
            <w:r>
              <w:rPr>
                <w:rFonts w:ascii="Arial" w:hAnsi="Arial" w:cs="Arial" w:eastAsia="Arial"/>
                <w:sz w:val="16"/>
                <w:szCs w:val="16"/>
              </w:rPr>
              <w:t>LTI</w:t>
            </w:r>
          </w:p>
        </w:tc>
        <w:tc>
          <w:tcPr>
            <w:tcW w:type="dxa" w:w="4889"/>
          </w:tcPr>
          <w:p>
            <w:pPr>
              <w:pStyle w:val="TableContents"/>
              <w:spacing w:before="0" w:after="0" w:line="240" w:lineRule="atLeast"/>
            </w:pPr>
            <w:r>
              <w:rPr>
                <w:rFonts w:ascii="Arial" w:hAnsi="Arial" w:cs="Arial" w:eastAsia="Arial"/>
                <w:sz w:val="16"/>
                <w:szCs w:val="16"/>
              </w:rPr>
              <w:t>Lost Time Injury - a work-related injury or illness that results in the affected person being unable to perform their normal duties on any day subsequent to the day of the incident.</w:t>
            </w:r>
          </w:p>
        </w:tc>
      </w:tr>
      <w:tr>
        <w:tc>
          <w:tcPr>
            <w:tcW w:type="dxa" w:w="4888"/>
          </w:tcPr>
          <w:p>
            <w:pPr>
              <w:pStyle w:val="TableContents"/>
              <w:spacing w:before="0" w:after="0" w:line="240" w:lineRule="atLeast"/>
            </w:pPr>
            <w:r>
              <w:rPr>
                <w:rFonts w:ascii="Arial" w:hAnsi="Arial" w:cs="Arial" w:eastAsia="Arial"/>
                <w:sz w:val="16"/>
                <w:szCs w:val="16"/>
              </w:rPr>
              <w:t>LTIFR</w:t>
            </w:r>
          </w:p>
        </w:tc>
        <w:tc>
          <w:tcPr>
            <w:tcW w:type="dxa" w:w="4889"/>
          </w:tcPr>
          <w:p>
            <w:pPr>
              <w:pStyle w:val="TableContents"/>
              <w:spacing w:before="0" w:after="0" w:line="240" w:lineRule="atLeast"/>
            </w:pPr>
            <w:r>
              <w:rPr>
                <w:rFonts w:ascii="Arial" w:hAnsi="Arial" w:cs="Arial" w:eastAsia="Arial"/>
                <w:sz w:val="16"/>
                <w:szCs w:val="16"/>
              </w:rPr>
              <w:t>Lost Time Injury Frequency Rate - the number of lost time injuries per million hours worked, used as a lagging indicator of safety performance.</w:t>
            </w:r>
          </w:p>
        </w:tc>
      </w:tr>
      <w:tr>
        <w:tc>
          <w:tcPr>
            <w:tcW w:type="dxa" w:w="4888"/>
          </w:tcPr>
          <w:p>
            <w:pPr>
              <w:pStyle w:val="TableContents"/>
              <w:spacing w:before="0" w:after="0" w:line="240" w:lineRule="atLeast"/>
            </w:pPr>
            <w:r>
              <w:rPr>
                <w:rFonts w:ascii="Arial" w:hAnsi="Arial" w:cs="Arial" w:eastAsia="Arial"/>
                <w:sz w:val="16"/>
                <w:szCs w:val="16"/>
              </w:rPr>
              <w:t>TRIFR</w:t>
            </w:r>
          </w:p>
        </w:tc>
        <w:tc>
          <w:tcPr>
            <w:tcW w:type="dxa" w:w="4889"/>
          </w:tcPr>
          <w:p>
            <w:pPr>
              <w:pStyle w:val="TableContents"/>
              <w:spacing w:before="0" w:after="0" w:line="240" w:lineRule="atLeast"/>
            </w:pPr>
            <w:r>
              <w:rPr>
                <w:rFonts w:ascii="Arial" w:hAnsi="Arial" w:cs="Arial" w:eastAsia="Arial"/>
                <w:sz w:val="16"/>
                <w:szCs w:val="16"/>
              </w:rPr>
              <w:t>Total Recordable Injury Frequency Rate - the number of recordable injuries per million hours worked, encompassing lost time injuries, restricted work cases and medical treatment cases.</w:t>
            </w:r>
          </w:p>
        </w:tc>
      </w:tr>
      <w:tr>
        <w:tc>
          <w:tcPr>
            <w:tcW w:type="dxa" w:w="4888"/>
          </w:tcPr>
          <w:p>
            <w:pPr>
              <w:pStyle w:val="TableContents"/>
              <w:spacing w:before="0" w:after="0" w:line="240" w:lineRule="atLeast"/>
            </w:pPr>
            <w:r>
              <w:rPr>
                <w:rFonts w:ascii="Arial" w:hAnsi="Arial" w:cs="Arial" w:eastAsia="Arial"/>
                <w:sz w:val="16"/>
                <w:szCs w:val="16"/>
              </w:rPr>
              <w:t>MTC</w:t>
            </w:r>
          </w:p>
        </w:tc>
        <w:tc>
          <w:tcPr>
            <w:tcW w:type="dxa" w:w="4889"/>
          </w:tcPr>
          <w:p>
            <w:pPr>
              <w:pStyle w:val="TableContents"/>
              <w:spacing w:before="0" w:after="0" w:line="240" w:lineRule="atLeast"/>
            </w:pPr>
            <w:r>
              <w:rPr>
                <w:rFonts w:ascii="Arial" w:hAnsi="Arial" w:cs="Arial" w:eastAsia="Arial"/>
                <w:sz w:val="16"/>
                <w:szCs w:val="16"/>
              </w:rPr>
              <w:t>Medical Treatment Case - a work-related injury or illness that requires treatment by a medical professional beyond first aid but does not result in lost time or restricted work.</w:t>
            </w:r>
          </w:p>
        </w:tc>
      </w:tr>
      <w:tr>
        <w:tc>
          <w:tcPr>
            <w:tcW w:type="dxa" w:w="4888"/>
          </w:tcPr>
          <w:p>
            <w:pPr>
              <w:pStyle w:val="TableContents"/>
              <w:spacing w:before="0" w:after="0" w:line="240" w:lineRule="atLeast"/>
            </w:pPr>
            <w:r>
              <w:rPr>
                <w:rFonts w:ascii="Arial" w:hAnsi="Arial" w:cs="Arial" w:eastAsia="Arial"/>
                <w:sz w:val="16"/>
                <w:szCs w:val="16"/>
              </w:rPr>
              <w:t>RWC</w:t>
            </w:r>
          </w:p>
        </w:tc>
        <w:tc>
          <w:tcPr>
            <w:tcW w:type="dxa" w:w="4889"/>
          </w:tcPr>
          <w:p>
            <w:pPr>
              <w:pStyle w:val="TableContents"/>
              <w:spacing w:before="0" w:after="0" w:line="240" w:lineRule="atLeast"/>
            </w:pPr>
            <w:r>
              <w:rPr>
                <w:rFonts w:ascii="Arial" w:hAnsi="Arial" w:cs="Arial" w:eastAsia="Arial"/>
                <w:sz w:val="16"/>
                <w:szCs w:val="16"/>
              </w:rPr>
              <w:t>Restricted Work Case - a work-related injury or illness where the affected person is unable to perform one or more of their routine job functions on any day subsequent to the day of the incident.</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document recording a deviation from a specified requirement, standard, procedure or plan, requiring corrective or preventive action.</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specifying the manner in which an activity or process is to be carried out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project owner and parent organisation responsible for setting the overarching standards, frameworks and requirements applicable to all owner-led projects.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owner-led project delivery function of Rio Tinto responsible for implementing and maintaining the HSESC management system on capital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area covering occupational health, workplace safety and environmental management obligations.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quality and HSESC document that identifies the inspections, tests and hold or witness points required to verify that work activities comply with specified requirements.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in the workplace.</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the safety, health and welfare of people engaged in work or employment, used interchangeably with WHS in some jurisdictions.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management framework governing the health and safety of workers and others affected by work activities, as defined under applicable Australian legislation.</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legal term under the Work Health and Safety Act 2011 (Cth) referring to any entity that conducts a business or undertaking, including Rio Tinto as the project owner.</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responsible for developing and publishing voluntary international standards, including ISO 14001 and ISO 45001 applicable to HSESC management systems.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and Preventive Action - a systematic process for identifying, documenting, analysing and resolving non-conformances and for preventing recurrence or occurrence of potential non-conformances.</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owner-led team responsible for directing, overseeing and administering all aspects of a capital project on behalf of Rio Tinto, including HSESC compliance.</w:t>
            </w:r>
          </w:p>
        </w:tc>
      </w:tr>
      <w:tr>
        <w:tc>
          <w:tcPr>
            <w:tcW w:type="dxa" w:w="4888"/>
          </w:tcPr>
          <w:p>
            <w:pPr>
              <w:pStyle w:val="TableContents"/>
              <w:spacing w:before="0" w:after="0" w:line="240" w:lineRule="atLeast"/>
            </w:pPr>
            <w:r>
              <w:rPr>
                <w:rFonts w:ascii="Arial" w:hAnsi="Arial" w:cs="Arial" w:eastAsia="Arial"/>
                <w:sz w:val="16"/>
                <w:szCs w:val="16"/>
              </w:rPr>
              <w:t>HSESC MS</w:t>
            </w:r>
          </w:p>
        </w:tc>
        <w:tc>
          <w:tcPr>
            <w:tcW w:type="dxa" w:w="4889"/>
          </w:tcPr>
          <w:p>
            <w:pPr>
              <w:pStyle w:val="TableContents"/>
              <w:spacing w:before="0" w:after="0" w:line="240" w:lineRule="atLeast"/>
            </w:pPr>
            <w:r>
              <w:rPr>
                <w:rFonts w:ascii="Arial" w:hAnsi="Arial" w:cs="Arial" w:eastAsia="Arial"/>
                <w:sz w:val="16"/>
                <w:szCs w:val="16"/>
              </w:rPr>
              <w:t>HSESC Management System - the integrated suite of policies, standards, procedures, plans and records that collectively define how HSESC obligations are managed on Rio Tinto owner-led projects.</w:t>
            </w:r>
          </w:p>
        </w:tc>
      </w:tr>
      <w:tr>
        <w:tc>
          <w:tcPr>
            <w:tcW w:type="dxa" w:w="4888"/>
          </w:tcPr>
          <w:p>
            <w:pPr>
              <w:pStyle w:val="TableContents"/>
              <w:spacing w:before="0" w:after="0" w:line="240" w:lineRule="atLeast"/>
            </w:pPr>
            <w:r>
              <w:rPr>
                <w:rFonts w:ascii="Arial" w:hAnsi="Arial" w:cs="Arial" w:eastAsia="Arial"/>
                <w:sz w:val="16"/>
                <w:szCs w:val="16"/>
              </w:rPr>
              <w:t>EMS</w:t>
            </w:r>
          </w:p>
        </w:tc>
        <w:tc>
          <w:tcPr>
            <w:tcW w:type="dxa" w:w="4889"/>
          </w:tcPr>
          <w:p>
            <w:pPr>
              <w:pStyle w:val="TableContents"/>
              <w:spacing w:before="0" w:after="0" w:line="240" w:lineRule="atLeast"/>
            </w:pPr>
            <w:r>
              <w:rPr>
                <w:rFonts w:ascii="Arial" w:hAnsi="Arial" w:cs="Arial" w:eastAsia="Arial"/>
                <w:sz w:val="16"/>
                <w:szCs w:val="16"/>
              </w:rPr>
              <w:t>Environmental Management System - the component of the overall management system used to manage environmental aspects, impacts, obligations and performance in accordance with ISO 14001 or equivalent framework.</w:t>
            </w:r>
          </w:p>
        </w:tc>
      </w:tr>
      <w:tr>
        <w:tc>
          <w:tcPr>
            <w:tcW w:type="dxa" w:w="4888"/>
          </w:tcPr>
          <w:p>
            <w:pPr>
              <w:pStyle w:val="TableContents"/>
              <w:spacing w:before="0" w:after="0" w:line="240" w:lineRule="atLeast"/>
            </w:pPr>
            <w:r>
              <w:rPr>
                <w:rFonts w:ascii="Arial" w:hAnsi="Arial" w:cs="Arial" w:eastAsia="Arial"/>
                <w:sz w:val="16"/>
                <w:szCs w:val="16"/>
              </w:rPr>
              <w:t>SMP</w:t>
            </w:r>
          </w:p>
        </w:tc>
        <w:tc>
          <w:tcPr>
            <w:tcW w:type="dxa" w:w="4889"/>
          </w:tcPr>
          <w:p>
            <w:pPr>
              <w:pStyle w:val="TableContents"/>
              <w:spacing w:before="0" w:after="0" w:line="240" w:lineRule="atLeast"/>
            </w:pPr>
            <w:r>
              <w:rPr>
                <w:rFonts w:ascii="Arial" w:hAnsi="Arial" w:cs="Arial" w:eastAsia="Arial"/>
                <w:sz w:val="16"/>
                <w:szCs w:val="16"/>
              </w:rPr>
              <w:t>Site Management Plan - a high-level document that describes how HSESC and project requirements will be managed and implemented for a specific site or project phase.</w:t>
            </w:r>
          </w:p>
        </w:tc>
      </w:tr>
      <w:tr>
        <w:tc>
          <w:tcPr>
            <w:tcW w:type="dxa" w:w="4888"/>
          </w:tcPr>
          <w:p>
            <w:pPr>
              <w:pStyle w:val="TableContents"/>
              <w:spacing w:before="0" w:after="0" w:line="240" w:lineRule="atLeast"/>
            </w:pPr>
            <w:r>
              <w:rPr>
                <w:rFonts w:ascii="Arial" w:hAnsi="Arial" w:cs="Arial" w:eastAsia="Arial"/>
                <w:sz w:val="16"/>
                <w:szCs w:val="16"/>
              </w:rPr>
              <w:t>CEMP</w:t>
            </w:r>
          </w:p>
        </w:tc>
        <w:tc>
          <w:tcPr>
            <w:tcW w:type="dxa" w:w="4889"/>
          </w:tcPr>
          <w:p>
            <w:pPr>
              <w:pStyle w:val="TableContents"/>
              <w:spacing w:before="0" w:after="0" w:line="240" w:lineRule="atLeast"/>
            </w:pPr>
            <w:r>
              <w:rPr>
                <w:rFonts w:ascii="Arial" w:hAnsi="Arial" w:cs="Arial" w:eastAsia="Arial"/>
                <w:sz w:val="16"/>
                <w:szCs w:val="16"/>
              </w:rPr>
              <w:t>Construction Environmental Management Plan - a document that describes the environmental management measures, monitoring requirements and responsibilities to be applied during construction activities.</w:t>
            </w:r>
          </w:p>
        </w:tc>
      </w:tr>
      <w:tr>
        <w:tc>
          <w:tcPr>
            <w:tcW w:type="dxa" w:w="4888"/>
          </w:tcPr>
          <w:p>
            <w:pPr>
              <w:pStyle w:val="TableContents"/>
              <w:spacing w:before="0" w:after="0" w:line="240" w:lineRule="atLeast"/>
            </w:pPr>
            <w:r>
              <w:rPr>
                <w:rFonts w:ascii="Arial" w:hAnsi="Arial" w:cs="Arial" w:eastAsia="Arial"/>
                <w:sz w:val="16"/>
                <w:szCs w:val="16"/>
              </w:rPr>
              <w:t>AIR</w:t>
            </w:r>
          </w:p>
        </w:tc>
        <w:tc>
          <w:tcPr>
            <w:tcW w:type="dxa" w:w="4889"/>
          </w:tcPr>
          <w:p>
            <w:pPr>
              <w:pStyle w:val="TableContents"/>
              <w:spacing w:before="0" w:after="0" w:line="240" w:lineRule="atLeast"/>
            </w:pPr>
            <w:r>
              <w:rPr>
                <w:rFonts w:ascii="Arial" w:hAnsi="Arial" w:cs="Arial" w:eastAsia="Arial"/>
                <w:sz w:val="16"/>
                <w:szCs w:val="16"/>
              </w:rPr>
              <w:t>Action Item Register - a tracked record of all identified actions, responsibilities, due dates and completion statuses arising from inspections, audits, incidents, TARPs and monitoring activities.</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Basis of Work - the documented scope, schedule and cost baseline against which project performance is measured and managed.</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a condition in which two or more operations or activities are conducted at the same time or in the same location, requiring enhanced hazard identification, monitoring and coordination controls.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Auditing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Environmental Procedure - Air Quality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Environmental Procedure - Water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Environmental Procedure - Contamination and Waste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Monitoring and Review Requirements</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Security and Community Standards</w:t>
            </w:r>
          </w:p>
        </w:tc>
        <w:tc>
          <w:tcPr>
            <w:tcW w:type="dxa" w:w="3259"/>
          </w:tcPr>
          <w:p>
            <w:pPr>
              <w:pStyle w:val="TableContents"/>
              <w:spacing w:before="0" w:after="0" w:line="240" w:lineRule="atLeast"/>
            </w:pPr>
            <w:r>
              <w:rPr>
                <w:rFonts w:ascii="Arial" w:hAnsi="Arial" w:cs="Arial" w:eastAsia="Arial"/>
                <w:sz w:val="16"/>
                <w:szCs w:val="16"/>
              </w:rPr>
              <w:t>RT Security and Community Standards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Measurement Management Systems - Requirements for Measurement Processes and Measuring Equipment</w:t>
            </w:r>
          </w:p>
        </w:tc>
        <w:tc>
          <w:tcPr>
            <w:tcW w:type="dxa" w:w="3259"/>
          </w:tcPr>
          <w:p>
            <w:pPr>
              <w:pStyle w:val="TableContents"/>
              <w:spacing w:before="0" w:after="0" w:line="240" w:lineRule="atLeast"/>
            </w:pPr>
            <w:r>
              <w:rPr>
                <w:rFonts w:ascii="Arial" w:hAnsi="Arial" w:cs="Arial" w:eastAsia="Arial"/>
                <w:sz w:val="16"/>
                <w:szCs w:val="16"/>
              </w:rPr>
              <w:t>ISO 10012:2003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2011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2011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Projects HSESC Management System Manual</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definition of the HSESC monitoring programme scope covering safety, health, environmental, CRM, SMM and social performance indicators.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General Requirements Standard</w:t>
            </w:r>
          </w:p>
        </w:tc>
        <w:tc>
          <w:tcPr>
            <w:tcW w:type="dxa" w:w="2256"/>
          </w:tcPr>
          <w:p>
            <w:pPr>
              <w:pStyle w:val="TableContents"/>
              <w:spacing w:before="0" w:after="0" w:line="240" w:lineRule="atLeast"/>
            </w:pPr>
            <w:r>
              <w:rPr>
                <w:rFonts w:ascii="Arial" w:hAnsi="Arial" w:cs="Arial" w:eastAsia="Arial"/>
                <w:sz w:val="16"/>
                <w:szCs w:val="16"/>
              </w:rPr>
              <w:t>Requires Trigger Action Response Plans for all material environmental and safety risks with defined trigger levels, actions, escalation paths and response timeframes.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C5 - Confined Space Standard / RT C2 - Electrical Safety Standard</w:t>
            </w:r>
          </w:p>
        </w:tc>
        <w:tc>
          <w:tcPr>
            <w:tcW w:type="dxa" w:w="2256"/>
          </w:tcPr>
          <w:p>
            <w:pPr>
              <w:pStyle w:val="TableContents"/>
              <w:spacing w:before="0" w:after="0" w:line="240" w:lineRule="atLeast"/>
            </w:pPr>
            <w:r>
              <w:rPr>
                <w:rFonts w:ascii="Arial" w:hAnsi="Arial" w:cs="Arial" w:eastAsia="Arial"/>
                <w:sz w:val="16"/>
                <w:szCs w:val="16"/>
              </w:rPr>
              <w:t>Requires all safety-critical measuring and monitoring equipment to be calibrated per manufacturer requirements and gas detectors to be bump-tested before each use.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§40</w:t>
            </w:r>
          </w:p>
        </w:tc>
        <w:tc>
          <w:tcPr>
            <w:tcW w:type="dxa" w:w="2256"/>
          </w:tcPr>
          <w:p>
            <w:pPr>
              <w:pStyle w:val="TableContents"/>
              <w:spacing w:before="0" w:after="0" w:line="240" w:lineRule="atLeast"/>
            </w:pPr>
            <w:r>
              <w:rPr>
                <w:rFonts w:ascii="Arial" w:hAnsi="Arial" w:cs="Arial" w:eastAsia="Arial"/>
                <w:sz w:val="16"/>
                <w:szCs w:val="16"/>
              </w:rPr>
              <w:t>Requires a planned HSESC inspection programme covering site inspections, equipment inspections, CCFVs, PTW compliance checks and process safety proof tests.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§22</w:t>
            </w:r>
          </w:p>
        </w:tc>
        <w:tc>
          <w:tcPr>
            <w:tcW w:type="dxa" w:w="2256"/>
          </w:tcPr>
          <w:p>
            <w:pPr>
              <w:pStyle w:val="TableContents"/>
              <w:spacing w:before="0" w:after="0" w:line="240" w:lineRule="atLeast"/>
            </w:pPr>
            <w:r>
              <w:rPr>
                <w:rFonts w:ascii="Arial" w:hAnsi="Arial" w:cs="Arial" w:eastAsia="Arial"/>
                <w:sz w:val="16"/>
                <w:szCs w:val="16"/>
              </w:rPr>
              <w:t>Requires monitoring frequency, methodology, QA/QC, responsible roles and data recording to be defined, with monitoring data analysed and interpreted at least annually.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§11</w:t>
            </w:r>
          </w:p>
        </w:tc>
        <w:tc>
          <w:tcPr>
            <w:tcW w:type="dxa" w:w="2256"/>
          </w:tcPr>
          <w:p>
            <w:pPr>
              <w:pStyle w:val="TableContents"/>
              <w:spacing w:before="0" w:after="0" w:line="240" w:lineRule="atLeast"/>
            </w:pPr>
            <w:r>
              <w:rPr>
                <w:rFonts w:ascii="Arial" w:hAnsi="Arial" w:cs="Arial" w:eastAsia="Arial"/>
                <w:sz w:val="16"/>
                <w:szCs w:val="16"/>
              </w:rPr>
              <w:t>Requires adaptive management responses to monitoring trigger events to be implemented promptly and the effectiveness of corrective actions to be verified and recorded.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§2.9</w:t>
            </w:r>
          </w:p>
        </w:tc>
        <w:tc>
          <w:tcPr>
            <w:tcW w:type="dxa" w:w="2256"/>
          </w:tcPr>
          <w:p>
            <w:pPr>
              <w:pStyle w:val="TableContents"/>
              <w:spacing w:before="0" w:after="0" w:line="240" w:lineRule="atLeast"/>
            </w:pPr>
            <w:r>
              <w:rPr>
                <w:rFonts w:ascii="Arial" w:hAnsi="Arial" w:cs="Arial" w:eastAsia="Arial"/>
                <w:sz w:val="16"/>
                <w:szCs w:val="16"/>
              </w:rPr>
              <w:t>Requires environmental monitoring to use nationally or internationally recognised analytical and sampling standards with data quality verified through QA/QC processes.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Safe, Healthy and Respectful Workplaces Protocol, Indicator SH2</w:t>
            </w:r>
          </w:p>
        </w:tc>
        <w:tc>
          <w:tcPr>
            <w:tcW w:type="dxa" w:w="2256"/>
          </w:tcPr>
          <w:p>
            <w:pPr>
              <w:pStyle w:val="TableContents"/>
              <w:spacing w:before="0" w:after="0" w:line="240" w:lineRule="atLeast"/>
            </w:pPr>
            <w:r>
              <w:rPr>
                <w:rFonts w:ascii="Arial" w:hAnsi="Arial" w:cs="Arial" w:eastAsia="Arial"/>
                <w:sz w:val="16"/>
                <w:szCs w:val="16"/>
              </w:rPr>
              <w:t>Requires measurable safety and health targets to be set and monitored, with performance reported as part of the monthly and annual HSESC performance reporting cycle.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Identification and Assessment</w:t>
            </w:r>
          </w:p>
        </w:tc>
        <w:tc>
          <w:tcPr>
            <w:tcW w:type="dxa" w:w="2256"/>
          </w:tcPr>
          <w:p>
            <w:pPr>
              <w:pStyle w:val="TableContents"/>
              <w:spacing w:before="0" w:after="0" w:line="240" w:lineRule="atLeast"/>
            </w:pPr>
            <w:r>
              <w:rPr>
                <w:rFonts w:ascii="Arial" w:hAnsi="Arial" w:cs="Arial" w:eastAsia="Arial"/>
                <w:sz w:val="16"/>
                <w:szCs w:val="16"/>
              </w:rPr>
              <w:t>Requires regular workplace inspections to identify new or recurring hazards with findings documented in the project action tracking system.</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