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Barricading, Signage and Demarcation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Barricading, Signage and Demarcation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establishing, maintaining, and removing temporary and permanent barricading, signage, and demarcation across all project work areas. The primary purpose is to prevent personnel, vehicles, or equipment from entering hazardous zones without authorisation.</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barricading, signage and demarcation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operational activities it governs, and the project lifecycle phases to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minimum requirements it establishes for barricading, signage and demarcation.</w:t>
      </w:r>
    </w:p>
    <w:p>
      <w:pPr>
        <w:pStyle w:val="NormalNumberedtext"/>
      </w:pPr>
      <w:r>
        <w:t>This procedure meets the following purpose requirements:</w:t>
      </w:r>
    </w:p>
    <w:p>
      <w:pPr>
        <w:pStyle w:val="NormalNumberedtext"/>
      </w:pPr>
      <w:r>
        <w:t>This procedure establishes the minimum requirements for:</w:t>
      </w:r>
    </w:p>
    <w:p>
      <w:pPr>
        <w:pStyle w:val="NumberedBulletL1"/>
      </w:pPr>
      <w:r>
        <w:t>Determining when barricading is required and at what level of the hierarchy barricading sits as a control.</w:t>
      </w:r>
    </w:p>
    <w:p>
      <w:pPr>
        <w:pStyle w:val="NumberedBulletL1"/>
      </w:pPr>
      <w:r>
        <w:t>Selecting between temporary and solid barricading based on the nature and duration of the hazard.</w:t>
      </w:r>
    </w:p>
    <w:p>
      <w:pPr>
        <w:pStyle w:val="NumberedBulletL1"/>
      </w:pPr>
      <w:r>
        <w:t>Designing, erecting, maintaining and inspecting barricading and associated signage on the project site.</w:t>
      </w:r>
    </w:p>
    <w:p>
      <w:pPr>
        <w:pStyle w:val="NumberedBulletL1"/>
      </w:pPr>
      <w:r>
        <w:t>Controlling authorised entry into barricaded work areas.</w:t>
      </w:r>
    </w:p>
    <w:p>
      <w:pPr>
        <w:pStyle w:val="NormalNumberedtext"/>
      </w:pPr>
      <w:r>
        <w:t>This procedure applies to all Rio Tinto staff, contractor organisations and visitors operating on the project site. Barricading used as a control for working at height is implemented in accordance with [INSERT: Project Document Number]. Barricading as a risk control measure is selected and documented within the hierarchy of controls process defined in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project phases are governed by this procedure and how it connects to related procedures.</w:t>
      </w:r>
    </w:p>
    <w:p>
      <w:pPr>
        <w:pStyle w:val="NormalNumberedtext"/>
      </w:pPr>
      <w:r>
        <w:t>This procedure applies the following scope requirements:</w:t>
      </w:r>
    </w:p>
    <w:p>
      <w:pPr>
        <w:pStyle w:val="NormalNumberedtext"/>
      </w:pPr>
      <w:r>
        <w:t>This procedure governs barricading, signage and demarcation activities across:</w:t>
      </w:r>
    </w:p>
    <w:p>
      <w:pPr>
        <w:pStyle w:val="NumberedBulletL1"/>
      </w:pPr>
      <w:r>
        <w:t>All construction, commissioning and handover phases of the project.</w:t>
      </w:r>
    </w:p>
    <w:p>
      <w:pPr>
        <w:pStyle w:val="NumberedBulletL1"/>
      </w:pPr>
      <w:r>
        <w:t>All work areas where a physical hazard requires demarcation, access restriction or personnel protection.</w:t>
      </w:r>
    </w:p>
    <w:p>
      <w:pPr>
        <w:pStyle w:val="NumberedBulletL1"/>
      </w:pPr>
      <w:r>
        <w:t>All signage installed on the project site, including safety, regulatory, directional and traffic signage.</w:t>
      </w:r>
    </w:p>
    <w:p>
      <w:pPr>
        <w:pStyle w:val="NormalNumberedtext"/>
      </w:pPr>
      <w:r>
        <w:t>Traffic signage is a subset of site signage governed by this procedure. Specific requirements for traffic management signage are defined in [INSERT: Project Document Number]. Crane danger zone barricading requirements are defined in [INSERT: Project Document Number] and this procedure sets the physical barricading standards that apply within that context.</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responsibilities for barricading, signage and demarcation across all project roles from planning through to removal.</w:t>
      </w:r>
    </w:p>
    <w:p>
      <w:pPr>
        <w:pStyle w:val="NormalNumberedtext"/>
      </w:pPr>
      <w:r>
        <w:t>Responsibilities for barricading, signage and demarcation are allocated to roles as follows:</w:t>
      </w:r>
    </w:p>
    <w:p>
      <w:pPr>
        <w:pStyle w:val="NormalNumberedtext"/>
      </w:pPr>
      <w:r>
        <w:t>Table 1: Barricading, Signage and Demarcation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Approves the project Barricading Plan and the project signage standard. Verifies that barricading and signage inspection outcomes are reported and actioned.</w:t>
            </w:r>
          </w:p>
        </w:tc>
      </w:tr>
      <w:tr>
        <w:tc>
          <w:tcPr>
            <w:tcW w:type="dxa" w:w="4888"/>
          </w:tcPr>
          <w:p>
            <w:pPr>
              <w:pStyle w:val="TableContents"/>
              <w:spacing w:before="0" w:after="0" w:line="240" w:lineRule="atLeast"/>
            </w:pPr>
            <w:r>
              <w:rPr>
                <w:rFonts w:ascii="Arial" w:hAnsi="Arial" w:cs="Arial" w:eastAsia="Arial"/>
                <w:sz w:val="16"/>
                <w:szCs w:val="16"/>
              </w:rPr>
              <w:t>Construction Manager</w:t>
            </w:r>
          </w:p>
        </w:tc>
        <w:tc>
          <w:tcPr>
            <w:tcW w:type="dxa" w:w="4889"/>
          </w:tcPr>
          <w:p>
            <w:pPr>
              <w:pStyle w:val="TableContents"/>
              <w:spacing w:before="0" w:after="0" w:line="240" w:lineRule="atLeast"/>
            </w:pPr>
            <w:r>
              <w:rPr>
                <w:rFonts w:ascii="Arial" w:hAnsi="Arial" w:cs="Arial" w:eastAsia="Arial"/>
                <w:sz w:val="16"/>
                <w:szCs w:val="16"/>
              </w:rPr>
              <w:t>Ensures barricading and signage requirements are incorporated into construction planning and work packages before work commences.</w:t>
            </w:r>
          </w:p>
        </w:tc>
      </w:tr>
      <w:tr>
        <w:tc>
          <w:tcPr>
            <w:tcW w:type="dxa" w:w="4888"/>
          </w:tcPr>
          <w:p>
            <w:pPr>
              <w:pStyle w:val="TableContents"/>
              <w:spacing w:before="0" w:after="0" w:line="240" w:lineRule="atLeast"/>
            </w:pPr>
            <w:r>
              <w:rPr>
                <w:rFonts w:ascii="Arial" w:hAnsi="Arial" w:cs="Arial" w:eastAsia="Arial"/>
                <w:sz w:val="16"/>
                <w:szCs w:val="16"/>
              </w:rPr>
              <w:t>Work Supervisor</w:t>
            </w:r>
          </w:p>
        </w:tc>
        <w:tc>
          <w:tcPr>
            <w:tcW w:type="dxa" w:w="4889"/>
          </w:tcPr>
          <w:p>
            <w:pPr>
              <w:pStyle w:val="TableContents"/>
              <w:spacing w:before="0" w:after="0" w:line="240" w:lineRule="atLeast"/>
            </w:pPr>
            <w:r>
              <w:rPr>
                <w:rFonts w:ascii="Arial" w:hAnsi="Arial" w:cs="Arial" w:eastAsia="Arial"/>
                <w:sz w:val="16"/>
                <w:szCs w:val="16"/>
              </w:rPr>
              <w:t>Ensures barricading is erected, inspected and maintained for all activities under their supervision. Authorises entry into barricaded areas within their area of control in accordance with Section 7.</w:t>
            </w:r>
          </w:p>
        </w:tc>
      </w:tr>
      <w:tr>
        <w:tc>
          <w:tcPr>
            <w:tcW w:type="dxa" w:w="4888"/>
          </w:tcPr>
          <w:p>
            <w:pPr>
              <w:pStyle w:val="TableContents"/>
              <w:spacing w:before="0" w:after="0" w:line="240" w:lineRule="atLeast"/>
            </w:pPr>
            <w:r>
              <w:rPr>
                <w:rFonts w:ascii="Arial" w:hAnsi="Arial" w:cs="Arial" w:eastAsia="Arial"/>
                <w:sz w:val="16"/>
                <w:szCs w:val="16"/>
              </w:rPr>
              <w:t>HSESC Advisor</w:t>
            </w:r>
          </w:p>
        </w:tc>
        <w:tc>
          <w:tcPr>
            <w:tcW w:type="dxa" w:w="4889"/>
          </w:tcPr>
          <w:p>
            <w:pPr>
              <w:pStyle w:val="TableContents"/>
              <w:spacing w:before="0" w:after="0" w:line="240" w:lineRule="atLeast"/>
            </w:pPr>
            <w:r>
              <w:rPr>
                <w:rFonts w:ascii="Arial" w:hAnsi="Arial" w:cs="Arial" w:eastAsia="Arial"/>
                <w:sz w:val="16"/>
                <w:szCs w:val="16"/>
              </w:rPr>
              <w:t>Conducts scheduled and unscheduled inspections of barricading and signage. Records defects and verifies close-out within the required timeframe.</w:t>
            </w:r>
          </w:p>
        </w:tc>
      </w:tr>
      <w:tr>
        <w:tc>
          <w:tcPr>
            <w:tcW w:type="dxa" w:w="4888"/>
          </w:tcPr>
          <w:p>
            <w:pPr>
              <w:pStyle w:val="TableContents"/>
              <w:spacing w:before="0" w:after="0" w:line="240" w:lineRule="atLeast"/>
            </w:pPr>
            <w:r>
              <w:rPr>
                <w:rFonts w:ascii="Arial" w:hAnsi="Arial" w:cs="Arial" w:eastAsia="Arial"/>
                <w:b/>
                <w:bCs/>
                <w:color w:val="0059D1"/>
                <w:sz w:val="16"/>
                <w:szCs w:val="16"/>
              </w:rPr>
              <w:t>[INSERT: project role]</w:t>
            </w:r>
          </w:p>
        </w:tc>
        <w:tc>
          <w:tcPr>
            <w:tcW w:type="dxa" w:w="4889"/>
          </w:tcPr>
          <w:p>
            <w:pPr>
              <w:pStyle w:val="TableContents"/>
              <w:spacing w:before="0" w:after="0" w:line="240" w:lineRule="atLeast"/>
            </w:pPr>
            <w:r>
              <w:rPr>
                <w:rFonts w:ascii="Arial" w:hAnsi="Arial" w:cs="Arial" w:eastAsia="Arial"/>
                <w:b/>
                <w:bCs/>
                <w:color w:val="0059D1"/>
                <w:sz w:val="16"/>
                <w:szCs w:val="16"/>
              </w:rPr>
              <w:t>[INSERT: responsibility]</w:t>
            </w:r>
          </w:p>
        </w:tc>
      </w:tr>
    </w:tbl>
    <w:p>
      <w:pPr>
        <w:pStyle w:val="NormalNumberedtext"/>
      </w:pPr>
    </w:p>
    <w:p>
      <w:pPr>
        <w:pStyle w:val="Heading1Numbered"/>
        <w:numPr>
          <w:ilvl w:val="0"/>
          <w:numId w:val="1"/>
        </w:numPr>
      </w:pPr>
      <w:r>
        <w:rPr>
          <w:rFonts w:ascii="Arial" w:hAnsi="Arial" w:cs="Arial" w:eastAsia="Arial"/>
        </w:rPr>
        <w:t>Hierarchy and Barricading Plan</w:t>
      </w:r>
    </w:p>
    <w:p>
      <w:pPr>
        <w:pStyle w:val="NormalNumberedtext"/>
      </w:pPr>
      <w:r>
        <w:t>This section defines where barricading sits within the hierarchy of controls and the minimum content required for the project Barricading Plan.</w:t>
      </w:r>
    </w:p>
    <w:p>
      <w:pPr>
        <w:pStyle w:val="NormalNumberedtext"/>
      </w:pPr>
    </w:p>
    <w:p>
      <w:pPr>
        <w:pStyle w:val="Heading2Numbered"/>
        <w:numPr>
          <w:ilvl w:val="1"/>
          <w:numId w:val="1"/>
        </w:numPr>
      </w:pPr>
      <w:r>
        <w:rPr>
          <w:rFonts w:ascii="Arial" w:hAnsi="Arial" w:cs="Arial" w:eastAsia="Arial"/>
        </w:rPr>
        <w:t>Hierarchy of Controls and Barricading</w:t>
      </w:r>
    </w:p>
    <w:p>
      <w:pPr>
        <w:pStyle w:val="NormalNumberedtext"/>
      </w:pPr>
      <w:r>
        <w:t>This section requires that engineering controls are assessed before barricading is selected as a control measure for any hazard.</w:t>
      </w:r>
    </w:p>
    <w:p>
      <w:pPr>
        <w:pStyle w:val="NormalNumberedtext"/>
      </w:pPr>
      <w:r>
        <w:t>Barricading is an administrative control. Before erecting barricading as a response to any identified hazard, the work supervisor and HSESC Advisor confirm that elimination, substitution and engineering control options have been assessed and either applied or recorded as not reasonably practicable. The risk assessment supporting this assessment is documented in accordance with [INSERT: Project Document Number].</w:t>
      </w:r>
    </w:p>
    <w:p>
      <w:pPr>
        <w:pStyle w:val="NormalNumberedtext"/>
      </w:pPr>
      <w:r>
        <w:t>Barricading does not substitute for engineering controls where engineering controls are reasonably practicable. Where a hazard can be physically guarded, enclosed or isolated through engineering means, that measure is implemented before or in addition to any barricading erected around the area.</w:t>
      </w:r>
    </w:p>
    <w:p>
      <w:pPr>
        <w:pStyle w:val="NormalNumberedtext"/>
      </w:pPr>
    </w:p>
    <w:p>
      <w:pPr>
        <w:pStyle w:val="Heading2Numbered"/>
        <w:numPr>
          <w:ilvl w:val="1"/>
          <w:numId w:val="1"/>
        </w:numPr>
      </w:pPr>
      <w:r>
        <w:rPr>
          <w:rFonts w:ascii="Arial" w:hAnsi="Arial" w:cs="Arial" w:eastAsia="Arial"/>
        </w:rPr>
        <w:t>Barricading Plan</w:t>
      </w:r>
    </w:p>
    <w:p>
      <w:pPr>
        <w:pStyle w:val="NormalNumberedtext"/>
      </w:pPr>
      <w:r>
        <w:t>This section defines the minimum content of the project Barricading Plan and the work categories that must be addressed within it.</w:t>
      </w:r>
    </w:p>
    <w:p>
      <w:pPr>
        <w:pStyle w:val="NormalNumberedtext"/>
      </w:pPr>
      <w:r>
        <w:t>The project develops and maintains a Barricading Plan before construction commences. The Barricading Plan defines the barricading approach for each hazard category listed below and is reviewed when a significant change to construction methodology, layout or phasing occurs.</w:t>
      </w:r>
    </w:p>
    <w:p>
      <w:pPr>
        <w:pStyle w:val="NormalNumberedtext"/>
      </w:pPr>
      <w:r>
        <w:t>The Barricading Plan addresses, at a minimum, the following work categories:</w:t>
      </w:r>
    </w:p>
    <w:p>
      <w:pPr>
        <w:pStyle w:val="NumberedBulletL1"/>
      </w:pPr>
      <w:r>
        <w:t>Temporary barricading requirements for working at height, including open edges, penetrations and floor openings, in conjunction with [INSERT: Project Document Number].</w:t>
      </w:r>
    </w:p>
    <w:p>
      <w:pPr>
        <w:pStyle w:val="NumberedBulletL1"/>
      </w:pPr>
      <w:r>
        <w:t>Excavation work, including trenches, pits and any excavation that creates a fall or engulfment hazard.</w:t>
      </w:r>
    </w:p>
    <w:p>
      <w:pPr>
        <w:pStyle w:val="NumberedBulletL1"/>
      </w:pPr>
      <w:r>
        <w:t>Commissioning zones where live plant, energised equipment or restricted access areas require demarcation.</w:t>
      </w:r>
    </w:p>
    <w:p>
      <w:pPr>
        <w:pStyle w:val="NumberedBulletL1"/>
      </w:pPr>
      <w:r>
        <w:t>Crane working areas, including the crane danger zone, with danger tags installed at maximum 10-metre intervals along the full perimeter of the barricaded zone, in conjunction with [INSERT: Project Document Number].</w:t>
      </w:r>
    </w:p>
    <w:p>
      <w:pPr>
        <w:pStyle w:val="NumberedBulletL1"/>
      </w:pPr>
      <w:r>
        <w:t>Blast exclusion zones where blasting activities are planned.</w:t>
      </w:r>
    </w:p>
    <w:p>
      <w:pPr>
        <w:pStyle w:val="NumberedBulletL1"/>
      </w:pPr>
      <w:r>
        <w:t>Confined space and manhole entries where the opening is to remain open for any period.</w:t>
      </w:r>
    </w:p>
    <w:p>
      <w:pPr>
        <w:pStyle w:val="NormalNumberedtext"/>
      </w:pPr>
      <w:r>
        <w:t>Rope and chain must not be used as a temporary barricade in any location where a handrail is required by design, regulation or the assessment conducted under [INSERT: Project Document Number]. Rope and chain do not provide the structural resistance required of a handrail and are not an acceptable substitute.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REQUIRED: Develop the project Barricading Plan and insert it as an appendix to this procedure or reference it by document number below. The Barricading Plan may be incorporated into the Traffic Management Plan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provided all categories above are explicitly addressed in that document.</w:t>
            </w:r>
          </w:p>
        </w:tc>
      </w:tr>
    </w:tbl>
    <w:p>
      <w:pPr>
        <w:pStyle w:val="NormalNumberedtext"/>
      </w:pPr>
    </w:p>
    <w:p>
      <w:pPr>
        <w:pStyle w:val="NormalNumberedtext"/>
      </w:pPr>
      <w:r>
        <w:rPr>
          <w:b/>
          <w:bCs/>
          <w:color w:val="0059D1"/>
        </w:rPr>
        <w:t>[INSERT: barricading_plan_reference] — Insert document number and title of the project Barricading Plan, or confirm the section of the Traffic Management Plan where barricading requirements are addressed.</w:t>
      </w:r>
    </w:p>
    <w:p>
      <w:pPr>
        <w:pStyle w:val="NormalNumberedtext"/>
      </w:pPr>
    </w:p>
    <w:p>
      <w:pPr>
        <w:pStyle w:val="Heading1Numbered"/>
        <w:numPr>
          <w:ilvl w:val="0"/>
          <w:numId w:val="1"/>
        </w:numPr>
      </w:pPr>
      <w:r>
        <w:rPr>
          <w:rFonts w:ascii="Arial" w:hAnsi="Arial" w:cs="Arial" w:eastAsia="Arial"/>
        </w:rPr>
        <w:t>Barricading Requirements</w:t>
      </w:r>
    </w:p>
    <w:p>
      <w:pPr>
        <w:pStyle w:val="NormalNumberedtext"/>
      </w:pPr>
      <w:r>
        <w:t>This section defines the criteria for selecting temporary or solid barricading, the construction and maintenance standards that apply to each type, and the material suitability requirements.</w:t>
      </w:r>
    </w:p>
    <w:p>
      <w:pPr>
        <w:pStyle w:val="NormalNumberedtext"/>
      </w:pPr>
    </w:p>
    <w:p>
      <w:pPr>
        <w:pStyle w:val="Heading2Numbered"/>
        <w:numPr>
          <w:ilvl w:val="1"/>
          <w:numId w:val="1"/>
        </w:numPr>
      </w:pPr>
      <w:r>
        <w:rPr>
          <w:rFonts w:ascii="Arial" w:hAnsi="Arial" w:cs="Arial" w:eastAsia="Arial"/>
        </w:rPr>
        <w:t>Temporary Barricading</w:t>
      </w:r>
    </w:p>
    <w:p>
      <w:pPr>
        <w:pStyle w:val="NormalNumberedtext"/>
      </w:pPr>
      <w:r>
        <w:t>This section defines when temporary barricading is acceptable and the minimum standards that apply to its installation and maintenance.</w:t>
      </w:r>
    </w:p>
    <w:p>
      <w:pPr>
        <w:pStyle w:val="NormalNumberedtext"/>
      </w:pPr>
      <w:r>
        <w:t>Temporary barricading is used to demarcate a hazard area where the hazard is short-duration, the barricading height does not exceed two metres, and no open fall hazard exists due to removal of flooring, handrails or fixed barriers. Temporary barricading is subject to the inspection requirements defined in Section 8 of this procedure.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approved temporary barricading materials for this project by application. The procedure sets minimum requirements - the project specifies the approved product types for each scenario (e.g., plastic mesh, water-filled barriers, tape, crowd control barriers). Insert the project barricading standard below or reference it by document number.</w:t>
            </w:r>
          </w:p>
        </w:tc>
      </w:tr>
    </w:tbl>
    <w:p>
      <w:pPr>
        <w:pStyle w:val="NormalNumberedtext"/>
      </w:pPr>
    </w:p>
    <w:p>
      <w:pPr>
        <w:pStyle w:val="NormalNumberedtext"/>
      </w:pPr>
      <w:r>
        <w:rPr>
          <w:b/>
          <w:bCs/>
          <w:color w:val="0059D1"/>
        </w:rPr>
        <w:t>[INSERT: temporary_barricading_standard] — Insert the approved temporary barricading material types by application scenario, or reference the project barricading standard document number.</w:t>
      </w:r>
    </w:p>
    <w:p>
      <w:pPr>
        <w:pStyle w:val="NormalNumberedtext"/>
      </w:pPr>
    </w:p>
    <w:p>
      <w:pPr>
        <w:pStyle w:val="Heading2Numbered"/>
        <w:numPr>
          <w:ilvl w:val="1"/>
          <w:numId w:val="1"/>
        </w:numPr>
      </w:pPr>
      <w:r>
        <w:rPr>
          <w:rFonts w:ascii="Arial" w:hAnsi="Arial" w:cs="Arial" w:eastAsia="Arial"/>
        </w:rPr>
        <w:t>Solid Barricading Requirements</w:t>
      </w:r>
    </w:p>
    <w:p>
      <w:pPr>
        <w:pStyle w:val="NormalNumberedtext"/>
      </w:pPr>
      <w:r>
        <w:t>This section defines the conditions that mandate solid barricading and the construction and material standards that apply.</w:t>
      </w:r>
    </w:p>
    <w:p>
      <w:pPr>
        <w:pStyle w:val="NormalNumberedtext"/>
      </w:pPr>
      <w:r>
        <w:t>Solid barricading is mandatory in the following conditions:</w:t>
      </w:r>
    </w:p>
    <w:p>
      <w:pPr>
        <w:pStyle w:val="NormalNumberedtext"/>
      </w:pPr>
      <w:r>
        <w:t>Solid barricading is required where:</w:t>
      </w:r>
    </w:p>
    <w:p>
      <w:pPr>
        <w:pStyle w:val="NumberedBulletL1"/>
      </w:pPr>
      <w:r>
        <w:t>The barricading height exceeds two metres.</w:t>
      </w:r>
    </w:p>
    <w:p>
      <w:pPr>
        <w:pStyle w:val="NumberedBulletL1"/>
      </w:pPr>
      <w:r>
        <w:t>Flooring, handrails or fixed barriers have been removed, creating an open fall hazard at any height.</w:t>
      </w:r>
    </w:p>
    <w:p>
      <w:pPr>
        <w:pStyle w:val="NumberedBulletL1"/>
      </w:pPr>
      <w:r>
        <w:t>Holes or excavations are to remain open beyond the duration of the immediate work shift, or where personnel are present in the vicinity and the hazard cannot be supervised continuously.</w:t>
      </w:r>
    </w:p>
    <w:p>
      <w:pPr>
        <w:pStyle w:val="NumberedBulletL1"/>
      </w:pPr>
      <w:r>
        <w:rPr>
          <w:color w:val="C55A11"/>
        </w:rPr>
        <w:t>Vehicle access or movement is possible in proximity to the barricaded area, and the barricading may be subject to vehicle impact forces.</w:t>
      </w:r>
    </w:p>
    <w:p>
      <w:pPr>
        <w:pStyle w:val="NormalNumberedtext"/>
      </w:pPr>
      <w:r>
        <w:t>Solid barricading materials must be rated or otherwise demonstrated as suitable to withstand the forces likely to be applied in the hazardous area, including vehicle impact where applicable. The work supervisor confirms material suitability before solid barricading is erected. Where vehicle impact is a credible loading condition, the barricading specification is reviewed by a competent person before installation.</w:t>
      </w:r>
    </w:p>
    <w:p>
      <w:pPr>
        <w:pStyle w:val="NormalNumberedtext"/>
      </w:pPr>
      <w:r>
        <w:t>Solid barricading is constructed to the following minimum standards:</w:t>
      </w:r>
    </w:p>
    <w:p>
      <w:pPr>
        <w:pStyle w:val="NormalNumberedtext"/>
      </w:pPr>
      <w:r>
        <w:t>Construction and maintenance standards for solid barricading include:</w:t>
      </w:r>
    </w:p>
    <w:p>
      <w:pPr>
        <w:pStyle w:val="NumberedBulletL1"/>
      </w:pPr>
      <w:r>
        <w:rPr>
          <w:color w:val="C55A11"/>
        </w:rPr>
        <w:t>Minimum height of 900 mm for fall hazard barricading, with mid-rail and toe-board where the risk assessment identifies a risk of objects falling from height.</w:t>
      </w:r>
    </w:p>
    <w:p>
      <w:pPr>
        <w:pStyle w:val="NumberedBulletL1"/>
      </w:pPr>
      <w:r>
        <w:t>All connections and footings are secured against displacement by wind, plant movement or incidental contact.</w:t>
      </w:r>
    </w:p>
    <w:p>
      <w:pPr>
        <w:pStyle w:val="NumberedBulletL1"/>
      </w:pPr>
      <w:r>
        <w:t>Barricading is inspected at the frequency defined in Section 8 and any defect that reduces structural integrity is rectified before the next work shift commences.</w:t>
      </w:r>
    </w:p>
    <w:p>
      <w:pPr>
        <w:pStyle w:val="NumberedBulletL1"/>
      </w:pPr>
      <w:r>
        <w:t>Solid barricading removed for access purposes is reinstated to the full standard immediately on completion of the access activity.</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Confirm the approved solid barricading product types and structural specifications for this project. Insert the approved materials list below or reference the project barricading standard.</w:t>
            </w:r>
          </w:p>
        </w:tc>
      </w:tr>
    </w:tbl>
    <w:p>
      <w:pPr>
        <w:pStyle w:val="NormalNumberedtext"/>
      </w:pPr>
    </w:p>
    <w:p>
      <w:pPr>
        <w:pStyle w:val="NormalNumberedtext"/>
      </w:pPr>
      <w:r>
        <w:rPr>
          <w:b/>
          <w:bCs/>
          <w:color w:val="0059D1"/>
        </w:rPr>
        <w:t>[INSERT: solid_barricading_standard] — Insert approved solid barricading product types and structural specifications, or reference the project barricading standard document number.</w:t>
      </w:r>
    </w:p>
    <w:p>
      <w:pPr>
        <w:pStyle w:val="NormalNumberedtext"/>
      </w:pPr>
    </w:p>
    <w:p>
      <w:pPr>
        <w:pStyle w:val="Heading1Numbered"/>
        <w:numPr>
          <w:ilvl w:val="0"/>
          <w:numId w:val="1"/>
        </w:numPr>
      </w:pPr>
      <w:r>
        <w:rPr>
          <w:rFonts w:ascii="Arial" w:hAnsi="Arial" w:cs="Arial" w:eastAsia="Arial"/>
        </w:rPr>
        <w:t>Signage Requirements</w:t>
      </w:r>
    </w:p>
    <w:p>
      <w:pPr>
        <w:pStyle w:val="NormalNumberedtext"/>
      </w:pPr>
      <w:r>
        <w:t>This section defines the minimum standards for site signage, the site-specific signage standard the project must develop, and the traffic signage requirements that apply.</w:t>
      </w:r>
    </w:p>
    <w:p>
      <w:pPr>
        <w:pStyle w:val="NormalNumberedtext"/>
      </w:pPr>
    </w:p>
    <w:p>
      <w:pPr>
        <w:pStyle w:val="Heading2Numbered"/>
        <w:numPr>
          <w:ilvl w:val="1"/>
          <w:numId w:val="1"/>
        </w:numPr>
      </w:pPr>
      <w:r>
        <w:rPr>
          <w:rFonts w:ascii="Arial" w:hAnsi="Arial" w:cs="Arial" w:eastAsia="Arial"/>
        </w:rPr>
        <w:t>Minimum Signage Standards</w:t>
      </w:r>
    </w:p>
    <w:p>
      <w:pPr>
        <w:pStyle w:val="NormalNumberedtext"/>
      </w:pPr>
      <w:r>
        <w:t>This section defines the colour coding, sizing, language, placement and content requirements for all signage installed on the project site.</w:t>
      </w:r>
    </w:p>
    <w:p>
      <w:pPr>
        <w:pStyle w:val="NormalNumberedtext"/>
      </w:pPr>
      <w:r>
        <w:t>All signage installed on the project site meets the following minimum standards:</w:t>
      </w:r>
    </w:p>
    <w:p>
      <w:pPr>
        <w:pStyle w:val="NormalNumberedtext"/>
      </w:pPr>
      <w:r>
        <w:t>Minimum signage requirements include:</w:t>
      </w:r>
    </w:p>
    <w:p>
      <w:pPr>
        <w:pStyle w:val="NumberedBulletL1"/>
      </w:pPr>
      <w:r>
        <w:t>Colour coding conforms to the applicable national standard for safety signs, with mandatory signs in blue and white, prohibition signs in red and white, warning signs in yellow and black, and emergency signs in green and white.</w:t>
      </w:r>
    </w:p>
    <w:p>
      <w:pPr>
        <w:pStyle w:val="NumberedBulletL1"/>
      </w:pPr>
      <w:r>
        <w:rPr>
          <w:color w:val="C55A11"/>
        </w:rPr>
        <w:t>Sign face dimensions are not less than 300 mm x 225 mm for standard hazard identification signs, and not less than 600 mm x 450 mm for approach warning signs visible to vehicle operators.</w:t>
      </w:r>
    </w:p>
    <w:p>
      <w:pPr>
        <w:pStyle w:val="NumberedBulletL1"/>
      </w:pPr>
      <w:r>
        <w:t>Signs are mounted at a height appropriate for the intended viewer, with the centre of the sign face between 1,400 mm and 1,700 mm above the finished surface level for pedestrian-facing signs.</w:t>
      </w:r>
    </w:p>
    <w:p>
      <w:pPr>
        <w:pStyle w:val="NumberedBulletL1"/>
      </w:pPr>
      <w:r>
        <w:t>All sign text is in English. Where the workforce includes non-English speaking workers, signs also include the relevant language translation or a pictogram that conveys the same meaning without reliance on text.</w:t>
      </w:r>
    </w:p>
    <w:p>
      <w:pPr>
        <w:pStyle w:val="NumberedBulletL1"/>
      </w:pPr>
      <w:r>
        <w:t>Signs are constructed of materials suitable for outdoor exposure and are maintained in a legible, undamaged condition for the duration of their installation.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project signage standard specifying approved sign formats, minimum sizes, and language requirements. If non-English speaking workers are expected on this project, define the bilingual or visual pictogram standard below and confirm which languages are required.</w:t>
            </w:r>
          </w:p>
        </w:tc>
      </w:tr>
    </w:tbl>
    <w:p>
      <w:pPr>
        <w:pStyle w:val="NormalNumberedtext"/>
      </w:pPr>
    </w:p>
    <w:p>
      <w:pPr>
        <w:pStyle w:val="NormalNumberedtext"/>
      </w:pPr>
      <w:r>
        <w:rPr>
          <w:b/>
          <w:bCs/>
          <w:color w:val="0059D1"/>
        </w:rPr>
        <w:t>[INSERT: signage_standard_language] — Insert the project-approved sign formats, sizes, and language requirements. Identify languages required for bilingual signage or confirm pictogram-only approach where applicable.</w:t>
      </w:r>
    </w:p>
    <w:p>
      <w:pPr>
        <w:pStyle w:val="NormalNumberedtext"/>
      </w:pPr>
    </w:p>
    <w:p>
      <w:pPr>
        <w:pStyle w:val="Heading2Numbered"/>
        <w:numPr>
          <w:ilvl w:val="1"/>
          <w:numId w:val="1"/>
        </w:numPr>
      </w:pPr>
      <w:r>
        <w:rPr>
          <w:rFonts w:ascii="Arial" w:hAnsi="Arial" w:cs="Arial" w:eastAsia="Arial"/>
        </w:rPr>
        <w:t>Site-Specific Signage Standard</w:t>
      </w:r>
    </w:p>
    <w:p>
      <w:pPr>
        <w:pStyle w:val="NormalNumberedtext"/>
      </w:pPr>
      <w:r>
        <w:t>This section requires the project to develop a site-specific signage standard defining sign types, approach distances and inspection requirements.</w:t>
      </w:r>
    </w:p>
    <w:p>
      <w:pPr>
        <w:pStyle w:val="NormalNumberedtext"/>
      </w:pPr>
      <w:r>
        <w:t>The project develops and maintains a site-specific signage standard before construction commences. The signage standard is reviewed when a change to construction layout, phasing or workforce composition occurs that affects the hazard profile of the site.</w:t>
      </w:r>
    </w:p>
    <w:p>
      <w:pPr>
        <w:pStyle w:val="NormalNumberedtext"/>
      </w:pPr>
      <w:r>
        <w:t>The site-specific signage standard specifies:</w:t>
      </w:r>
    </w:p>
    <w:p>
      <w:pPr>
        <w:pStyle w:val="NumberedBulletL1"/>
      </w:pPr>
      <w:r>
        <w:t>Which sign types are used for which hazard categories, with a sign type matrix cross-referencing hazard to sign classification.</w:t>
      </w:r>
    </w:p>
    <w:p>
      <w:pPr>
        <w:pStyle w:val="NumberedBulletL1"/>
      </w:pPr>
      <w:r>
        <w:t>The minimum distance at which approach warning signs must be placed ahead of the hazard for both pedestrian and vehicle traffic.</w:t>
      </w:r>
    </w:p>
    <w:p>
      <w:pPr>
        <w:pStyle w:val="NumberedBulletL1"/>
      </w:pPr>
      <w:r>
        <w:t>The inspection and maintenance schedule for all site signage, including the responsible role, inspection frequency, defect classification criteria, and the process for reporting and replacing defective signs.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Develop the site-specific signage standard and insert it as an appendix or reference it by document number below.</w:t>
            </w:r>
          </w:p>
        </w:tc>
      </w:tr>
    </w:tbl>
    <w:p>
      <w:pPr>
        <w:pStyle w:val="NormalNumberedtext"/>
      </w:pPr>
    </w:p>
    <w:p>
      <w:pPr>
        <w:pStyle w:val="NormalNumberedtext"/>
      </w:pPr>
      <w:r>
        <w:rPr>
          <w:b/>
          <w:bCs/>
          <w:color w:val="0059D1"/>
        </w:rPr>
        <w:t>[INSERT: site_signage_standard_reference] — Insert document number and title of the project site-specific signage standard, or confirm the appendix where it is located.</w:t>
      </w:r>
    </w:p>
    <w:p>
      <w:pPr>
        <w:pStyle w:val="NormalNumberedtext"/>
      </w:pPr>
    </w:p>
    <w:p>
      <w:pPr>
        <w:pStyle w:val="Heading2Numbered"/>
        <w:numPr>
          <w:ilvl w:val="1"/>
          <w:numId w:val="1"/>
        </w:numPr>
      </w:pPr>
      <w:r>
        <w:rPr>
          <w:rFonts w:ascii="Arial" w:hAnsi="Arial" w:cs="Arial" w:eastAsia="Arial"/>
        </w:rPr>
        <w:t>Traffic Signage Requirements</w:t>
      </w:r>
    </w:p>
    <w:p>
      <w:pPr>
        <w:pStyle w:val="NormalNumberedtext"/>
      </w:pPr>
      <w:r>
        <w:t>This section defines the traffic signage categories required on the project site, with detailed traffic management signage requirements governed by [INSERT: Project Document Number].</w:t>
      </w:r>
    </w:p>
    <w:p>
      <w:pPr>
        <w:pStyle w:val="NormalNumberedtext"/>
      </w:pPr>
      <w:r>
        <w:t>Traffic signage is installed and maintained on all roads and vehicle access routes within the project site. Detailed traffic management signage requirements are governed by [INSERT: Project Document Number]. The following categories of traffic signage are required as a minimum on this project:</w:t>
      </w:r>
    </w:p>
    <w:p>
      <w:pPr>
        <w:pStyle w:val="NormalNumberedtext"/>
      </w:pPr>
      <w:r>
        <w:t>Required traffic signage categories include:</w:t>
      </w:r>
    </w:p>
    <w:p>
      <w:pPr>
        <w:pStyle w:val="NumberedBulletL1"/>
      </w:pPr>
      <w:r>
        <w:t>Speed limit signs on all roads and haul routes, posted at site entry points and at intervals consistent with the site-specific signage standard.</w:t>
      </w:r>
    </w:p>
    <w:p>
      <w:pPr>
        <w:pStyle w:val="NumberedBulletL1"/>
      </w:pPr>
      <w:r>
        <w:t>Road rule signs covering right of way, stop and give way obligations, and turning restrictions at intersections and site access points.</w:t>
      </w:r>
    </w:p>
    <w:p>
      <w:pPr>
        <w:pStyle w:val="NumberedBulletL1"/>
      </w:pPr>
      <w:r>
        <w:t>Pedestrian walkway, crossing and restricted pathway signs identifying designated pedestrian routes and locations where pedestrians and vehicles interact.</w:t>
      </w:r>
    </w:p>
    <w:p>
      <w:pPr>
        <w:pStyle w:val="NumberedBulletL1"/>
      </w:pPr>
      <w:r>
        <w:t>Restricted access area signs at all entry points to areas where vehicle access is limited to authorised vehicles or personnel.</w:t>
      </w:r>
    </w:p>
    <w:p>
      <w:pPr>
        <w:pStyle w:val="NumberedBulletL1"/>
      </w:pPr>
      <w:r>
        <w:t>Traffic flow and vehicle movement signs, including directional arrows, one-way route indicators and turning prohibition signs, at locations where vehicle movement is constrained by layout or operational requirement.</w:t>
      </w:r>
    </w:p>
    <w:p>
      <w:pPr>
        <w:pStyle w:val="NormalNumberedtext"/>
      </w:pPr>
    </w:p>
    <w:p>
      <w:pPr>
        <w:pStyle w:val="Heading1Numbered"/>
        <w:numPr>
          <w:ilvl w:val="0"/>
          <w:numId w:val="1"/>
        </w:numPr>
      </w:pPr>
      <w:r>
        <w:rPr>
          <w:rFonts w:ascii="Arial" w:hAnsi="Arial" w:cs="Arial" w:eastAsia="Arial"/>
        </w:rPr>
        <w:t>Access to Barricaded Areas</w:t>
      </w:r>
    </w:p>
    <w:p>
      <w:pPr>
        <w:pStyle w:val="NormalNumberedtext"/>
      </w:pPr>
      <w:r>
        <w:t>This section defines the process for authorised entry into barricaded work areas, including permit obligations and supervisor notification requirements.</w:t>
      </w:r>
    </w:p>
    <w:p>
      <w:pPr>
        <w:pStyle w:val="NormalNumberedtext"/>
      </w:pPr>
    </w:p>
    <w:p>
      <w:pPr>
        <w:pStyle w:val="Heading2Numbered"/>
        <w:numPr>
          <w:ilvl w:val="1"/>
          <w:numId w:val="1"/>
        </w:numPr>
      </w:pPr>
      <w:r>
        <w:rPr>
          <w:rFonts w:ascii="Arial" w:hAnsi="Arial" w:cs="Arial" w:eastAsia="Arial"/>
        </w:rPr>
        <w:t>Authorised Entry Process</w:t>
      </w:r>
    </w:p>
    <w:p>
      <w:pPr>
        <w:pStyle w:val="NormalNumberedtext"/>
      </w:pPr>
      <w:r>
        <w:t>This section defines the steps required before any person enters a barricaded area, including permit and notification requirements.</w:t>
      </w:r>
    </w:p>
    <w:p>
      <w:pPr>
        <w:pStyle w:val="NormalNumberedtext"/>
      </w:pPr>
      <w:r>
        <w:t>No person enters a barricaded area without completing the authorised entry process defined in this section. The barricaded area entry process applies regardless of the anticipated duration of entry.</w:t>
      </w:r>
    </w:p>
    <w:p>
      <w:pPr>
        <w:pStyle w:val="NormalNumberedtext"/>
      </w:pPr>
      <w:r>
        <w:t>The authorised entry process requires the following steps before entry:</w:t>
      </w:r>
    </w:p>
    <w:p>
      <w:pPr>
        <w:pStyle w:val="NumberedBulletL1"/>
      </w:pPr>
      <w:r>
        <w:t>The work supervisor for the barricaded area is notified of the intended entry, the purpose of entry, the identity of all persons entering, and the expected duration.</w:t>
      </w:r>
    </w:p>
    <w:p>
      <w:pPr>
        <w:pStyle w:val="NumberedBulletL1"/>
      </w:pPr>
      <w:r>
        <w:t>Where the barricaded area is subject to a Permit to Work, the person seeking entry raises a permit via the site PTW system before commencing work, refer [INSERT: Project Document Number].</w:t>
      </w:r>
    </w:p>
    <w:p>
      <w:pPr>
        <w:pStyle w:val="NumberedBulletL1"/>
      </w:pPr>
      <w:r>
        <w:t>The entering person confirms that the hazard condition that necessitated the barricading is understood, and that the controls applicable to the entry are in place before entering.</w:t>
      </w:r>
    </w:p>
    <w:p>
      <w:pPr>
        <w:pStyle w:val="NumberedBulletL1"/>
      </w:pPr>
      <w:r>
        <w:t>The work supervisor confirms the entry point is reinstated to the full barricading standard immediately on completion of the entry activity.</w:t>
      </w:r>
    </w:p>
    <w:p>
      <w:pPr>
        <w:pStyle w:val="NormalNumberedtext"/>
      </w:pPr>
      <w:r>
        <w:t>Where entry is required into a barricaded area associated with crane operations, the entry process additionally requires coordination with the crane operator and the lifting supervisor in accordance with [INSERT: Project Document Number] to confirm the crane is in a safe state before entry proceeds.</w:t>
      </w:r>
    </w:p>
    <w:p>
      <w:pPr>
        <w:pStyle w:val="NormalNumberedtext"/>
      </w:pPr>
      <w:r>
        <w:t>Unauthorised entry into a barricaded area is treated as a safety violation and reported in accordance with the project incident reporting requirements. Report all incidents and near misses per project requirements, refer [INSERT: Project Document Number].</w:t>
      </w:r>
    </w:p>
    <w:p>
      <w:pPr>
        <w:pStyle w:val="NormalNumberedtext"/>
      </w:pPr>
    </w:p>
    <w:p>
      <w:pPr>
        <w:pStyle w:val="Heading1Numbered"/>
        <w:numPr>
          <w:ilvl w:val="0"/>
          <w:numId w:val="1"/>
        </w:numPr>
      </w:pPr>
      <w:r>
        <w:rPr>
          <w:rFonts w:ascii="Arial" w:hAnsi="Arial" w:cs="Arial" w:eastAsia="Arial"/>
        </w:rPr>
        <w:t>Inspection and Maintenance</w:t>
      </w:r>
    </w:p>
    <w:p>
      <w:pPr>
        <w:pStyle w:val="NormalNumberedtext"/>
      </w:pPr>
      <w:r>
        <w:t>This section defines the inspection frequency, responsible roles, defect classification, and reporting process for all barricading and signage installed on the project site.</w:t>
      </w:r>
    </w:p>
    <w:p>
      <w:pPr>
        <w:pStyle w:val="NormalNumberedtext"/>
      </w:pPr>
    </w:p>
    <w:p>
      <w:pPr>
        <w:pStyle w:val="Heading2Numbered"/>
        <w:numPr>
          <w:ilvl w:val="1"/>
          <w:numId w:val="1"/>
        </w:numPr>
      </w:pPr>
      <w:r>
        <w:rPr>
          <w:rFonts w:ascii="Arial" w:hAnsi="Arial" w:cs="Arial" w:eastAsia="Arial"/>
        </w:rPr>
        <w:t>Inspection Requirements</w:t>
      </w:r>
    </w:p>
    <w:p>
      <w:pPr>
        <w:pStyle w:val="NormalNumberedtext"/>
      </w:pPr>
      <w:r>
        <w:t>This section sets the minimum inspection frequency for temporary and solid barricading and establishes the defect reporting and close-out process.</w:t>
      </w:r>
    </w:p>
    <w:p>
      <w:pPr>
        <w:pStyle w:val="NormalNumberedtext"/>
      </w:pPr>
      <w:r>
        <w:t>All barricading and signage is inspected at the frequency defined in this section. Inspection findings are recorded and defects are actioned within the timeframes specified. The HSESC Advisor verifies that defect close-out is completed within the required timeframe.</w:t>
      </w:r>
    </w:p>
    <w:p>
      <w:pPr>
        <w:pStyle w:val="NormalNumberedtext"/>
      </w:pPr>
      <w:r>
        <w:t>Table 2: Barricading and Signage Inspection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Barricading or Signage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Inspection 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Defect Reporting Process</w:t>
            </w:r>
          </w:p>
        </w:tc>
      </w:tr>
      <w:tr>
        <w:tc>
          <w:tcPr>
            <w:tcW w:type="dxa" w:w="2256"/>
          </w:tcPr>
          <w:p>
            <w:pPr>
              <w:pStyle w:val="TableContents"/>
              <w:spacing w:before="0" w:after="0" w:line="240" w:lineRule="atLeast"/>
            </w:pPr>
            <w:r>
              <w:rPr>
                <w:rFonts w:ascii="Arial" w:hAnsi="Arial" w:cs="Arial" w:eastAsia="Arial"/>
                <w:sz w:val="16"/>
                <w:szCs w:val="16"/>
              </w:rPr>
              <w:t>Temporary barricading - active work area</w:t>
            </w:r>
          </w:p>
        </w:tc>
        <w:tc>
          <w:tcPr>
            <w:tcW w:type="dxa" w:w="2256"/>
          </w:tcPr>
          <w:p>
            <w:pPr>
              <w:pStyle w:val="TableContents"/>
              <w:spacing w:before="0" w:after="0" w:line="240" w:lineRule="atLeast"/>
            </w:pPr>
            <w:r>
              <w:rPr>
                <w:rFonts w:ascii="Arial" w:hAnsi="Arial" w:cs="Arial" w:eastAsia="Arial"/>
                <w:sz w:val="16"/>
                <w:szCs w:val="16"/>
              </w:rPr>
              <w:t>Before each work shift commences</w:t>
            </w:r>
          </w:p>
        </w:tc>
        <w:tc>
          <w:tcPr>
            <w:tcW w:type="dxa" w:w="2256"/>
          </w:tcPr>
          <w:p>
            <w:pPr>
              <w:pStyle w:val="TableContents"/>
              <w:spacing w:before="0" w:after="0" w:line="240" w:lineRule="atLeast"/>
            </w:pPr>
            <w:r>
              <w:rPr>
                <w:rFonts w:ascii="Arial" w:hAnsi="Arial" w:cs="Arial" w:eastAsia="Arial"/>
                <w:sz w:val="16"/>
                <w:szCs w:val="16"/>
              </w:rPr>
              <w:t>Work Supervisor</w:t>
            </w:r>
          </w:p>
        </w:tc>
        <w:tc>
          <w:tcPr>
            <w:tcW w:type="dxa" w:w="2258"/>
          </w:tcPr>
          <w:p>
            <w:pPr>
              <w:pStyle w:val="TableContents"/>
              <w:spacing w:before="0" w:after="0" w:line="240" w:lineRule="atLeast"/>
            </w:pPr>
            <w:r>
              <w:rPr>
                <w:rFonts w:ascii="Arial" w:hAnsi="Arial" w:cs="Arial" w:eastAsia="Arial"/>
                <w:sz w:val="16"/>
                <w:szCs w:val="16"/>
              </w:rPr>
              <w:t>Defects reported to HSESC Advisor. Work does not commence until defect is rectified or barricading is reinstated.</w:t>
            </w:r>
          </w:p>
        </w:tc>
      </w:tr>
      <w:tr>
        <w:tc>
          <w:tcPr>
            <w:tcW w:type="dxa" w:w="2256"/>
          </w:tcPr>
          <w:p>
            <w:pPr>
              <w:pStyle w:val="TableContents"/>
              <w:spacing w:before="0" w:after="0" w:line="240" w:lineRule="atLeast"/>
            </w:pPr>
            <w:r>
              <w:rPr>
                <w:rFonts w:ascii="Arial" w:hAnsi="Arial" w:cs="Arial" w:eastAsia="Arial"/>
                <w:sz w:val="16"/>
                <w:szCs w:val="16"/>
              </w:rPr>
              <w:t>Solid barricading - open fall hazard or excavation</w:t>
            </w:r>
          </w:p>
        </w:tc>
        <w:tc>
          <w:tcPr>
            <w:tcW w:type="dxa" w:w="2256"/>
          </w:tcPr>
          <w:p>
            <w:pPr>
              <w:pStyle w:val="TableContents"/>
              <w:spacing w:before="0" w:after="0" w:line="240" w:lineRule="atLeast"/>
            </w:pPr>
            <w:r>
              <w:rPr>
                <w:rFonts w:ascii="Arial" w:hAnsi="Arial" w:cs="Arial" w:eastAsia="Arial"/>
                <w:sz w:val="16"/>
                <w:szCs w:val="16"/>
              </w:rPr>
              <w:t>Daily and following any weather event or plant movement in the vicinity</w:t>
            </w:r>
          </w:p>
        </w:tc>
        <w:tc>
          <w:tcPr>
            <w:tcW w:type="dxa" w:w="2256"/>
          </w:tcPr>
          <w:p>
            <w:pPr>
              <w:pStyle w:val="TableContents"/>
              <w:spacing w:before="0" w:after="0" w:line="240" w:lineRule="atLeast"/>
            </w:pPr>
            <w:r>
              <w:rPr>
                <w:rFonts w:ascii="Arial" w:hAnsi="Arial" w:cs="Arial" w:eastAsia="Arial"/>
                <w:sz w:val="16"/>
                <w:szCs w:val="16"/>
              </w:rPr>
              <w:t>Work Supervisor</w:t>
            </w:r>
          </w:p>
        </w:tc>
        <w:tc>
          <w:tcPr>
            <w:tcW w:type="dxa" w:w="2258"/>
          </w:tcPr>
          <w:p>
            <w:pPr>
              <w:pStyle w:val="TableContents"/>
              <w:spacing w:before="0" w:after="0" w:line="240" w:lineRule="atLeast"/>
            </w:pPr>
            <w:r>
              <w:rPr>
                <w:rFonts w:ascii="Arial" w:hAnsi="Arial" w:cs="Arial" w:eastAsia="Arial"/>
                <w:sz w:val="16"/>
                <w:szCs w:val="16"/>
              </w:rPr>
              <w:t>Defects reported immediately to HSESC Advisor. Area is not accessed until defect is rectified.</w:t>
            </w:r>
          </w:p>
        </w:tc>
      </w:tr>
      <w:tr>
        <w:tc>
          <w:tcPr>
            <w:tcW w:type="dxa" w:w="2256"/>
          </w:tcPr>
          <w:p>
            <w:pPr>
              <w:pStyle w:val="TableContents"/>
              <w:spacing w:before="0" w:after="0" w:line="240" w:lineRule="atLeast"/>
            </w:pPr>
            <w:r>
              <w:rPr>
                <w:rFonts w:ascii="Arial" w:hAnsi="Arial" w:cs="Arial" w:eastAsia="Arial"/>
                <w:sz w:val="16"/>
                <w:szCs w:val="16"/>
              </w:rPr>
              <w:t>Traffic and pedestrian signage</w:t>
            </w:r>
          </w:p>
        </w:tc>
        <w:tc>
          <w:tcPr>
            <w:tcW w:type="dxa" w:w="2256"/>
          </w:tcPr>
          <w:p>
            <w:pPr>
              <w:pStyle w:val="TableContents"/>
              <w:spacing w:before="0" w:after="0" w:line="240" w:lineRule="atLeast"/>
            </w:pPr>
            <w:r>
              <w:rPr>
                <w:rFonts w:ascii="Arial" w:hAnsi="Arial" w:cs="Arial" w:eastAsia="Arial"/>
                <w:b/>
                <w:bCs/>
                <w:color w:val="0059D1"/>
                <w:sz w:val="16"/>
                <w:szCs w:val="16"/>
              </w:rPr>
              <w:t>[INSERT: inspection frequency, e.g., weekly]</w:t>
            </w:r>
          </w:p>
        </w:tc>
        <w:tc>
          <w:tcPr>
            <w:tcW w:type="dxa" w:w="2256"/>
          </w:tcPr>
          <w:p>
            <w:pPr>
              <w:pStyle w:val="TableContents"/>
              <w:spacing w:before="0" w:after="0" w:line="240" w:lineRule="atLeast"/>
            </w:pPr>
            <w:r>
              <w:rPr>
                <w:rFonts w:ascii="Arial" w:hAnsi="Arial" w:cs="Arial" w:eastAsia="Arial"/>
                <w:b/>
                <w:bCs/>
                <w:color w:val="0059D1"/>
                <w:sz w:val="16"/>
                <w:szCs w:val="16"/>
              </w:rPr>
              <w:t>[INSERT: responsible role]</w:t>
            </w:r>
          </w:p>
        </w:tc>
        <w:tc>
          <w:tcPr>
            <w:tcW w:type="dxa" w:w="2258"/>
          </w:tcPr>
          <w:p>
            <w:pPr>
              <w:pStyle w:val="TableContents"/>
              <w:spacing w:before="0" w:after="0" w:line="240" w:lineRule="atLeast"/>
            </w:pPr>
            <w:r>
              <w:rPr>
                <w:rFonts w:ascii="Arial" w:hAnsi="Arial" w:cs="Arial" w:eastAsia="Arial"/>
                <w:b/>
                <w:bCs/>
                <w:color w:val="0059D1"/>
                <w:sz w:val="16"/>
                <w:szCs w:val="16"/>
              </w:rPr>
              <w:t>[INSERT: defect reporting and replacement process]</w:t>
            </w:r>
          </w:p>
        </w:tc>
      </w:tr>
      <w:tr>
        <w:tc>
          <w:tcPr>
            <w:tcW w:type="dxa" w:w="2256"/>
          </w:tcPr>
          <w:p>
            <w:pPr>
              <w:pStyle w:val="TableContents"/>
              <w:spacing w:before="0" w:after="0" w:line="240" w:lineRule="atLeast"/>
            </w:pPr>
            <w:r>
              <w:rPr>
                <w:rFonts w:ascii="Arial" w:hAnsi="Arial" w:cs="Arial" w:eastAsia="Arial"/>
                <w:sz w:val="16"/>
                <w:szCs w:val="16"/>
              </w:rPr>
              <w:t>Crane danger zone barricading</w:t>
            </w:r>
          </w:p>
        </w:tc>
        <w:tc>
          <w:tcPr>
            <w:tcW w:type="dxa" w:w="2256"/>
          </w:tcPr>
          <w:p>
            <w:pPr>
              <w:pStyle w:val="TableContents"/>
              <w:spacing w:before="0" w:after="0" w:line="240" w:lineRule="atLeast"/>
            </w:pPr>
            <w:r>
              <w:rPr>
                <w:rFonts w:ascii="Arial" w:hAnsi="Arial" w:cs="Arial" w:eastAsia="Arial"/>
                <w:sz w:val="16"/>
                <w:szCs w:val="16"/>
              </w:rPr>
              <w:t>Before each lift and following any modification to crane configuration or position</w:t>
            </w:r>
          </w:p>
        </w:tc>
        <w:tc>
          <w:tcPr>
            <w:tcW w:type="dxa" w:w="2256"/>
          </w:tcPr>
          <w:p>
            <w:pPr>
              <w:pStyle w:val="TableContents"/>
              <w:spacing w:before="0" w:after="0" w:line="240" w:lineRule="atLeast"/>
            </w:pPr>
            <w:r>
              <w:rPr>
                <w:rFonts w:ascii="Arial" w:hAnsi="Arial" w:cs="Arial" w:eastAsia="Arial"/>
                <w:sz w:val="16"/>
                <w:szCs w:val="16"/>
              </w:rPr>
              <w:t>Lifting Supervisor</w:t>
            </w:r>
          </w:p>
        </w:tc>
        <w:tc>
          <w:tcPr>
            <w:tcW w:type="dxa" w:w="2258"/>
          </w:tcPr>
          <w:p>
            <w:pPr>
              <w:pStyle w:val="TableContents"/>
              <w:spacing w:before="0" w:after="0" w:line="240" w:lineRule="atLeast"/>
            </w:pPr>
            <w:r>
              <w:rPr>
                <w:rFonts w:ascii="Arial" w:hAnsi="Arial" w:cs="Arial" w:eastAsia="Arial"/>
                <w:sz w:val="16"/>
                <w:szCs w:val="16"/>
              </w:rPr>
              <w:t>Defects reported immediately to Crane Operator and HSESC Advisor. Lift does not proceed until barricading meets the standard in Section 4.</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project inspection frequency and process for all temporary barricading categories. Confirm the responsible role for each inspection type, the inspection record format, and the defect reporting and close-out process. Insert completed rows into Table 2 above.</w:t>
            </w:r>
          </w:p>
        </w:tc>
      </w:tr>
    </w:tbl>
    <w:p>
      <w:pPr>
        <w:pStyle w:val="NormalNumberedtext"/>
      </w:pPr>
    </w:p>
    <w:p>
      <w:pPr>
        <w:pStyle w:val="NormalNumberedtext"/>
      </w:pPr>
      <w:r>
        <w:rPr>
          <w:b/>
          <w:bCs/>
          <w:color w:val="0059D1"/>
        </w:rPr>
        <w:t>[INSERT: inspection_frequency_and_process] — Insert the project-defined inspection frequency, responsible roles and defect reporting process for any barricading or signage categories not already addressed in Table 2.</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(Compliance) - the integrated management system framework governing HSE and social performance on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establishing the method by which an activity is to be performed within the HSESC management system.</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internal document identifier prefix used for all HSESC management system documents issued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disciplines collectively addressed by the project management system and associated procedures.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owner entity responsible for the project and the custodian of the overarching risk, safety and environment standards referenced within this procedure.</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authorisation system that controls access to hazardous areas, including barricaded zones, and defines the conditions under which work may be conducted.</w:t>
            </w:r>
          </w:p>
        </w:tc>
      </w:tr>
      <w:tr>
        <w:tc>
          <w:tcPr>
            <w:tcW w:type="dxa" w:w="4888"/>
          </w:tcPr>
          <w:p>
            <w:pPr>
              <w:pStyle w:val="TableContents"/>
              <w:spacing w:before="0" w:after="0" w:line="240" w:lineRule="atLeast"/>
            </w:pPr>
            <w:r>
              <w:rPr>
                <w:rFonts w:ascii="Arial" w:hAnsi="Arial" w:cs="Arial" w:eastAsia="Arial"/>
                <w:sz w:val="16"/>
                <w:szCs w:val="16"/>
              </w:rPr>
              <w:t>WAH</w:t>
            </w:r>
          </w:p>
        </w:tc>
        <w:tc>
          <w:tcPr>
            <w:tcW w:type="dxa" w:w="4889"/>
          </w:tcPr>
          <w:p>
            <w:pPr>
              <w:pStyle w:val="TableContents"/>
              <w:spacing w:before="0" w:after="0" w:line="240" w:lineRule="atLeast"/>
            </w:pPr>
            <w:r>
              <w:rPr>
                <w:rFonts w:ascii="Arial" w:hAnsi="Arial" w:cs="Arial" w:eastAsia="Arial"/>
                <w:sz w:val="16"/>
                <w:szCs w:val="16"/>
              </w:rPr>
              <w:t>Working at Height - any work activity where a person could fall a distance liable to cause personal injury, requiring edge protection and other physical controls including barricading.</w:t>
            </w:r>
          </w:p>
        </w:tc>
      </w:tr>
      <w:tr>
        <w:tc>
          <w:tcPr>
            <w:tcW w:type="dxa" w:w="4888"/>
          </w:tcPr>
          <w:p>
            <w:pPr>
              <w:pStyle w:val="TableContents"/>
              <w:spacing w:before="0" w:after="0" w:line="240" w:lineRule="atLeast"/>
            </w:pPr>
            <w:r>
              <w:rPr>
                <w:rFonts w:ascii="Arial" w:hAnsi="Arial" w:cs="Arial" w:eastAsia="Arial"/>
                <w:sz w:val="16"/>
                <w:szCs w:val="16"/>
              </w:rPr>
              <w:t>TMP</w:t>
            </w:r>
          </w:p>
        </w:tc>
        <w:tc>
          <w:tcPr>
            <w:tcW w:type="dxa" w:w="4889"/>
          </w:tcPr>
          <w:p>
            <w:pPr>
              <w:pStyle w:val="TableContents"/>
              <w:spacing w:before="0" w:after="0" w:line="240" w:lineRule="atLeast"/>
            </w:pPr>
            <w:r>
              <w:rPr>
                <w:rFonts w:ascii="Arial" w:hAnsi="Arial" w:cs="Arial" w:eastAsia="Arial"/>
                <w:sz w:val="16"/>
                <w:szCs w:val="16"/>
              </w:rPr>
              <w:t>Traffic Management Plan - a site-specific plan that identifies traffic hazards, segregation measures and signage requirements for the management of vehicle and pedestrian interactions.</w:t>
            </w:r>
          </w:p>
        </w:tc>
      </w:tr>
      <w:tr>
        <w:tc>
          <w:tcPr>
            <w:tcW w:type="dxa" w:w="4888"/>
          </w:tcPr>
          <w:p>
            <w:pPr>
              <w:pStyle w:val="TableContents"/>
              <w:spacing w:before="0" w:after="0" w:line="240" w:lineRule="atLeast"/>
            </w:pPr>
            <w:r>
              <w:rPr>
                <w:rFonts w:ascii="Arial" w:hAnsi="Arial" w:cs="Arial" w:eastAsia="Arial"/>
                <w:sz w:val="16"/>
                <w:szCs w:val="16"/>
              </w:rPr>
              <w:t>CDZ</w:t>
            </w:r>
          </w:p>
        </w:tc>
        <w:tc>
          <w:tcPr>
            <w:tcW w:type="dxa" w:w="4889"/>
          </w:tcPr>
          <w:p>
            <w:pPr>
              <w:pStyle w:val="TableContents"/>
              <w:spacing w:before="0" w:after="0" w:line="240" w:lineRule="atLeast"/>
            </w:pPr>
            <w:r>
              <w:rPr>
                <w:rFonts w:ascii="Arial" w:hAnsi="Arial" w:cs="Arial" w:eastAsia="Arial"/>
                <w:sz w:val="16"/>
                <w:szCs w:val="16"/>
              </w:rPr>
              <w:t>Crane Danger Zone - the defined exclusion area established beneath and around the operational radius of a crane, within which unauthorised access is prohibited and physical barricading is required.</w:t>
            </w:r>
          </w:p>
        </w:tc>
      </w:tr>
      <w:tr>
        <w:tc>
          <w:tcPr>
            <w:tcW w:type="dxa" w:w="4888"/>
          </w:tcPr>
          <w:p>
            <w:pPr>
              <w:pStyle w:val="TableContents"/>
              <w:spacing w:before="0" w:after="0" w:line="240" w:lineRule="atLeast"/>
            </w:pPr>
            <w:r>
              <w:rPr>
                <w:rFonts w:ascii="Arial" w:hAnsi="Arial" w:cs="Arial" w:eastAsia="Arial"/>
                <w:sz w:val="16"/>
                <w:szCs w:val="16"/>
              </w:rPr>
              <w:t>SWL</w:t>
            </w:r>
          </w:p>
        </w:tc>
        <w:tc>
          <w:tcPr>
            <w:tcW w:type="dxa" w:w="4889"/>
          </w:tcPr>
          <w:p>
            <w:pPr>
              <w:pStyle w:val="TableContents"/>
              <w:spacing w:before="0" w:after="0" w:line="240" w:lineRule="atLeast"/>
            </w:pPr>
            <w:r>
              <w:rPr>
                <w:rFonts w:ascii="Arial" w:hAnsi="Arial" w:cs="Arial" w:eastAsia="Arial"/>
                <w:sz w:val="16"/>
                <w:szCs w:val="16"/>
              </w:rPr>
              <w:t>Safe Working Load - the maximum load that a piece of lifting equipment, including crane rigging and lifting accessories, is rated to carry safely under specified conditions.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person to minimise exposure to hazards that could cause injury or illness, including items required for entry into or work within barricaded areas.</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process used to identify hazards associated with a specific task and to determine appropriate controls, which may include barricading or demarcation as a physical barrier control.</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identifies high-risk construction work activities, the associated hazards and the controls to be implemented, potentially including barricading and signage requirements.</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structured plan that identifies inspection and testing activities, hold points, and acceptance criteria applied to physical controls such as barricades to verify they meet specified standards.</w:t>
            </w:r>
          </w:p>
        </w:tc>
      </w:tr>
      <w:tr>
        <w:tc>
          <w:tcPr>
            <w:tcW w:type="dxa" w:w="4888"/>
          </w:tcPr>
          <w:p>
            <w:pPr>
              <w:pStyle w:val="TableContents"/>
              <w:spacing w:before="0" w:after="0" w:line="240" w:lineRule="atLeast"/>
            </w:pPr>
            <w:r>
              <w:rPr>
                <w:rFonts w:ascii="Arial" w:hAnsi="Arial" w:cs="Arial" w:eastAsia="Arial"/>
                <w:sz w:val="16"/>
                <w:szCs w:val="16"/>
              </w:rPr>
              <w:t>RA</w:t>
            </w:r>
          </w:p>
        </w:tc>
        <w:tc>
          <w:tcPr>
            <w:tcW w:type="dxa" w:w="4889"/>
          </w:tcPr>
          <w:p>
            <w:pPr>
              <w:pStyle w:val="TableContents"/>
              <w:spacing w:before="0" w:after="0" w:line="240" w:lineRule="atLeast"/>
            </w:pPr>
            <w:r>
              <w:rPr>
                <w:rFonts w:ascii="Arial" w:hAnsi="Arial" w:cs="Arial" w:eastAsia="Arial"/>
                <w:sz w:val="16"/>
                <w:szCs w:val="16"/>
              </w:rPr>
              <w:t>Risk Assessment - the overall process of hazard identification, risk analysis and risk evaluation used to determine the need for and type of barricading, signage and demarcation controls required.</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emergency procedures including evacuation routes and assembly points, which must remain unobstructed by barricading and clearly identified by appropriate signage.</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concerned with the safety, health and welfare of people at work, under which barricading, signage and demarcation obligations arise.</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in Australian jurisdictions governing health and safety at work, including requirements for physical isolation of hazards.</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standard published by Standards Australia that may specify technical requirements for barricading materials, signage design, colours and installation.</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Organisation for Standardisation - the international body that publishes standards, including those referenced in risk management frameworks applicable to this procedure.</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Traffic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Cranes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Critical Control Management</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Fatal Risk Standards - Physical Isolation and Barricading</w:t>
            </w:r>
          </w:p>
        </w:tc>
        <w:tc>
          <w:tcPr>
            <w:tcW w:type="dxa" w:w="3259"/>
          </w:tcPr>
          <w:p>
            <w:pPr>
              <w:pStyle w:val="TableContents"/>
              <w:spacing w:before="0" w:after="0" w:line="240" w:lineRule="atLeast"/>
            </w:pPr>
            <w:r>
              <w:rPr>
                <w:rFonts w:ascii="Arial" w:hAnsi="Arial" w:cs="Arial" w:eastAsia="Arial"/>
                <w:sz w:val="16"/>
                <w:szCs w:val="16"/>
              </w:rPr>
              <w:t>RT Fatal Risk Standards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Safe Design, Construction, Use and Dismantling of Scaffolding - Barricading Requirements</w:t>
            </w:r>
          </w:p>
        </w:tc>
        <w:tc>
          <w:tcPr>
            <w:tcW w:type="dxa" w:w="3259"/>
          </w:tcPr>
          <w:p>
            <w:pPr>
              <w:pStyle w:val="TableContents"/>
              <w:spacing w:before="0" w:after="0" w:line="240" w:lineRule="atLeast"/>
            </w:pPr>
            <w:r>
              <w:rPr>
                <w:rFonts w:ascii="Arial" w:hAnsi="Arial" w:cs="Arial" w:eastAsia="Arial"/>
                <w:sz w:val="16"/>
                <w:szCs w:val="16"/>
              </w:rPr>
              <w:t>AS/NZS 4576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Safety Signs for the Occupational Environment</w:t>
            </w:r>
          </w:p>
        </w:tc>
        <w:tc>
          <w:tcPr>
            <w:tcW w:type="dxa" w:w="3259"/>
          </w:tcPr>
          <w:p>
            <w:pPr>
              <w:pStyle w:val="TableContents"/>
              <w:spacing w:before="0" w:after="0" w:line="240" w:lineRule="atLeast"/>
            </w:pPr>
            <w:r>
              <w:rPr>
                <w:rFonts w:ascii="Arial" w:hAnsi="Arial" w:cs="Arial" w:eastAsia="Arial"/>
                <w:sz w:val="16"/>
                <w:szCs w:val="16"/>
              </w:rPr>
              <w:t>AS 1319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Road Traffic Signs and Signals - Design and Use</w:t>
            </w:r>
          </w:p>
        </w:tc>
        <w:tc>
          <w:tcPr>
            <w:tcW w:type="dxa" w:w="3259"/>
          </w:tcPr>
          <w:p>
            <w:pPr>
              <w:pStyle w:val="TableContents"/>
              <w:spacing w:before="0" w:after="0" w:line="240" w:lineRule="atLeast"/>
            </w:pPr>
            <w:r>
              <w:rPr>
                <w:rFonts w:ascii="Arial" w:hAnsi="Arial" w:cs="Arial" w:eastAsia="Arial"/>
                <w:sz w:val="16"/>
                <w:szCs w:val="16"/>
              </w:rPr>
              <w:t>AS 1742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Risk Management -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w:t>
            </w:r>
          </w:p>
        </w:tc>
        <w:tc>
          <w:tcPr>
            <w:tcW w:type="dxa" w:w="3259"/>
          </w:tcPr>
          <w:p>
            <w:pPr>
              <w:pStyle w:val="TableContents"/>
              <w:spacing w:before="0" w:after="0" w:line="240" w:lineRule="atLeast"/>
            </w:pPr>
            <w:r>
              <w:rPr>
                <w:rFonts w:ascii="Arial" w:hAnsi="Arial" w:cs="Arial" w:eastAsia="Arial"/>
                <w:sz w:val="16"/>
                <w:szCs w:val="16"/>
              </w:rPr>
              <w:t>WHS Act (jurisdiction applicable)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w:t>
            </w:r>
          </w:p>
        </w:tc>
        <w:tc>
          <w:tcPr>
            <w:tcW w:type="dxa" w:w="3259"/>
          </w:tcPr>
          <w:p>
            <w:pPr>
              <w:pStyle w:val="TableContents"/>
              <w:spacing w:before="0" w:after="0" w:line="240" w:lineRule="atLeast"/>
            </w:pPr>
            <w:r>
              <w:rPr>
                <w:rFonts w:ascii="Arial" w:hAnsi="Arial" w:cs="Arial" w:eastAsia="Arial"/>
                <w:sz w:val="16"/>
                <w:szCs w:val="16"/>
              </w:rPr>
              <w:t>WHS Regulations (jurisdiction applicable)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 Construction Work</w:t>
            </w:r>
          </w:p>
        </w:tc>
        <w:tc>
          <w:tcPr>
            <w:tcW w:type="dxa" w:w="3259"/>
          </w:tcPr>
          <w:p>
            <w:pPr>
              <w:pStyle w:val="TableContents"/>
              <w:spacing w:before="0" w:after="0" w:line="240" w:lineRule="atLeast"/>
            </w:pPr>
            <w:r>
              <w:rPr>
                <w:rFonts w:ascii="Arial" w:hAnsi="Arial" w:cs="Arial" w:eastAsia="Arial"/>
                <w:sz w:val="16"/>
                <w:szCs w:val="16"/>
              </w:rPr>
              <w:t>Safe Work Australia COP - Construction Work</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 How to Manage Work Health and Safety Risks</w:t>
            </w:r>
          </w:p>
        </w:tc>
        <w:tc>
          <w:tcPr>
            <w:tcW w:type="dxa" w:w="3259"/>
          </w:tcPr>
          <w:p>
            <w:pPr>
              <w:pStyle w:val="TableContents"/>
              <w:spacing w:before="0" w:after="0" w:line="240" w:lineRule="atLeast"/>
            </w:pPr>
            <w:r>
              <w:rPr>
                <w:rFonts w:ascii="Arial" w:hAnsi="Arial" w:cs="Arial" w:eastAsia="Arial"/>
                <w:sz w:val="16"/>
                <w:szCs w:val="16"/>
              </w:rPr>
              <w:t>Safe Work Australia COP - WHS Risk Management</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§62</w:t>
            </w:r>
          </w:p>
        </w:tc>
        <w:tc>
          <w:tcPr>
            <w:tcW w:type="dxa" w:w="2256"/>
          </w:tcPr>
          <w:p>
            <w:pPr>
              <w:pStyle w:val="TableContents"/>
              <w:spacing w:before="0" w:after="0" w:line="240" w:lineRule="atLeast"/>
            </w:pPr>
            <w:r>
              <w:rPr>
                <w:rFonts w:ascii="Arial" w:hAnsi="Arial" w:cs="Arial" w:eastAsia="Arial"/>
                <w:sz w:val="16"/>
                <w:szCs w:val="16"/>
              </w:rPr>
              <w:t>Requires assessment of engineering controls before barricading, development of a Barricading Plan covering all key hazardous work scenarios, mandatory solid barricading in defined situations, minimum signage standards including bilingual or pictogram requirements, and a defined authorised entry process for barricaded areas.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that barricading materials are rated or suitable to withstand forces likely to be applied in the hazardous area, including vehicle impact where applicable.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C3 - Vehicles and Driving Standard</w:t>
            </w:r>
          </w:p>
        </w:tc>
        <w:tc>
          <w:tcPr>
            <w:tcW w:type="dxa" w:w="2256"/>
          </w:tcPr>
          <w:p>
            <w:pPr>
              <w:pStyle w:val="TableContents"/>
              <w:spacing w:before="0" w:after="0" w:line="240" w:lineRule="atLeast"/>
            </w:pPr>
            <w:r>
              <w:rPr>
                <w:rFonts w:ascii="Arial" w:hAnsi="Arial" w:cs="Arial" w:eastAsia="Arial"/>
                <w:sz w:val="16"/>
                <w:szCs w:val="16"/>
              </w:rPr>
              <w:t>Requires traffic signage for speed limits, road rules, pedestrian routes, restricted access areas, and vehicle movement requirements.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