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Manual Tasks and Ergonomics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Manual Tasks and Ergonomics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hazardous manual tasks and ergonomic risks to prevent musculoskeletal disorders (MSDs), occupational injuries, and permanent disability across the project workforce.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manual tasks and ergonomics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manual tasks and ergonomics domains it governs, and the project lifecycle phases to which it applies.</w:t>
      </w:r>
    </w:p>
    <w:p>
      <w:pPr>
        <w:pStyle w:val="Heading2Numbered"/>
      </w:pPr>
      <w:r>
        <w:t>3.1  Purpose of This Document</w:t>
      </w:r>
    </w:p>
    <w:p>
      <w:pPr>
        <w:pStyle w:val="NormalNumberedtext"/>
      </w:pPr>
      <w:r>
        <w:t>This section defines what this procedure establishes, the requirements it operationalises, and the documents it connects to.</w:t>
      </w:r>
    </w:p>
    <w:p>
      <w:pPr>
        <w:pStyle w:val="NormalNumberedtext"/>
      </w:pPr>
      <w:r>
        <w:t>This procedure meets the following purpose requirements:</w:t>
      </w:r>
    </w:p>
    <w:p>
      <w:pPr>
        <w:pStyle w:val="NormalNumberedtext"/>
      </w:pPr>
      <w:r>
        <w:t>This procedure governs manual tasks and ergonomics risk management for [INSERT: project name] by establishing:</w:t>
      </w:r>
    </w:p>
    <w:p>
      <w:pPr>
        <w:pStyle w:val="NumberedBulletL1"/>
      </w:pPr>
      <w:r>
        <w:t>The trigger criteria that require a formal manual tasks risk assessment.</w:t>
      </w:r>
    </w:p>
    <w:p>
      <w:pPr>
        <w:pStyle w:val="NumberedBulletL1"/>
      </w:pPr>
      <w:r>
        <w:t>The vibration exposure assessment and monitoring process.</w:t>
      </w:r>
    </w:p>
    <w:p>
      <w:pPr>
        <w:pStyle w:val="NumberedBulletL1"/>
      </w:pPr>
      <w:r>
        <w:t>The hierarchy of controls applied to manual handling risk.</w:t>
      </w:r>
    </w:p>
    <w:p>
      <w:pPr>
        <w:pStyle w:val="NumberedBulletL1"/>
      </w:pPr>
      <w:r>
        <w:t>The musculoskeletal disorder early intervention process.</w:t>
      </w:r>
    </w:p>
    <w:p>
      <w:pPr>
        <w:pStyle w:val="NormalNumberedtext"/>
      </w:pPr>
      <w:r>
        <w:t>This procedure operationalises Rio Tinto requirements and applicable international standards into a documented, project-specific process. The risk assessment framework that governs how manual task assessments are conducted, scored, and recorded is defined in RTPR-HSE-PRO-0002 – Risk Management and is not repeated here.</w:t>
      </w:r>
    </w:p>
    <w:p>
      <w:pPr>
        <w:pStyle w:val="NormalNumberedtext"/>
      </w:pPr>
      <w:r>
        <w:t>Manual handling PPE requirements are governed by RTPR-HSE-PRO-0027 – PPE. Physical capacity requirements for personnel assigned to high-risk manual task roles are governed by RTPR-HSE-PRO-0006 – Fitness for Work. Manual task awareness training requirements are governed by RTPR-HSE-PRO-0004 – Training.</w:t>
      </w:r>
    </w:p>
    <w:p>
      <w:pPr>
        <w:pStyle w:val="Heading2Numbered"/>
      </w:pPr>
      <w:r>
        <w:t>3.2  Scope of This Document</w:t>
      </w:r>
    </w:p>
    <w:p>
      <w:pPr>
        <w:pStyle w:val="NormalNumberedtext"/>
      </w:pPr>
      <w:r>
        <w:t>This section defines the activities, personnel, and project phases to which this procedure applies.</w:t>
      </w:r>
    </w:p>
    <w:p>
      <w:pPr>
        <w:pStyle w:val="NormalNumberedtext"/>
      </w:pPr>
      <w:r>
        <w:t>This procedure applies the following scope requirements:</w:t>
      </w:r>
    </w:p>
    <w:p>
      <w:pPr>
        <w:pStyle w:val="NormalNumberedtext"/>
      </w:pPr>
      <w:r>
        <w:t>This procedure applies to:</w:t>
      </w:r>
    </w:p>
    <w:p>
      <w:pPr>
        <w:pStyle w:val="NumberedBulletL1"/>
      </w:pPr>
      <w:r>
        <w:t>All manual tasks performed on the project site, including lifting, carrying, pushing, pulling, and sustained or repetitive work.</w:t>
      </w:r>
    </w:p>
    <w:p>
      <w:pPr>
        <w:pStyle w:val="NumberedBulletL1"/>
      </w:pPr>
      <w:r>
        <w:t>All vibration-exposed tasks involving hand-arm or whole-body vibration sources.</w:t>
      </w:r>
    </w:p>
    <w:p>
      <w:pPr>
        <w:pStyle w:val="NumberedBulletL1"/>
      </w:pPr>
      <w:r>
        <w:t>All Rio Tinto project personnel and all contractor organisations performing work within the project boundary.</w:t>
      </w:r>
    </w:p>
    <w:p>
      <w:pPr>
        <w:pStyle w:val="NumberedBulletL1"/>
      </w:pPr>
      <w:r>
        <w:t>All project lifecycle phases from execution through to handover.</w:t>
      </w:r>
    </w:p>
    <w:p>
      <w:pPr>
        <w:pStyle w:val="NormalNumberedtext"/>
      </w:pPr>
      <w:r>
        <w:t>Manual task risk activities completed before the execution phase are reviewed when a scope change, design change, management of change outcome, incident, or regulatory change occurs. The scope of this procedure starts when the project enters execution and finishes at project handover or closure.</w:t>
      </w:r>
    </w:p>
    <w:p>
      <w:pPr>
        <w:pStyle w:val="Heading1Numbered"/>
      </w:pPr>
      <w:r>
        <w:t>4  Roles and Responsibilities</w:t>
      </w:r>
    </w:p>
    <w:p>
      <w:pPr>
        <w:pStyle w:val="NormalNumberedtext"/>
      </w:pPr>
      <w:r>
        <w:t>This section defines manual tasks and ergonomics responsibilities for all project roles, covering the Rio Tinto project team and all contractor organisations.</w:t>
      </w:r>
    </w:p>
    <w:p>
      <w:pPr>
        <w:pStyle w:val="NormalNumberedtext"/>
      </w:pPr>
      <w:r>
        <w:t>Responsibilities for manual tasks and ergonomics are assigned across the following roles:</w:t>
      </w:r>
    </w:p>
    <w:p>
      <w:pPr>
        <w:pStyle w:val="NormalNumberedtext"/>
      </w:pPr>
      <w:r>
        <w:t>Table 1: Manual Tasks and Ergonomics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HSESC Manager</w:t>
            </w:r>
          </w:p>
        </w:tc>
        <w:tc>
          <w:tcPr/>
          <w:p>
            <w:pPr>
              <w:pStyle w:val="TableContents"/>
            </w:pPr>
            <w:r>
              <w:t>Owns this procedure; ensures competent persons are available to conduct formal ergonomic assessments; approves the project trigger list and vibration monitoring approach.</w:t>
            </w:r>
          </w:p>
        </w:tc>
      </w:tr>
      <w:tr>
        <w:tc>
          <w:tcPr/>
          <w:p>
            <w:pPr>
              <w:pStyle w:val="TableContents"/>
            </w:pPr>
            <w:r>
              <w:t>HSESC Advisor</w:t>
            </w:r>
          </w:p>
        </w:tc>
        <w:tc>
          <w:tcPr/>
          <w:p>
            <w:pPr>
              <w:pStyle w:val="TableContents"/>
            </w:pPr>
            <w:r>
              <w:t>Facilitates manual tasks risk assessments; monitors MSD early intervention cases; reviews vibration exposure data and escalates exceedances.</w:t>
            </w:r>
          </w:p>
        </w:tc>
      </w:tr>
      <w:tr>
        <w:tc>
          <w:tcPr/>
          <w:p>
            <w:pPr>
              <w:pStyle w:val="TableContents"/>
            </w:pPr>
            <w:r>
              <w:t>Construction Manager</w:t>
            </w:r>
          </w:p>
        </w:tc>
        <w:tc>
          <w:tcPr/>
          <w:p>
            <w:pPr>
              <w:pStyle w:val="TableContents"/>
            </w:pPr>
            <w:r>
              <w:t>Ensures work planning incorporates ergonomic controls; approves modified duties arrangements for personnel with early MSD symptoms.</w:t>
            </w:r>
          </w:p>
        </w:tc>
      </w:tr>
      <w:tr>
        <w:tc>
          <w:tcPr/>
          <w:p>
            <w:pPr>
              <w:pStyle w:val="TableContents"/>
            </w:pPr>
            <w:r>
              <w:t>Supervisor / Foreman</w:t>
            </w:r>
          </w:p>
        </w:tc>
        <w:tc>
          <w:tcPr/>
          <w:p>
            <w:pPr>
              <w:pStyle w:val="TableContents"/>
            </w:pPr>
            <w:r>
              <w:t>Identifies trigger-list tasks before commencement; reports early MSD symptoms raised by workers; applies the daily pre-start process to manual task hazards.</w:t>
            </w:r>
          </w:p>
        </w:tc>
      </w:tr>
      <w:tr>
        <w:tc>
          <w:tcPr/>
          <w:p>
            <w:pPr>
              <w:pStyle w:val="TableContents"/>
            </w:pPr>
            <w:r>
              <w:t>Worker</w:t>
            </w:r>
          </w:p>
        </w:tc>
        <w:tc>
          <w:tcPr/>
          <w:p>
            <w:pPr>
              <w:pStyle w:val="TableContents"/>
            </w:pPr>
            <w:r>
              <w:t>Reports early MSD symptoms to their supervisor; participates in manual tasks risk assessments when requested; applies controls defined in the relevant SWMS or JHA.</w:t>
            </w:r>
          </w:p>
        </w:tc>
      </w:tr>
      <w:tr>
        <w:tc>
          <w:tcPr/>
          <w:p>
            <w:pPr>
              <w:pStyle w:val="TableContents"/>
            </w:pPr>
            <w:r>
              <w:t>Occupational Health Advisor / Nurse</w:t>
            </w:r>
          </w:p>
        </w:tc>
        <w:tc>
          <w:tcPr/>
          <w:p>
            <w:pPr>
              <w:pStyle w:val="TableContents"/>
            </w:pPr>
            <w:r>
              <w:t>Conducts initial MSD symptom assessments; recommends modified duties; manages health surveillance records for high-risk manual task roles.</w:t>
            </w:r>
          </w:p>
        </w:tc>
      </w:tr>
      <w:tr>
        <w:tc>
          <w:tcPr/>
          <w:p>
            <w:pPr>
              <w:pStyle w:val="TableContents"/>
            </w:pPr>
            <w:r>
              <w:rPr>
                <w:b/>
                <w:bCs/>
                <w:color w:val="0059D1"/>
              </w:rPr>
              <w:t>[INSERT: Contractor HSE Representative]</w:t>
            </w:r>
          </w:p>
        </w:tc>
        <w:tc>
          <w:tcPr/>
          <w:p>
            <w:pPr>
              <w:pStyle w:val="TableContents"/>
            </w:pPr>
            <w:r>
              <w:rPr>
                <w:b/>
                <w:bCs/>
                <w:color w:val="0059D1"/>
              </w:rPr>
              <w:t>[INSERT: Contractor-specific responsibilities for manual task risk assessment participation and MSD reporting within their scope of work.]</w:t>
            </w:r>
          </w:p>
        </w:tc>
      </w:tr>
    </w:tbl>
    <w:p>
      <w:pPr>
        <w:pStyle w:val="Default"/>
      </w:pPr>
    </w:p>
    <w:p>
      <w:pPr>
        <w:pStyle w:val="Heading1Numbered"/>
      </w:pPr>
      <w:r>
        <w:t>5  Risk Assessment</w:t>
      </w:r>
    </w:p>
    <w:p>
      <w:pPr>
        <w:pStyle w:val="NormalNumberedtext"/>
      </w:pPr>
      <w:r>
        <w:t>This section defines when a formal manual tasks risk assessment is required, what it must address, and who is responsible for conducting it.</w:t>
      </w:r>
    </w:p>
    <w:p>
      <w:pPr>
        <w:pStyle w:val="Heading2Numbered"/>
      </w:pPr>
      <w:r>
        <w:t>5.1  Assessment Trigger Criteria</w:t>
      </w:r>
    </w:p>
    <w:p>
      <w:pPr>
        <w:pStyle w:val="NormalNumberedtext"/>
      </w:pPr>
      <w:r>
        <w:t>This section defines the specific task types and characteristics that require a formal ergonomic assessment before work commences.</w:t>
      </w:r>
    </w:p>
    <w:p>
      <w:pPr>
        <w:pStyle w:val="NormalNumberedtext"/>
      </w:pPr>
      <w:r>
        <w:t>A formal manual tasks risk assessment is required for any task that meets one or more of the trigger criteria listed in Table 2. The assessment must be conducted by a competent person before the task commences or before a change to an existing task is implemented. Consistent with APPC Appendix C §68, the assessment must cover workplace design, layout, practices, and procedures, and must identify tasks with the potential to cause permanent disability.</w:t>
      </w:r>
    </w:p>
    <w:p>
      <w:pPr>
        <w:pStyle w:val="NormalNumberedtext"/>
      </w:pPr>
      <w:r>
        <w:t>The assessment must evaluate both internal and external forces acting on the human body, consistent with APPC Appendix C §68. Hazard identification must address the following, consistent with IFC EHS General Guidelines §2.5:</w:t>
      </w:r>
    </w:p>
    <w:p>
      <w:pPr>
        <w:pStyle w:val="NormalNumberedtext"/>
      </w:pPr>
      <w:r>
        <w:t>Manual handling hazards to be identified in every assessment include:</w:t>
      </w:r>
    </w:p>
    <w:p>
      <w:pPr>
        <w:pStyle w:val="NumberedBulletL1"/>
      </w:pPr>
      <w:r>
        <w:t>Heavy or awkward loads.</w:t>
      </w:r>
    </w:p>
    <w:p>
      <w:pPr>
        <w:pStyle w:val="NumberedBulletL1"/>
      </w:pPr>
      <w:r>
        <w:t>Repetitive motions.</w:t>
      </w:r>
    </w:p>
    <w:p>
      <w:pPr>
        <w:pStyle w:val="NumberedBulletL1"/>
      </w:pPr>
      <w:r>
        <w:t>Sustained or awkward postures.</w:t>
      </w:r>
    </w:p>
    <w:p>
      <w:pPr>
        <w:pStyle w:val="NumberedBulletL1"/>
      </w:pPr>
      <w:r>
        <w:t>Hand-arm and whole-body vibration.</w:t>
      </w:r>
    </w:p>
    <w:p>
      <w:pPr>
        <w:pStyle w:val="NumberedBulletL1"/>
      </w:pPr>
      <w:r>
        <w:t>Contact stress.</w:t>
      </w:r>
    </w:p>
    <w:p>
      <w:pPr>
        <w:pStyle w:val="NormalNumberedtext"/>
      </w:pPr>
      <w:r>
        <w:t>The risk assessment framework applied to manual tasks assessments — including the risk matrix, assessment record format, and register — is governed by RTPR-HSE-PRO-0002 – Risk Management and is not repeated here.</w:t>
      </w:r>
    </w:p>
    <w:tbl>
      <w:tblPr>
        <w:tblStyle w:val="TableOption1"/>
        <w:tblW w:type="pct" w:w="5000"/>
      </w:tblPr>
      <w:tr>
        <w:tc>
          <w:tcPr>
            <w:shd w:val="clear" w:color="auto" w:fill="FFF2CC"/>
          </w:tcPr>
          <w:p>
            <w:pPr>
              <w:pStyle w:val="Instructions"/>
            </w:pPr>
            <w:r>
              <w:rPr>
                <w:b/>
                <w:bCs/>
                <w:color w:val="C55A11"/>
              </w:rPr>
              <w:t>PROJECT COMPLETION REQUIRED — Table 2: Define the project manual tasks risk assessment trigger list. The thresholds below are provided as suggested defaults based on common industry practice. The project team must confirm, adjust, or replace each threshold to reflect the applicable jurisdiction and workforce demographics before this procedure is issued.</w:t>
            </w:r>
          </w:p>
        </w:tc>
      </w:tr>
    </w:tbl>
    <w:p>
      <w:pPr>
        <w:pStyle w:val="Default"/>
      </w:pPr>
    </w:p>
    <w:p>
      <w:pPr>
        <w:pStyle w:val="NormalNumberedtext"/>
      </w:pPr>
      <w:r>
        <w:t>Table 2: Project Manual Tasks Risk Assessment Trigger List</w:t>
      </w:r>
    </w:p>
    <w:tbl>
      <w:tblPr>
        <w:tblStyle w:val="TableOption2"/>
        <w:tblW w:type="pct" w:w="5000"/>
      </w:tblPr>
      <w:tr>
        <w:trPr>
          <w:tblHeader/>
        </w:trPr>
        <w:tc>
          <w:tcPr>
            <w:shd w:val="clear" w:color="auto" w:fill="1F3864"/>
          </w:tcPr>
          <w:p>
            <w:pPr>
              <w:pStyle w:val="TableContents"/>
            </w:pPr>
            <w:r>
              <w:rPr>
                <w:b/>
                <w:bCs/>
                <w:color w:val="FFFFFF"/>
              </w:rPr>
              <w:t>Trigger Category</w:t>
            </w:r>
          </w:p>
        </w:tc>
        <w:tc>
          <w:tcPr>
            <w:shd w:val="clear" w:color="auto" w:fill="1F3864"/>
          </w:tcPr>
          <w:p>
            <w:pPr>
              <w:pStyle w:val="TableContents"/>
            </w:pPr>
            <w:r>
              <w:rPr>
                <w:b/>
                <w:bCs/>
                <w:color w:val="FFFFFF"/>
              </w:rPr>
              <w:t>Trigger Criteria (Threshold)</w:t>
            </w:r>
          </w:p>
        </w:tc>
        <w:tc>
          <w:tcPr>
            <w:shd w:val="clear" w:color="auto" w:fill="1F3864"/>
          </w:tcPr>
          <w:p>
            <w:pPr>
              <w:pStyle w:val="TableContents"/>
            </w:pPr>
            <w:r>
              <w:rPr>
                <w:b/>
                <w:bCs/>
                <w:color w:val="FFFFFF"/>
              </w:rPr>
              <w:t>Assessment Type Required</w:t>
            </w:r>
          </w:p>
        </w:tc>
      </w:tr>
      <w:tr>
        <w:tc>
          <w:tcPr/>
          <w:p>
            <w:pPr>
              <w:pStyle w:val="TableContents"/>
            </w:pPr>
            <w:r>
              <w:t>Single-lift weight</w:t>
            </w:r>
          </w:p>
        </w:tc>
        <w:tc>
          <w:tcPr/>
          <w:p>
            <w:pPr>
              <w:pStyle w:val="TableContents"/>
            </w:pPr>
            <w:r>
              <w:t>{'text': 'Any single lift exceeding 16 kg by one person, or 25 kg with two persons.', 'suggested': True}</w:t>
            </w:r>
          </w:p>
        </w:tc>
        <w:tc>
          <w:tcPr/>
          <w:p>
            <w:pPr>
              <w:pStyle w:val="TableContents"/>
            </w:pPr>
            <w:r>
              <w:t>Formal ergonomic assessment by competent person.</w:t>
            </w:r>
          </w:p>
        </w:tc>
      </w:tr>
      <w:tr>
        <w:tc>
          <w:tcPr/>
          <w:p>
            <w:pPr>
              <w:pStyle w:val="TableContents"/>
            </w:pPr>
            <w:r>
              <w:t>Repetitive lifting frequency</w:t>
            </w:r>
          </w:p>
        </w:tc>
        <w:tc>
          <w:tcPr/>
          <w:p>
            <w:pPr>
              <w:pStyle w:val="TableContents"/>
            </w:pPr>
            <w:r>
              <w:t>{'text': 'Lifting tasks performed more than 4 times per minute sustained over 30 minutes.', 'suggested': True}</w:t>
            </w:r>
          </w:p>
        </w:tc>
        <w:tc>
          <w:tcPr/>
          <w:p>
            <w:pPr>
              <w:pStyle w:val="TableContents"/>
            </w:pPr>
            <w:r>
              <w:t>Formal ergonomic assessment by competent person.</w:t>
            </w:r>
          </w:p>
        </w:tc>
      </w:tr>
      <w:tr>
        <w:tc>
          <w:tcPr/>
          <w:p>
            <w:pPr>
              <w:pStyle w:val="TableContents"/>
            </w:pPr>
            <w:r>
              <w:t>Sustained non-neutral posture</w:t>
            </w:r>
          </w:p>
        </w:tc>
        <w:tc>
          <w:tcPr/>
          <w:p>
            <w:pPr>
              <w:pStyle w:val="TableContents"/>
            </w:pPr>
            <w:r>
              <w:t>{'text': 'Tasks requiring trunk flexion greater than 30 degrees, or overhead work, sustained for more than 2 hours cumulative per shift.', 'suggested': True}</w:t>
            </w:r>
          </w:p>
        </w:tc>
        <w:tc>
          <w:tcPr/>
          <w:p>
            <w:pPr>
              <w:pStyle w:val="TableContents"/>
            </w:pPr>
            <w:r>
              <w:t>Formal ergonomic assessment by competent person.</w:t>
            </w:r>
          </w:p>
        </w:tc>
      </w:tr>
      <w:tr>
        <w:tc>
          <w:tcPr/>
          <w:p>
            <w:pPr>
              <w:pStyle w:val="TableContents"/>
            </w:pPr>
            <w:r>
              <w:t>Repetitive upper limb tasks</w:t>
            </w:r>
          </w:p>
        </w:tc>
        <w:tc>
          <w:tcPr/>
          <w:p>
            <w:pPr>
              <w:pStyle w:val="TableContents"/>
            </w:pPr>
            <w:r>
              <w:t>{'text': 'Tasks involving repetitive wrist, hand, or arm motion sustained for more than 4 hours cumulative per shift.', 'suggested': True}</w:t>
            </w:r>
          </w:p>
        </w:tc>
        <w:tc>
          <w:tcPr/>
          <w:p>
            <w:pPr>
              <w:pStyle w:val="TableContents"/>
            </w:pPr>
            <w:r>
              <w:t>Formal ergonomic assessment by competent person.</w:t>
            </w:r>
          </w:p>
        </w:tc>
      </w:tr>
      <w:tr>
        <w:tc>
          <w:tcPr/>
          <w:p>
            <w:pPr>
              <w:pStyle w:val="TableContents"/>
            </w:pPr>
            <w:r>
              <w:t>Push or pull forces</w:t>
            </w:r>
          </w:p>
        </w:tc>
        <w:tc>
          <w:tcPr/>
          <w:p>
            <w:pPr>
              <w:pStyle w:val="TableContents"/>
            </w:pPr>
            <w:r>
              <w:t>{'text': 'Tasks requiring sustained push or pull force exceeding 100 N for more than 1 minute, or peak force exceeding 200 N.', 'suggested': True}</w:t>
            </w:r>
          </w:p>
        </w:tc>
        <w:tc>
          <w:tcPr/>
          <w:p>
            <w:pPr>
              <w:pStyle w:val="TableContents"/>
            </w:pPr>
            <w:r>
              <w:t>Formal ergonomic assessment by competent person.</w:t>
            </w:r>
          </w:p>
        </w:tc>
      </w:tr>
      <w:tr>
        <w:tc>
          <w:tcPr/>
          <w:p>
            <w:pPr>
              <w:pStyle w:val="TableContents"/>
            </w:pPr>
            <w:r>
              <w:t>Vibration exposure</w:t>
            </w:r>
          </w:p>
        </w:tc>
        <w:tc>
          <w:tcPr/>
          <w:p>
            <w:pPr>
              <w:pStyle w:val="TableContents"/>
            </w:pPr>
            <w:r>
              <w:t>Tasks involving hand-arm or whole-body vibration where daily exposure may approach or exceed the action values in EU Directive 2002/44/EC or applicable national legislation, whichever is more stringent.</w:t>
            </w:r>
          </w:p>
        </w:tc>
        <w:tc>
          <w:tcPr/>
          <w:p>
            <w:pPr>
              <w:pStyle w:val="TableContents"/>
            </w:pPr>
            <w:r>
              <w:t>Vibration assessment — refer Section 4.</w:t>
            </w:r>
          </w:p>
        </w:tc>
      </w:tr>
      <w:tr>
        <w:tc>
          <w:tcPr/>
          <w:p>
            <w:pPr>
              <w:pStyle w:val="TableContents"/>
            </w:pPr>
            <w:r>
              <w:t>New or modified task design</w:t>
            </w:r>
          </w:p>
        </w:tc>
        <w:tc>
          <w:tcPr/>
          <w:p>
            <w:pPr>
              <w:pStyle w:val="TableContents"/>
            </w:pPr>
            <w:r>
              <w:t>Introduction of a new task type, new equipment, or a significant change to an existing manual task as identified through the management of change process.</w:t>
            </w:r>
          </w:p>
        </w:tc>
        <w:tc>
          <w:tcPr/>
          <w:p>
            <w:pPr>
              <w:pStyle w:val="TableContents"/>
            </w:pPr>
            <w:r>
              <w:t>Formal ergonomic assessment by competent person.</w:t>
            </w:r>
          </w:p>
        </w:tc>
      </w:tr>
      <w:tr>
        <w:tc>
          <w:tcPr/>
          <w:p>
            <w:pPr>
              <w:pStyle w:val="TableContents"/>
            </w:pPr>
            <w:r>
              <w:rPr>
                <w:b/>
                <w:bCs/>
                <w:color w:val="0059D1"/>
              </w:rPr>
              <w:t>[INSERT: Project-specific trigger]</w:t>
            </w:r>
          </w:p>
        </w:tc>
        <w:tc>
          <w:tcPr/>
          <w:p>
            <w:pPr>
              <w:pStyle w:val="TableContents"/>
            </w:pPr>
            <w:r>
              <w:rPr>
                <w:b/>
                <w:bCs/>
                <w:color w:val="0059D1"/>
              </w:rPr>
              <w:t>[INSERT: Threshold for this project based on jurisdiction and workforce demographics.]</w:t>
            </w:r>
          </w:p>
        </w:tc>
        <w:tc>
          <w:tcPr/>
          <w:p>
            <w:pPr>
              <w:pStyle w:val="TableContents"/>
            </w:pPr>
            <w:r>
              <w:rPr>
                <w:b/>
                <w:bCs/>
                <w:color w:val="0059D1"/>
              </w:rPr>
              <w:t>[INSERT: Assessment type.]</w:t>
            </w:r>
          </w:p>
        </w:tc>
      </w:tr>
    </w:tbl>
    <w:p>
      <w:pPr>
        <w:pStyle w:val="Default"/>
      </w:pPr>
    </w:p>
    <w:p>
      <w:pPr>
        <w:pStyle w:val="Heading2Numbered"/>
      </w:pPr>
      <w:r>
        <w:t>5.2  Assessment Process</w:t>
      </w:r>
    </w:p>
    <w:p>
      <w:pPr>
        <w:pStyle w:val="NormalNumberedtext"/>
      </w:pPr>
      <w:r>
        <w:t>This section defines how a formal manual tasks risk assessment is planned, conducted, and recorded.</w:t>
      </w:r>
    </w:p>
    <w:p>
      <w:pPr>
        <w:pStyle w:val="NormalNumberedtext"/>
      </w:pPr>
      <w:r>
        <w:t>The HSESC Advisor confirms a competent person is assigned to conduct any formal ergonomic assessment required under Table 2 before work commences. Competency requirements for assessors are defined in RTPR-HSE-PRO-0004 – Training.</w:t>
      </w:r>
    </w:p>
    <w:p>
      <w:pPr>
        <w:pStyle w:val="NormalNumberedtext"/>
      </w:pPr>
      <w:r>
        <w:t>The assessment must evaluate the following risk factors for each task step, consistent with APPC Appendix C §68 requirements to consider internal and external forces acting on the body:</w:t>
      </w:r>
    </w:p>
    <w:p>
      <w:pPr>
        <w:pStyle w:val="NormalNumberedtext"/>
      </w:pPr>
      <w:r>
        <w:t>Risk factors evaluated in every manual tasks assessment include:</w:t>
      </w:r>
    </w:p>
    <w:p>
      <w:pPr>
        <w:pStyle w:val="NumberedBulletL1"/>
      </w:pPr>
      <w:r>
        <w:t>Posture — joint angles, trunk flexion, overhead reach, and lateral deviation.</w:t>
      </w:r>
    </w:p>
    <w:p>
      <w:pPr>
        <w:pStyle w:val="NumberedBulletL1"/>
      </w:pPr>
      <w:r>
        <w:t>Force — load weight, grip force, push and pull force, and contact stress.</w:t>
      </w:r>
    </w:p>
    <w:p>
      <w:pPr>
        <w:pStyle w:val="NumberedBulletL1"/>
      </w:pPr>
      <w:r>
        <w:t>Repetition — cycle frequency and cumulative exposure duration.</w:t>
      </w:r>
    </w:p>
    <w:p>
      <w:pPr>
        <w:pStyle w:val="NumberedBulletL1"/>
      </w:pPr>
      <w:r>
        <w:t>Duration — total time in a risk posture or performing a risk motion per shift.</w:t>
      </w:r>
    </w:p>
    <w:p>
      <w:pPr>
        <w:pStyle w:val="NumberedBulletL1"/>
      </w:pPr>
      <w:r>
        <w:t>Environment — workplace layout, space constraints, floor surface, and temperature.</w:t>
      </w:r>
    </w:p>
    <w:p>
      <w:pPr>
        <w:pStyle w:val="NumberedBulletL1"/>
      </w:pPr>
      <w:r>
        <w:t>Task variability — whether rest breaks, rotation, or pacing controls are available.</w:t>
      </w:r>
    </w:p>
    <w:p>
      <w:pPr>
        <w:pStyle w:val="NormalNumberedtext"/>
      </w:pPr>
      <w:r>
        <w:t>Assessment outputs are recorded in the project risk register and reviewed when a task design changes, an MSD incident occurs, or a worker in the assessed role reports early symptoms. All MSD incidents and near misses are reported per project requirements, refer RTPR-HSE-PRO-0009.</w:t>
      </w:r>
    </w:p>
    <w:p>
      <w:pPr>
        <w:pStyle w:val="Heading1Numbered"/>
      </w:pPr>
      <w:r>
        <w:t>6  Vibration Exposure Assessment and Control</w:t>
      </w:r>
    </w:p>
    <w:p>
      <w:pPr>
        <w:pStyle w:val="NormalNumberedtext"/>
      </w:pPr>
      <w:r>
        <w:t>This section defines how vibration sources are identified, assessed, measured, and controlled to protect workers from hand-arm and whole-body vibration.</w:t>
      </w:r>
    </w:p>
    <w:p>
      <w:pPr>
        <w:pStyle w:val="Heading2Numbered"/>
      </w:pPr>
      <w:r>
        <w:t>6.1  Vibration Source Identification and Assessment</w:t>
      </w:r>
    </w:p>
    <w:p>
      <w:pPr>
        <w:pStyle w:val="NormalNumberedtext"/>
      </w:pPr>
      <w:r>
        <w:t>This section defines the process for identifying vibration-intensive tasks and determining whether a formal exposure assessment is required.</w:t>
      </w:r>
    </w:p>
    <w:p>
      <w:pPr>
        <w:pStyle w:val="NormalNumberedtext"/>
      </w:pPr>
      <w:r>
        <w:t>The HSESC Manager ensures vibration sources are identified, assessed, and measured where there is potential to exceed the exposure action values or limit values specified in the European Directive on Vibration 2002/44/EC or applicable national legislation, whichever is more stringent, consistent with APPC Appendix C §68. The assessment must be conducted by a competent person.</w:t>
      </w:r>
    </w:p>
    <w:p>
      <w:pPr>
        <w:pStyle w:val="NormalNumberedtext"/>
      </w:pPr>
      <w:r>
        <w:t>The project vibration source register identifies all equipment and task types generating significant hand-arm or whole-body vibration. The register is established before site mobilisation and is updated when new equipment types are introduced through the management of change process.</w:t>
      </w:r>
    </w:p>
    <w:tbl>
      <w:tblPr>
        <w:tblStyle w:val="TableOption1"/>
        <w:tblW w:type="pct" w:w="5000"/>
      </w:tblPr>
      <w:tr>
        <w:tc>
          <w:tcPr>
            <w:shd w:val="clear" w:color="auto" w:fill="FFF2CC"/>
          </w:tcPr>
          <w:p>
            <w:pPr>
              <w:pStyle w:val="Instructions"/>
            </w:pPr>
            <w:r>
              <w:rPr>
                <w:b/>
                <w:bCs/>
                <w:color w:val="C55A11"/>
              </w:rPr>
              <w:t>PROJECT COMPLETION REQUIRED — Table 3: Identify all vibration-intensive equipment or tasks on this project. The examples below are common to construction projects. The project team must confirm which apply, add project-specific items, and define the exposure monitoring approach before this procedure is issued.</w:t>
            </w:r>
          </w:p>
        </w:tc>
      </w:tr>
    </w:tbl>
    <w:p>
      <w:pPr>
        <w:pStyle w:val="Default"/>
      </w:pPr>
    </w:p>
    <w:p>
      <w:pPr>
        <w:pStyle w:val="NormalNumberedtext"/>
      </w:pPr>
      <w:r>
        <w:t>Table 3: Project Vibration Source Register and Monitoring Approach</w:t>
      </w:r>
    </w:p>
    <w:tbl>
      <w:tblPr>
        <w:tblStyle w:val="TableOption2"/>
        <w:tblW w:type="pct" w:w="5000"/>
      </w:tblPr>
      <w:tr>
        <w:trPr>
          <w:tblHeader/>
        </w:trPr>
        <w:tc>
          <w:tcPr>
            <w:shd w:val="clear" w:color="auto" w:fill="1F3864"/>
          </w:tcPr>
          <w:p>
            <w:pPr>
              <w:pStyle w:val="TableContents"/>
            </w:pPr>
            <w:r>
              <w:rPr>
                <w:b/>
                <w:bCs/>
                <w:color w:val="FFFFFF"/>
              </w:rPr>
              <w:t>Equipment or Task Type</w:t>
            </w:r>
          </w:p>
        </w:tc>
        <w:tc>
          <w:tcPr>
            <w:shd w:val="clear" w:color="auto" w:fill="1F3864"/>
          </w:tcPr>
          <w:p>
            <w:pPr>
              <w:pStyle w:val="TableContents"/>
            </w:pPr>
            <w:r>
              <w:rPr>
                <w:b/>
                <w:bCs/>
                <w:color w:val="FFFFFF"/>
              </w:rPr>
              <w:t>Vibration Type</w:t>
            </w:r>
          </w:p>
        </w:tc>
        <w:tc>
          <w:tcPr>
            <w:shd w:val="clear" w:color="auto" w:fill="1F3864"/>
          </w:tcPr>
          <w:p>
            <w:pPr>
              <w:pStyle w:val="TableContents"/>
            </w:pPr>
            <w:r>
              <w:rPr>
                <w:b/>
                <w:bCs/>
                <w:color w:val="FFFFFF"/>
              </w:rPr>
              <w:t>Applicable Exposure Limit Reference</w:t>
            </w:r>
          </w:p>
        </w:tc>
        <w:tc>
          <w:tcPr>
            <w:shd w:val="clear" w:color="auto" w:fill="1F3864"/>
          </w:tcPr>
          <w:p>
            <w:pPr>
              <w:pStyle w:val="TableContents"/>
            </w:pPr>
            <w:r>
              <w:rPr>
                <w:b/>
                <w:bCs/>
                <w:color w:val="FFFFFF"/>
              </w:rPr>
              <w:t>Project Monitoring Approach</w:t>
            </w:r>
          </w:p>
        </w:tc>
      </w:tr>
      <w:tr>
        <w:tc>
          <w:tcPr/>
          <w:p>
            <w:pPr>
              <w:pStyle w:val="TableContents"/>
            </w:pPr>
            <w:r>
              <w:t>{'text': 'Jackhammer / demolition hammer', 'suggested': True}</w:t>
            </w:r>
          </w:p>
        </w:tc>
        <w:tc>
          <w:tcPr/>
          <w:p>
            <w:pPr>
              <w:pStyle w:val="TableContents"/>
            </w:pPr>
            <w:r>
              <w:t>Hand-arm vibration (HAV)</w:t>
            </w:r>
          </w:p>
        </w:tc>
        <w:tc>
          <w:tcPr/>
          <w:p>
            <w:pPr>
              <w:pStyle w:val="TableContents"/>
            </w:pPr>
            <w:r>
              <w:t>EU Directive 2002/44/EC: Action Value 2.5 m/s², Limit Value 5 m/s² (8-hour EAV), or national equivalent if more stringent.</w:t>
            </w:r>
          </w:p>
        </w:tc>
        <w:tc>
          <w:tcPr/>
          <w:p>
            <w:pPr>
              <w:pStyle w:val="TableContents"/>
            </w:pPr>
            <w:r>
              <w:rPr>
                <w:b/>
                <w:bCs/>
                <w:color w:val="0059D1"/>
              </w:rPr>
              <w:t>[INSERT: Monitoring approach — e.g., manufacturer vibration data with task duration tracking, or direct measurement by competent person.]</w:t>
            </w:r>
          </w:p>
        </w:tc>
      </w:tr>
      <w:tr>
        <w:tc>
          <w:tcPr/>
          <w:p>
            <w:pPr>
              <w:pStyle w:val="TableContents"/>
            </w:pPr>
            <w:r>
              <w:t>{'text': 'Plate compactor / vibratory roller', 'suggested': True}</w:t>
            </w:r>
          </w:p>
        </w:tc>
        <w:tc>
          <w:tcPr/>
          <w:p>
            <w:pPr>
              <w:pStyle w:val="TableContents"/>
            </w:pPr>
            <w:r>
              <w:t>Hand-arm vibration (HAV)</w:t>
            </w:r>
          </w:p>
        </w:tc>
        <w:tc>
          <w:tcPr/>
          <w:p>
            <w:pPr>
              <w:pStyle w:val="TableContents"/>
            </w:pPr>
            <w:r>
              <w:t>EU Directive 2002/44/EC or national equivalent.</w:t>
            </w:r>
          </w:p>
        </w:tc>
        <w:tc>
          <w:tcPr/>
          <w:p>
            <w:pPr>
              <w:pStyle w:val="TableContents"/>
            </w:pPr>
            <w:r>
              <w:rPr>
                <w:b/>
                <w:bCs/>
                <w:color w:val="0059D1"/>
              </w:rPr>
              <w:t>[INSERT: Monitoring approach.]</w:t>
            </w:r>
          </w:p>
        </w:tc>
      </w:tr>
      <w:tr>
        <w:tc>
          <w:tcPr/>
          <w:p>
            <w:pPr>
              <w:pStyle w:val="TableContents"/>
            </w:pPr>
            <w:r>
              <w:t>{'text': 'Angle grinder / disc grinder', 'suggested': True}</w:t>
            </w:r>
          </w:p>
        </w:tc>
        <w:tc>
          <w:tcPr/>
          <w:p>
            <w:pPr>
              <w:pStyle w:val="TableContents"/>
            </w:pPr>
            <w:r>
              <w:t>Hand-arm vibration (HAV)</w:t>
            </w:r>
          </w:p>
        </w:tc>
        <w:tc>
          <w:tcPr/>
          <w:p>
            <w:pPr>
              <w:pStyle w:val="TableContents"/>
            </w:pPr>
            <w:r>
              <w:t>EU Directive 2002/44/EC or national equivalent.</w:t>
            </w:r>
          </w:p>
        </w:tc>
        <w:tc>
          <w:tcPr/>
          <w:p>
            <w:pPr>
              <w:pStyle w:val="TableContents"/>
            </w:pPr>
            <w:r>
              <w:rPr>
                <w:b/>
                <w:bCs/>
                <w:color w:val="0059D1"/>
              </w:rPr>
              <w:t>[INSERT: Monitoring approach.]</w:t>
            </w:r>
          </w:p>
        </w:tc>
      </w:tr>
      <w:tr>
        <w:tc>
          <w:tcPr/>
          <w:p>
            <w:pPr>
              <w:pStyle w:val="TableContents"/>
            </w:pPr>
            <w:r>
              <w:t>{'text': 'Heavy plant operator — haul truck, dozer, grader', 'suggested': True}</w:t>
            </w:r>
          </w:p>
        </w:tc>
        <w:tc>
          <w:tcPr/>
          <w:p>
            <w:pPr>
              <w:pStyle w:val="TableContents"/>
            </w:pPr>
            <w:r>
              <w:t>Whole-body vibration (WBV)</w:t>
            </w:r>
          </w:p>
        </w:tc>
        <w:tc>
          <w:tcPr/>
          <w:p>
            <w:pPr>
              <w:pStyle w:val="TableContents"/>
            </w:pPr>
            <w:r>
              <w:t>EU Directive 2002/44/EC: Action Value 0.5 m/s², Limit Value 1.15 m/s² (8-hour EAV), or national equivalent if more stringent.</w:t>
            </w:r>
          </w:p>
        </w:tc>
        <w:tc>
          <w:tcPr/>
          <w:p>
            <w:pPr>
              <w:pStyle w:val="TableContents"/>
            </w:pPr>
            <w:r>
              <w:rPr>
                <w:b/>
                <w:bCs/>
                <w:color w:val="0059D1"/>
              </w:rPr>
              <w:t>[INSERT: Monitoring approach — e.g., seat accelerometer measurement, manufacturer seat data, or direct measurement.]</w:t>
            </w:r>
          </w:p>
        </w:tc>
      </w:tr>
      <w:tr>
        <w:tc>
          <w:tcPr/>
          <w:p>
            <w:pPr>
              <w:pStyle w:val="TableContents"/>
            </w:pPr>
            <w:r>
              <w:rPr>
                <w:b/>
                <w:bCs/>
                <w:color w:val="0059D1"/>
              </w:rPr>
              <w:t>[INSERT: Project-specific equipment or task]</w:t>
            </w:r>
          </w:p>
        </w:tc>
        <w:tc>
          <w:tcPr/>
          <w:p>
            <w:pPr>
              <w:pStyle w:val="TableContents"/>
            </w:pPr>
            <w:r>
              <w:rPr>
                <w:b/>
                <w:bCs/>
                <w:color w:val="0059D1"/>
              </w:rPr>
              <w:t>[INSERT: HAV or WBV]</w:t>
            </w:r>
          </w:p>
        </w:tc>
        <w:tc>
          <w:tcPr/>
          <w:p>
            <w:pPr>
              <w:pStyle w:val="TableContents"/>
            </w:pPr>
            <w:r>
              <w:rPr>
                <w:b/>
                <w:bCs/>
                <w:color w:val="0059D1"/>
              </w:rPr>
              <w:t>[INSERT: Applicable standard.]</w:t>
            </w:r>
          </w:p>
        </w:tc>
        <w:tc>
          <w:tcPr/>
          <w:p>
            <w:pPr>
              <w:pStyle w:val="TableContents"/>
            </w:pPr>
            <w:r>
              <w:rPr>
                <w:b/>
                <w:bCs/>
                <w:color w:val="0059D1"/>
              </w:rPr>
              <w:t>[INSERT: Monitoring approach.]</w:t>
            </w:r>
          </w:p>
        </w:tc>
      </w:tr>
    </w:tbl>
    <w:p>
      <w:pPr>
        <w:pStyle w:val="Default"/>
      </w:pPr>
    </w:p>
    <w:p>
      <w:pPr>
        <w:pStyle w:val="NormalNumberedtext"/>
      </w:pPr>
      <w:r>
        <w:t>Where vibration measurement is required, the HSESC Advisor arranges measurement by a competent person using calibrated equipment. Measurement results are compared against the applicable action and limit values. Where an action value is exceeded, controls defined in Section 4.2 are applied immediately.</w:t>
      </w:r>
    </w:p>
    <w:p>
      <w:pPr>
        <w:pStyle w:val="Heading2Numbered"/>
      </w:pPr>
      <w:r>
        <w:t>6.2  Vibration Controls</w:t>
      </w:r>
    </w:p>
    <w:p>
      <w:pPr>
        <w:pStyle w:val="NormalNumberedtext"/>
      </w:pPr>
      <w:r>
        <w:t>This section defines the control hierarchy applied to tasks where vibration exposure meets or exceeds the assessment trigger.</w:t>
      </w:r>
    </w:p>
    <w:p>
      <w:pPr>
        <w:pStyle w:val="NormalNumberedtext"/>
      </w:pPr>
      <w:r>
        <w:t>Engineering controls are applied as the primary means of reducing vibration exposure before administrative controls or PPE are considered, consistent with IFC EHS General Guidelines §2.3 and APPC Appendix C §68. Controls are applied in the following order:</w:t>
      </w:r>
    </w:p>
    <w:p>
      <w:pPr>
        <w:pStyle w:val="NormalNumberedtext"/>
      </w:pPr>
      <w:r>
        <w:t>The vibration control hierarchy for this project is:</w:t>
      </w:r>
    </w:p>
    <w:p>
      <w:pPr>
        <w:pStyle w:val="NumberedBulletL1"/>
      </w:pPr>
      <w:r>
        <w:rPr>
          <w:color w:val="C55A11"/>
        </w:rPr>
        <w:t>Elimination or substitution — replace vibration-intensive tools or equipment with low-vibration alternatives where practicable.</w:t>
      </w:r>
    </w:p>
    <w:p>
      <w:pPr>
        <w:pStyle w:val="NumberedBulletL1"/>
      </w:pPr>
      <w:r>
        <w:rPr>
          <w:color w:val="C55A11"/>
        </w:rPr>
        <w:t>Engineering controls — fit anti-vibration mountings, vibration-reducing tool handles, and suspension seating in heavy plant; maintain equipment to manufacturer service schedules to prevent vibration amplification from wear.</w:t>
      </w:r>
    </w:p>
    <w:p>
      <w:pPr>
        <w:pStyle w:val="NumberedBulletL1"/>
      </w:pPr>
      <w:r>
        <w:rPr>
          <w:color w:val="C55A11"/>
        </w:rPr>
        <w:t>Administrative controls — limit daily exposure time, apply job rotation to distribute exposure across workers, schedule health surveillance for workers with regular vibration exposure.</w:t>
      </w:r>
    </w:p>
    <w:p>
      <w:pPr>
        <w:pStyle w:val="NumberedBulletL1"/>
      </w:pPr>
      <w:r>
        <w:t>PPE — anti-vibration gloves are considered only after engineering and administrative controls have been applied; gloves are selected in accordance with RTPR-HSE-PRO-0027 – PPE and are not used as a substitute for higher-order controls.</w:t>
      </w:r>
    </w:p>
    <w:p>
      <w:pPr>
        <w:pStyle w:val="NormalNumberedtext"/>
      </w:pPr>
      <w:r>
        <w:t>The HSESC Advisor reviews vibration control effectiveness at the frequency defined in Table 3 and after any reported case of hand-arm vibration syndrome or whole-body vibration-related MSD. Health surveillance requirements for workers with significant vibration exposure are addressed in Section 6.</w:t>
      </w:r>
    </w:p>
    <w:p>
      <w:pPr>
        <w:pStyle w:val="Heading1Numbered"/>
      </w:pPr>
      <w:r>
        <w:t>7  Manual Handling Controls</w:t>
      </w:r>
    </w:p>
    <w:p>
      <w:pPr>
        <w:pStyle w:val="NormalNumberedtext"/>
      </w:pPr>
      <w:r>
        <w:t>This section defines the hierarchy of controls applied to manual handling risk and the process for selecting, implementing, and verifying controls.</w:t>
      </w:r>
    </w:p>
    <w:p>
      <w:pPr>
        <w:pStyle w:val="Heading2Numbered"/>
      </w:pPr>
      <w:r>
        <w:t>7.1  Control Hierarchy</w:t>
      </w:r>
    </w:p>
    <w:p>
      <w:pPr>
        <w:pStyle w:val="NormalNumberedtext"/>
      </w:pPr>
      <w:r>
        <w:t>This section defines the order in which controls are selected and applied to manual handling hazards identified through the risk assessment process.</w:t>
      </w:r>
    </w:p>
    <w:p>
      <w:pPr>
        <w:pStyle w:val="NormalNumberedtext"/>
      </w:pPr>
      <w:r>
        <w:t>Engineering controls are applied as the primary means of managing manual handling risk before administrative controls or PPE are considered, consistent with IFC EHS General Guidelines §2.5 and APPC Appendix C §68. The supervisor confirms that higher-order controls have been evaluated and either applied or documented as not practicable before a lower-order control is selected.</w:t>
      </w:r>
    </w:p>
    <w:p>
      <w:pPr>
        <w:pStyle w:val="NormalNumberedtext"/>
      </w:pPr>
      <w:r>
        <w:t>Table 4: Manual Handling Control Hierarchy</w:t>
      </w:r>
    </w:p>
    <w:tbl>
      <w:tblPr>
        <w:tblStyle w:val="TableOption2"/>
        <w:tblW w:type="pct" w:w="5000"/>
      </w:tblPr>
      <w:tr>
        <w:trPr>
          <w:tblHeader/>
        </w:trPr>
        <w:tc>
          <w:tcPr>
            <w:shd w:val="clear" w:color="auto" w:fill="1F3864"/>
          </w:tcPr>
          <w:p>
            <w:pPr>
              <w:pStyle w:val="TableContents"/>
            </w:pPr>
            <w:r>
              <w:rPr>
                <w:b/>
                <w:bCs/>
                <w:color w:val="FFFFFF"/>
              </w:rPr>
              <w:t>Control Level</w:t>
            </w:r>
          </w:p>
        </w:tc>
        <w:tc>
          <w:tcPr>
            <w:shd w:val="clear" w:color="auto" w:fill="1F3864"/>
          </w:tcPr>
          <w:p>
            <w:pPr>
              <w:pStyle w:val="TableContents"/>
            </w:pPr>
            <w:r>
              <w:rPr>
                <w:b/>
                <w:bCs/>
                <w:color w:val="FFFFFF"/>
              </w:rPr>
              <w:t>Control Type</w:t>
            </w:r>
          </w:p>
        </w:tc>
        <w:tc>
          <w:tcPr>
            <w:shd w:val="clear" w:color="auto" w:fill="1F3864"/>
          </w:tcPr>
          <w:p>
            <w:pPr>
              <w:pStyle w:val="TableContents"/>
            </w:pPr>
            <w:r>
              <w:rPr>
                <w:b/>
                <w:bCs/>
                <w:color w:val="FFFFFF"/>
              </w:rPr>
              <w:t>Examples</w:t>
            </w:r>
          </w:p>
        </w:tc>
      </w:tr>
      <w:tr>
        <w:tc>
          <w:tcPr/>
          <w:p>
            <w:pPr>
              <w:pStyle w:val="TableContents"/>
            </w:pPr>
            <w:r>
              <w:t>1 — Elimination</w:t>
            </w:r>
          </w:p>
        </w:tc>
        <w:tc>
          <w:tcPr/>
          <w:p>
            <w:pPr>
              <w:pStyle w:val="TableContents"/>
            </w:pPr>
            <w:r>
              <w:t>Remove the manual task entirely.</w:t>
            </w:r>
          </w:p>
        </w:tc>
        <w:tc>
          <w:tcPr/>
          <w:p>
            <w:pPr>
              <w:pStyle w:val="TableContents"/>
            </w:pPr>
            <w:r>
              <w:t>{'text': 'Redesign the work sequence so the load does not need to be moved; pre-position materials at point of use; use pre-assembled modules to eliminate site-level handling.', 'suggested': True}</w:t>
            </w:r>
          </w:p>
        </w:tc>
      </w:tr>
      <w:tr>
        <w:tc>
          <w:tcPr/>
          <w:p>
            <w:pPr>
              <w:pStyle w:val="TableContents"/>
            </w:pPr>
            <w:r>
              <w:t>2 — Substitution</w:t>
            </w:r>
          </w:p>
        </w:tc>
        <w:tc>
          <w:tcPr/>
          <w:p>
            <w:pPr>
              <w:pStyle w:val="TableContents"/>
            </w:pPr>
            <w:r>
              <w:t>Replace the task with a lower-risk alternative.</w:t>
            </w:r>
          </w:p>
        </w:tc>
        <w:tc>
          <w:tcPr/>
          <w:p>
            <w:pPr>
              <w:pStyle w:val="TableContents"/>
            </w:pPr>
            <w:r>
              <w:t>{'text': 'Replace manual mixing with mechanical mixing; replace manual pipe carrying with trolley transport.', 'suggested': True}</w:t>
            </w:r>
          </w:p>
        </w:tc>
      </w:tr>
      <w:tr>
        <w:tc>
          <w:tcPr/>
          <w:p>
            <w:pPr>
              <w:pStyle w:val="TableContents"/>
            </w:pPr>
            <w:r>
              <w:t>3 — Engineering Controls</w:t>
            </w:r>
          </w:p>
        </w:tc>
        <w:tc>
          <w:tcPr/>
          <w:p>
            <w:pPr>
              <w:pStyle w:val="TableContents"/>
            </w:pPr>
            <w:r>
              <w:t>Mechanical aids, equipment, or work design changes.</w:t>
            </w:r>
          </w:p>
        </w:tc>
        <w:tc>
          <w:tcPr/>
          <w:p>
            <w:pPr>
              <w:pStyle w:val="TableContents"/>
            </w:pPr>
            <w:r>
              <w:t>{'text': 'Hoists, forklifts, pallet jacks, vacuum lifters, conveyor systems, adjustable-height workbenches, ergonomic tool redesign.', 'suggested': True}</w:t>
            </w:r>
          </w:p>
        </w:tc>
      </w:tr>
      <w:tr>
        <w:tc>
          <w:tcPr/>
          <w:p>
            <w:pPr>
              <w:pStyle w:val="TableContents"/>
            </w:pPr>
            <w:r>
              <w:t>4 — Administrative Controls</w:t>
            </w:r>
          </w:p>
        </w:tc>
        <w:tc>
          <w:tcPr/>
          <w:p>
            <w:pPr>
              <w:pStyle w:val="TableContents"/>
            </w:pPr>
            <w:r>
              <w:t>Work organisation changes to reduce exposure.</w:t>
            </w:r>
          </w:p>
        </w:tc>
        <w:tc>
          <w:tcPr/>
          <w:p>
            <w:pPr>
              <w:pStyle w:val="TableContents"/>
            </w:pPr>
            <w:r>
              <w:t>{'text': 'Job rotation across tasks; mandatory rest breaks; pace setting; buddy lift systems for loads exceeding the single-person threshold in Table 2; pre-start briefing on correct technique.', 'suggested': True}</w:t>
            </w:r>
          </w:p>
        </w:tc>
      </w:tr>
      <w:tr>
        <w:tc>
          <w:tcPr/>
          <w:p>
            <w:pPr>
              <w:pStyle w:val="TableContents"/>
            </w:pPr>
            <w:r>
              <w:t>5 — PPE</w:t>
            </w:r>
          </w:p>
        </w:tc>
        <w:tc>
          <w:tcPr/>
          <w:p>
            <w:pPr>
              <w:pStyle w:val="TableContents"/>
            </w:pPr>
            <w:r>
              <w:t>Last resort after higher controls are applied.</w:t>
            </w:r>
          </w:p>
        </w:tc>
        <w:tc>
          <w:tcPr/>
          <w:p>
            <w:pPr>
              <w:pStyle w:val="TableContents"/>
            </w:pPr>
            <w:r>
              <w:t>Manual handling PPE selected and managed per RTPR-HSE-PRO-0027 – PPE.</w:t>
            </w:r>
          </w:p>
        </w:tc>
      </w:tr>
    </w:tbl>
    <w:p>
      <w:pPr>
        <w:pStyle w:val="Default"/>
      </w:pPr>
    </w:p>
    <w:p>
      <w:pPr>
        <w:pStyle w:val="NormalNumberedtext"/>
      </w:pPr>
      <w:r>
        <w:t>The work supervisor confirms the selected controls are documented in the relevant SWMS or JHA before work commences. Where a mechanical lifting aid is required, the supervisor confirms the aid is serviceable, appropriate for the load, and operated by a trained person before use. Mechanical aid competency requirements are defined in RTPR-HSE-PRO-0004 – Training.</w:t>
      </w:r>
    </w:p>
    <w:p>
      <w:pPr>
        <w:pStyle w:val="Heading2Numbered"/>
      </w:pPr>
      <w:r>
        <w:t>7.2  Control Verification</w:t>
      </w:r>
    </w:p>
    <w:p>
      <w:pPr>
        <w:pStyle w:val="NormalNumberedtext"/>
      </w:pPr>
      <w:r>
        <w:t>This section defines how manual handling controls are verified during execution and how control failures are escalated.</w:t>
      </w:r>
    </w:p>
    <w:p>
      <w:pPr>
        <w:pStyle w:val="NormalNumberedtext"/>
      </w:pPr>
      <w:r>
        <w:t>The HSESC Advisor conducts field verification of manual handling controls at a frequency consistent with the risk rating assigned during the formal ergonomic assessment. Verification confirms that engineering controls are in place and functional, administrative controls are being observed, and PPE is being used correctly where required.</w:t>
      </w:r>
    </w:p>
    <w:p>
      <w:pPr>
        <w:pStyle w:val="NormalNumberedtext"/>
      </w:pPr>
      <w:r>
        <w:t>Where a control is found to be absent, ineffective, or bypassed, the supervisor stops the task until the control is reinstated and documents the finding through the project observation and inspection process. All MSD incidents and near misses arising from control failures are reported per project requirements, refer RTPR-HSE-PRO-0009.</w:t>
      </w:r>
    </w:p>
    <w:p>
      <w:pPr>
        <w:pStyle w:val="Heading1Numbered"/>
      </w:pPr>
      <w:r>
        <w:t>8  Health Surveillance and MSD Early Intervention</w:t>
      </w:r>
    </w:p>
    <w:p>
      <w:pPr>
        <w:pStyle w:val="NormalNumberedtext"/>
      </w:pPr>
      <w:r>
        <w:t>This section defines health surveillance requirements for high-risk manual task roles and the early intervention process for personnel reporting musculoskeletal symptoms.</w:t>
      </w:r>
    </w:p>
    <w:p>
      <w:pPr>
        <w:pStyle w:val="Heading2Numbered"/>
      </w:pPr>
      <w:r>
        <w:t>8.1  Health Surveillance</w:t>
      </w:r>
    </w:p>
    <w:p>
      <w:pPr>
        <w:pStyle w:val="NormalNumberedtext"/>
      </w:pPr>
      <w:r>
        <w:t>This section defines which roles require periodic musculoskeletal health surveillance and what that surveillance must include.</w:t>
      </w:r>
    </w:p>
    <w:p>
      <w:pPr>
        <w:pStyle w:val="NormalNumberedtext"/>
      </w:pPr>
      <w:r>
        <w:t>Health surveillance programmes are implemented for workers assigned to identified high-risk manual task roles, consistent with ICMM Principle 5, Performance Expectation 5.2. Surveillance includes MSD symptom reporting and periodic musculoskeletal health assessments. Physical capacity requirements and pre-placement assessment criteria for high-risk roles are governed by RTPR-HSE-PRO-0006 – Fitness for Work.</w:t>
      </w:r>
    </w:p>
    <w:tbl>
      <w:tblPr>
        <w:tblStyle w:val="TableOption1"/>
        <w:tblW w:type="pct" w:w="5000"/>
      </w:tblPr>
      <w:tr>
        <w:tc>
          <w:tcPr>
            <w:shd w:val="clear" w:color="auto" w:fill="FFF2CC"/>
          </w:tcPr>
          <w:p>
            <w:pPr>
              <w:pStyle w:val="Instructions"/>
            </w:pPr>
            <w:r>
              <w:rPr>
                <w:b/>
                <w:bCs/>
                <w:color w:val="C55A11"/>
              </w:rPr>
              <w:t>PROJECT COMPLETION REQUIRED — Table 5: Define the high-risk manual task roles requiring health surveillance on this project and the surveillance frequency. The examples below are suggested defaults. The project team must confirm which roles apply and set the surveillance interval before this procedure is issued.</w:t>
            </w:r>
          </w:p>
        </w:tc>
      </w:tr>
    </w:tbl>
    <w:p>
      <w:pPr>
        <w:pStyle w:val="Default"/>
      </w:pPr>
    </w:p>
    <w:p>
      <w:pPr>
        <w:pStyle w:val="NormalNumberedtext"/>
      </w:pPr>
      <w:r>
        <w:t>Table 5: Health Surveillance Requirements for High-Risk Manual Task Roles</w:t>
      </w:r>
    </w:p>
    <w:tbl>
      <w:tblPr>
        <w:tblStyle w:val="TableOption2"/>
        <w:tblW w:type="pct" w:w="5000"/>
      </w:tblPr>
      <w:tr>
        <w:trPr>
          <w:tblHeader/>
        </w:trPr>
        <w:tc>
          <w:tcPr>
            <w:shd w:val="clear" w:color="auto" w:fill="1F3864"/>
          </w:tcPr>
          <w:p>
            <w:pPr>
              <w:pStyle w:val="TableContents"/>
            </w:pPr>
            <w:r>
              <w:rPr>
                <w:b/>
                <w:bCs/>
                <w:color w:val="FFFFFF"/>
              </w:rPr>
              <w:t>Role or Task Category</w:t>
            </w:r>
          </w:p>
        </w:tc>
        <w:tc>
          <w:tcPr>
            <w:shd w:val="clear" w:color="auto" w:fill="1F3864"/>
          </w:tcPr>
          <w:p>
            <w:pPr>
              <w:pStyle w:val="TableContents"/>
            </w:pPr>
            <w:r>
              <w:rPr>
                <w:b/>
                <w:bCs/>
                <w:color w:val="FFFFFF"/>
              </w:rPr>
              <w:t>Basis for Surveillance</w:t>
            </w:r>
          </w:p>
        </w:tc>
        <w:tc>
          <w:tcPr>
            <w:shd w:val="clear" w:color="auto" w:fill="1F3864"/>
          </w:tcPr>
          <w:p>
            <w:pPr>
              <w:pStyle w:val="TableContents"/>
            </w:pPr>
            <w:r>
              <w:rPr>
                <w:b/>
                <w:bCs/>
                <w:color w:val="FFFFFF"/>
              </w:rPr>
              <w:t>Surveillance Type</w:t>
            </w:r>
          </w:p>
        </w:tc>
        <w:tc>
          <w:tcPr>
            <w:shd w:val="clear" w:color="auto" w:fill="1F3864"/>
          </w:tcPr>
          <w:p>
            <w:pPr>
              <w:pStyle w:val="TableContents"/>
            </w:pPr>
            <w:r>
              <w:rPr>
                <w:b/>
                <w:bCs/>
                <w:color w:val="FFFFFF"/>
              </w:rPr>
              <w:t>Frequency</w:t>
            </w:r>
          </w:p>
        </w:tc>
      </w:tr>
      <w:tr>
        <w:tc>
          <w:tcPr/>
          <w:p>
            <w:pPr>
              <w:pStyle w:val="TableContents"/>
            </w:pPr>
            <w:r>
              <w:t>{'text': 'Concreters, formwork carpenters — sustained kneeling and trunk flexion tasks.', 'suggested': True}</w:t>
            </w:r>
          </w:p>
        </w:tc>
        <w:tc>
          <w:tcPr/>
          <w:p>
            <w:pPr>
              <w:pStyle w:val="TableContents"/>
            </w:pPr>
            <w:r>
              <w:t>Sustained non-neutral posture — trigger met per Table 2.</w:t>
            </w:r>
          </w:p>
        </w:tc>
        <w:tc>
          <w:tcPr/>
          <w:p>
            <w:pPr>
              <w:pStyle w:val="TableContents"/>
            </w:pPr>
            <w:r>
              <w:t>{'text': 'Musculoskeletal health assessment by Occupational Health Advisor.', 'suggested': True}</w:t>
            </w:r>
          </w:p>
        </w:tc>
        <w:tc>
          <w:tcPr/>
          <w:p>
            <w:pPr>
              <w:pStyle w:val="TableContents"/>
            </w:pPr>
            <w:r>
              <w:t>{'text': 'Every 6 months.', 'suggested': True}</w:t>
            </w:r>
          </w:p>
        </w:tc>
      </w:tr>
      <w:tr>
        <w:tc>
          <w:tcPr/>
          <w:p>
            <w:pPr>
              <w:pStyle w:val="TableContents"/>
            </w:pPr>
            <w:r>
              <w:t>{'text': 'Jackhammer and vibrating tool operators.', 'suggested': True}</w:t>
            </w:r>
          </w:p>
        </w:tc>
        <w:tc>
          <w:tcPr/>
          <w:p>
            <w:pPr>
              <w:pStyle w:val="TableContents"/>
            </w:pPr>
            <w:r>
              <w:t>HAV exposure — vibration trigger met per Table 3.</w:t>
            </w:r>
          </w:p>
        </w:tc>
        <w:tc>
          <w:tcPr/>
          <w:p>
            <w:pPr>
              <w:pStyle w:val="TableContents"/>
            </w:pPr>
            <w:r>
              <w:t>{'text': 'HAV health surveillance including hand-arm neurological and vascular symptom review.', 'suggested': True}</w:t>
            </w:r>
          </w:p>
        </w:tc>
        <w:tc>
          <w:tcPr/>
          <w:p>
            <w:pPr>
              <w:pStyle w:val="TableContents"/>
            </w:pPr>
            <w:r>
              <w:t>{'text': 'Every 12 months.', 'suggested': True}</w:t>
            </w:r>
          </w:p>
        </w:tc>
      </w:tr>
      <w:tr>
        <w:tc>
          <w:tcPr/>
          <w:p>
            <w:pPr>
              <w:pStyle w:val="TableContents"/>
            </w:pPr>
            <w:r>
              <w:t>{'text': 'Heavy plant operators — haul truck, dozer, grader.', 'suggested': True}</w:t>
            </w:r>
          </w:p>
        </w:tc>
        <w:tc>
          <w:tcPr/>
          <w:p>
            <w:pPr>
              <w:pStyle w:val="TableContents"/>
            </w:pPr>
            <w:r>
              <w:t>WBV exposure — vibration trigger met per Table 3.</w:t>
            </w:r>
          </w:p>
        </w:tc>
        <w:tc>
          <w:tcPr/>
          <w:p>
            <w:pPr>
              <w:pStyle w:val="TableContents"/>
            </w:pPr>
            <w:r>
              <w:t>{'text': 'WBV health surveillance including low back symptom review.', 'suggested': True}</w:t>
            </w:r>
          </w:p>
        </w:tc>
        <w:tc>
          <w:tcPr/>
          <w:p>
            <w:pPr>
              <w:pStyle w:val="TableContents"/>
            </w:pPr>
            <w:r>
              <w:t>{'text': 'Every 12 months.', 'suggested': True}</w:t>
            </w:r>
          </w:p>
        </w:tc>
      </w:tr>
      <w:tr>
        <w:tc>
          <w:tcPr/>
          <w:p>
            <w:pPr>
              <w:pStyle w:val="TableContents"/>
            </w:pPr>
            <w:r>
              <w:rPr>
                <w:b/>
                <w:bCs/>
                <w:color w:val="0059D1"/>
              </w:rPr>
              <w:t>[INSERT: Project-specific role]</w:t>
            </w:r>
          </w:p>
        </w:tc>
        <w:tc>
          <w:tcPr/>
          <w:p>
            <w:pPr>
              <w:pStyle w:val="TableContents"/>
            </w:pPr>
            <w:r>
              <w:rPr>
                <w:b/>
                <w:bCs/>
                <w:color w:val="0059D1"/>
              </w:rPr>
              <w:t>[INSERT: Basis for surveillance.]</w:t>
            </w:r>
          </w:p>
        </w:tc>
        <w:tc>
          <w:tcPr/>
          <w:p>
            <w:pPr>
              <w:pStyle w:val="TableContents"/>
            </w:pPr>
            <w:r>
              <w:rPr>
                <w:b/>
                <w:bCs/>
                <w:color w:val="0059D1"/>
              </w:rPr>
              <w:t>[INSERT: Surveillance type.]</w:t>
            </w:r>
          </w:p>
        </w:tc>
        <w:tc>
          <w:tcPr/>
          <w:p>
            <w:pPr>
              <w:pStyle w:val="TableContents"/>
            </w:pPr>
            <w:r>
              <w:rPr>
                <w:b/>
                <w:bCs/>
                <w:color w:val="0059D1"/>
              </w:rPr>
              <w:t>[INSERT: Frequency.]</w:t>
            </w:r>
          </w:p>
        </w:tc>
      </w:tr>
    </w:tbl>
    <w:p>
      <w:pPr>
        <w:pStyle w:val="Default"/>
      </w:pPr>
    </w:p>
    <w:p>
      <w:pPr>
        <w:pStyle w:val="NormalNumberedtext"/>
      </w:pPr>
      <w:r>
        <w:t>Health surveillance records are maintained by the Occupational Health Advisor and are stored in the project health management system. Access to individual records is restricted to the treating health professional and the worker, except where disclosure is required by applicable legislation.</w:t>
      </w:r>
    </w:p>
    <w:p>
      <w:pPr>
        <w:pStyle w:val="Heading2Numbered"/>
      </w:pPr>
      <w:r>
        <w:t>8.2  MSD Early Intervention Process</w:t>
      </w:r>
    </w:p>
    <w:p>
      <w:pPr>
        <w:pStyle w:val="NormalNumberedtext"/>
      </w:pPr>
      <w:r>
        <w:t>This section defines the steps taken when a worker reports early musculoskeletal symptoms, and how those steps prevent progression to permanent disability.</w:t>
      </w:r>
    </w:p>
    <w:p>
      <w:pPr>
        <w:pStyle w:val="NormalNumberedtext"/>
      </w:pPr>
      <w:r>
        <w:t>The project operates a structured MSD early intervention process to identify workers with early symptoms, initiate modified duties or ergonomic re-assessment, and prevent progression to permanent disability, consistent with the objective requirement for project-defined early intervention. The process is connected to the Return to Work process governed by RTPR-HSE-PRO-0006 – Fitness for Work.</w:t>
      </w:r>
    </w:p>
    <w:tbl>
      <w:tblPr>
        <w:tblStyle w:val="TableOption1"/>
        <w:tblW w:type="pct" w:w="5000"/>
      </w:tblPr>
      <w:tr>
        <w:tc>
          <w:tcPr>
            <w:shd w:val="clear" w:color="auto" w:fill="FFF2CC"/>
          </w:tcPr>
          <w:p>
            <w:pPr>
              <w:pStyle w:val="Instructions"/>
            </w:pPr>
            <w:r>
              <w:rPr>
                <w:b/>
                <w:bCs/>
                <w:color w:val="C55A11"/>
              </w:rPr>
              <w:t>PROJECT COMPLETION REQUIRED: Define the project early intervention threshold criteria — the symptom or functional indicators that trigger formal case management. Define who assesses early symptoms, what modified duties options are available on this project, and who manages the case. The defaults below are suggested starting points.</w:t>
            </w:r>
          </w:p>
        </w:tc>
      </w:tr>
    </w:tbl>
    <w:p>
      <w:pPr>
        <w:pStyle w:val="Default"/>
      </w:pPr>
    </w:p>
    <w:p>
      <w:pPr>
        <w:pStyle w:val="NormalNumberedtext"/>
      </w:pPr>
      <w:r>
        <w:t>The following early intervention thresholds trigger the process defined in Table 6:</w:t>
      </w:r>
    </w:p>
    <w:p>
      <w:pPr>
        <w:pStyle w:val="NormalNumberedtext"/>
      </w:pPr>
      <w:r>
        <w:t>Early intervention is triggered when a worker reports one or more of the following:</w:t>
      </w:r>
    </w:p>
    <w:p>
      <w:pPr>
        <w:pStyle w:val="NumberedBulletL1"/>
      </w:pPr>
      <w:r>
        <w:rPr>
          <w:color w:val="C55A11"/>
        </w:rPr>
        <w:t>Musculoskeletal pain or discomfort rated 3 or above on a 0–10 numerical pain scale that persists beyond one shift.</w:t>
      </w:r>
    </w:p>
    <w:p>
      <w:pPr>
        <w:pStyle w:val="NumberedBulletL1"/>
      </w:pPr>
      <w:r>
        <w:rPr>
          <w:color w:val="C55A11"/>
        </w:rPr>
        <w:t>Reported restriction in range of motion affecting the ability to perform a task step.</w:t>
      </w:r>
    </w:p>
    <w:p>
      <w:pPr>
        <w:pStyle w:val="NumberedBulletL1"/>
      </w:pPr>
      <w:r>
        <w:rPr>
          <w:color w:val="C55A11"/>
        </w:rPr>
        <w:t>Tingling, numbness, or weakness in the hands, arms, or lower limbs associated with a manual task.</w:t>
      </w:r>
    </w:p>
    <w:p>
      <w:pPr>
        <w:pStyle w:val="NumberedBulletL1"/>
      </w:pPr>
      <w:r>
        <w:rPr>
          <w:color w:val="C55A11"/>
        </w:rPr>
        <w:t>Any recurrence of a previously recorded MSD affecting the same body region.</w:t>
      </w:r>
    </w:p>
    <w:p>
      <w:pPr>
        <w:pStyle w:val="NumberedBulletL1"/>
      </w:pPr>
      <w:r>
        <w:rPr>
          <w:b/>
          <w:bCs/>
          <w:color w:val="0059D1"/>
        </w:rPr>
        <w:t>[INSERT: Project-specific early intervention threshold criteria]</w:t>
      </w:r>
    </w:p>
    <w:p>
      <w:pPr>
        <w:pStyle w:val="NormalNumberedtext"/>
      </w:pPr>
      <w:r>
        <w:t>Table 6: MSD Early Intervention Process Steps</w:t>
      </w:r>
    </w:p>
    <w:tbl>
      <w:tblPr>
        <w:tblStyle w:val="TableOption2"/>
        <w:tblW w:type="pct" w:w="5000"/>
      </w:tblPr>
      <w:tr>
        <w:trPr>
          <w:tblHeader/>
        </w:trPr>
        <w:tc>
          <w:tcPr>
            <w:shd w:val="clear" w:color="auto" w:fill="1F3864"/>
          </w:tcPr>
          <w:p>
            <w:pPr>
              <w:pStyle w:val="TableContents"/>
            </w:pPr>
            <w:r>
              <w:rPr>
                <w:b/>
                <w:bCs/>
                <w:color w:val="FFFFFF"/>
              </w:rPr>
              <w:t>Step</w:t>
            </w:r>
          </w:p>
        </w:tc>
        <w:tc>
          <w:tcPr>
            <w:shd w:val="clear" w:color="auto" w:fill="1F3864"/>
          </w:tcPr>
          <w:p>
            <w:pPr>
              <w:pStyle w:val="TableContents"/>
            </w:pPr>
            <w:r>
              <w:rPr>
                <w:b/>
                <w:bCs/>
                <w:color w:val="FFFFFF"/>
              </w:rPr>
              <w:t>Action</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Timeframe</w:t>
            </w:r>
          </w:p>
        </w:tc>
      </w:tr>
      <w:tr>
        <w:tc>
          <w:tcPr/>
          <w:p>
            <w:pPr>
              <w:pStyle w:val="TableContents"/>
            </w:pPr>
            <w:r>
              <w:t>1</w:t>
            </w:r>
          </w:p>
        </w:tc>
        <w:tc>
          <w:tcPr/>
          <w:p>
            <w:pPr>
              <w:pStyle w:val="TableContents"/>
            </w:pPr>
            <w:r>
              <w:t>Worker reports MSD symptom to supervisor. Supervisor records the report and notifies the Occupational Health Advisor.</w:t>
            </w:r>
          </w:p>
        </w:tc>
        <w:tc>
          <w:tcPr/>
          <w:p>
            <w:pPr>
              <w:pStyle w:val="TableContents"/>
            </w:pPr>
            <w:r>
              <w:t>Worker and Supervisor</w:t>
            </w:r>
          </w:p>
        </w:tc>
        <w:tc>
          <w:tcPr/>
          <w:p>
            <w:pPr>
              <w:pStyle w:val="TableContents"/>
            </w:pPr>
            <w:r>
              <w:t>{'text': 'Same shift on which symptoms are reported.', 'suggested': True}</w:t>
            </w:r>
          </w:p>
        </w:tc>
      </w:tr>
      <w:tr>
        <w:tc>
          <w:tcPr/>
          <w:p>
            <w:pPr>
              <w:pStyle w:val="TableContents"/>
            </w:pPr>
            <w:r>
              <w:t>2</w:t>
            </w:r>
          </w:p>
        </w:tc>
        <w:tc>
          <w:tcPr/>
          <w:p>
            <w:pPr>
              <w:pStyle w:val="TableContents"/>
            </w:pPr>
            <w:r>
              <w:t>Occupational Health Advisor conducts initial MSD symptom assessment and determines whether modified duties are required.</w:t>
            </w:r>
          </w:p>
        </w:tc>
        <w:tc>
          <w:tcPr/>
          <w:p>
            <w:pPr>
              <w:pStyle w:val="TableContents"/>
            </w:pPr>
            <w:r>
              <w:t>Occupational Health Advisor</w:t>
            </w:r>
          </w:p>
        </w:tc>
        <w:tc>
          <w:tcPr/>
          <w:p>
            <w:pPr>
              <w:pStyle w:val="TableContents"/>
            </w:pPr>
            <w:r>
              <w:t>{'text': 'Within 24 hours of symptom report.', 'suggested': True}</w:t>
            </w:r>
          </w:p>
        </w:tc>
      </w:tr>
      <w:tr>
        <w:tc>
          <w:tcPr/>
          <w:p>
            <w:pPr>
              <w:pStyle w:val="TableContents"/>
            </w:pPr>
            <w:r>
              <w:t>3</w:t>
            </w:r>
          </w:p>
        </w:tc>
        <w:tc>
          <w:tcPr/>
          <w:p>
            <w:pPr>
              <w:pStyle w:val="TableContents"/>
            </w:pPr>
            <w:r>
              <w:t>HSESC Advisor conducts or commissions an ergonomic re-assessment of the relevant task if one or more early intervention thresholds are met.</w:t>
            </w:r>
          </w:p>
        </w:tc>
        <w:tc>
          <w:tcPr/>
          <w:p>
            <w:pPr>
              <w:pStyle w:val="TableContents"/>
            </w:pPr>
            <w:r>
              <w:t>HSESC Advisor</w:t>
            </w:r>
          </w:p>
        </w:tc>
        <w:tc>
          <w:tcPr/>
          <w:p>
            <w:pPr>
              <w:pStyle w:val="TableContents"/>
            </w:pPr>
            <w:r>
              <w:t>{'text': 'Within 48 hours of symptom report.', 'suggested': True}</w:t>
            </w:r>
          </w:p>
        </w:tc>
      </w:tr>
      <w:tr>
        <w:tc>
          <w:tcPr/>
          <w:p>
            <w:pPr>
              <w:pStyle w:val="TableContents"/>
            </w:pPr>
            <w:r>
              <w:t>4</w:t>
            </w:r>
          </w:p>
        </w:tc>
        <w:tc>
          <w:tcPr/>
          <w:p>
            <w:pPr>
              <w:pStyle w:val="TableContents"/>
            </w:pPr>
            <w:r>
              <w:t>Construction Manager and Occupational Health Advisor agree modified duties placement from the options available on this project.</w:t>
            </w:r>
          </w:p>
        </w:tc>
        <w:tc>
          <w:tcPr/>
          <w:p>
            <w:pPr>
              <w:pStyle w:val="TableContents"/>
            </w:pPr>
            <w:r>
              <w:t>Construction Manager and Occupational Health Advisor</w:t>
            </w:r>
          </w:p>
        </w:tc>
        <w:tc>
          <w:tcPr/>
          <w:p>
            <w:pPr>
              <w:pStyle w:val="TableContents"/>
            </w:pPr>
            <w:r>
              <w:t>[{'text': 'Within 48 hours of initial assessment.', 'suggested': True}, ' Modified duties options: ', {'text': '[INSERT: List of modified duties available on this project — e.g., materials coordination, site observation duties, toolbox preparation, traffic management, inspection support.]', 'suggested': False}]</w:t>
            </w:r>
          </w:p>
        </w:tc>
      </w:tr>
      <w:tr>
        <w:tc>
          <w:tcPr/>
          <w:p>
            <w:pPr>
              <w:pStyle w:val="TableContents"/>
            </w:pPr>
            <w:r>
              <w:t>5</w:t>
            </w:r>
          </w:p>
        </w:tc>
        <w:tc>
          <w:tcPr/>
          <w:p>
            <w:pPr>
              <w:pStyle w:val="TableContents"/>
            </w:pPr>
            <w:r>
              <w:t>Occupational Health Advisor reviews worker progress at the interval defined below and updates the case record. Return to full duties follows the Return to Work process in RTPR-HSE-PRO-0006.</w:t>
            </w:r>
          </w:p>
        </w:tc>
        <w:tc>
          <w:tcPr/>
          <w:p>
            <w:pPr>
              <w:pStyle w:val="TableContents"/>
            </w:pPr>
            <w:r>
              <w:t>Occupational Health Advisor</w:t>
            </w:r>
          </w:p>
        </w:tc>
        <w:tc>
          <w:tcPr/>
          <w:p>
            <w:pPr>
              <w:pStyle w:val="TableContents"/>
            </w:pPr>
            <w:r>
              <w:t>{'text': 'Review every 5 working days until return to full duties.', 'suggested': True}</w:t>
            </w:r>
          </w:p>
        </w:tc>
      </w:tr>
      <w:tr>
        <w:tc>
          <w:tcPr/>
          <w:p>
            <w:pPr>
              <w:pStyle w:val="TableContents"/>
            </w:pPr>
            <w:r>
              <w:t>6</w:t>
            </w:r>
          </w:p>
        </w:tc>
        <w:tc>
          <w:tcPr/>
          <w:p>
            <w:pPr>
              <w:pStyle w:val="TableContents"/>
            </w:pPr>
            <w:r>
              <w:t>Where symptoms do not resolve within the defined period, the worker is referred to an external occupational physician. The case is managed as an MSD injury and reported per project requirements, refer RTPR-HSE-PRO-0009.</w:t>
            </w:r>
          </w:p>
        </w:tc>
        <w:tc>
          <w:tcPr/>
          <w:p>
            <w:pPr>
              <w:pStyle w:val="TableContents"/>
            </w:pPr>
            <w:r>
              <w:t>Occupational Health Advisor</w:t>
            </w:r>
          </w:p>
        </w:tc>
        <w:tc>
          <w:tcPr/>
          <w:p>
            <w:pPr>
              <w:pStyle w:val="TableContents"/>
            </w:pPr>
            <w:r>
              <w:t>[{'text': 'Referral if no improvement within 10 working days of modified duties commencement.', 'suggested': True}]</w:t>
            </w:r>
          </w:p>
        </w:tc>
      </w:tr>
    </w:tbl>
    <w:p>
      <w:pPr>
        <w:pStyle w:val="Default"/>
      </w:pPr>
    </w:p>
    <w:p>
      <w:pPr>
        <w:pStyle w:val="NormalNumberedtext"/>
      </w:pPr>
      <w:r>
        <w:t>The Occupational Health Advisor maintains an MSD early intervention register recording each case, the date of symptom report, the assessment outcome, the controls or modified duties applied, and the return to full duties date. Aggregate MSD trend data is reviewed by the HSESC Manager at</w:t>
      </w:r>
    </w:p>
    <w:p>
      <w:pPr>
        <w:pStyle w:val="NormalNumberedtext"/>
      </w:pPr>
      <w:r>
        <w:rPr>
          <w:b/>
          <w:bCs/>
          <w:color w:val="0059D1"/>
        </w:rPr>
        <w:t>[INSERT: MSD trend review frequency] — e.g., monthly HSESC performance review meetings</w:t>
      </w:r>
    </w:p>
    <w:p>
      <w:pPr>
        <w:pStyle w:val="NormalNumberedtext"/>
      </w:pPr>
      <w:r>
        <w:t>and used to determine whether the manual tasks risk assessment or control programme requires revision.</w:t>
      </w: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MSD</w:t>
            </w:r>
          </w:p>
        </w:tc>
        <w:tc>
          <w:tcPr/>
          <w:p>
            <w:pPr>
              <w:pStyle w:val="TableContents"/>
            </w:pPr>
            <w:r>
              <w:t>Musculoskeletal Disorder — an injury or disorder of the muscles, nerves, tendons, joints, cartilage, or spinal discs, typically arising from manual tasks, awkward postures, repetitive movements, or exposure to vibration.</w:t>
            </w:r>
          </w:p>
        </w:tc>
      </w:tr>
      <w:tr>
        <w:tc>
          <w:tcPr/>
          <w:p>
            <w:pPr>
              <w:pStyle w:val="TableContents"/>
            </w:pPr>
            <w:r>
              <w:t>MSD Early Intervention</w:t>
            </w:r>
          </w:p>
        </w:tc>
        <w:tc>
          <w:tcPr/>
          <w:p>
            <w:pPr>
              <w:pStyle w:val="TableContents"/>
            </w:pPr>
            <w:r>
              <w:t>A proactive program designed to identify and address early signs or symptoms of musculoskeletal disorders before they progress to a reportable injury, typically involving physiotherapy, task modification, or ergonomic review.</w:t>
            </w:r>
          </w:p>
        </w:tc>
      </w:tr>
      <w:tr>
        <w:tc>
          <w:tcPr/>
          <w:p>
            <w:pPr>
              <w:pStyle w:val="TableContents"/>
            </w:pPr>
            <w:r>
              <w:t>HSESC</w:t>
            </w:r>
          </w:p>
        </w:tc>
        <w:tc>
          <w:tcPr/>
          <w:p>
            <w:pPr>
              <w:pStyle w:val="TableContents"/>
            </w:pPr>
            <w:r>
              <w:t>Health, Safety, Environment and Sustainability Committee — the governance body responsible for oversight of HSESC management systems on Rio Tinto owner-led projects.</w:t>
            </w:r>
          </w:p>
        </w:tc>
      </w:tr>
      <w:tr>
        <w:tc>
          <w:tcPr/>
          <w:p>
            <w:pPr>
              <w:pStyle w:val="TableContents"/>
            </w:pPr>
            <w:r>
              <w:t>HSE</w:t>
            </w:r>
          </w:p>
        </w:tc>
        <w:tc>
          <w:tcPr/>
          <w:p>
            <w:pPr>
              <w:pStyle w:val="TableContents"/>
            </w:pPr>
            <w:r>
              <w:t>Health, Safety and Environment — the discipline and management framework encompassing occupational health, safety risk control, and environmental protection obligations on Rio Tinto projects.</w:t>
            </w:r>
          </w:p>
        </w:tc>
      </w:tr>
      <w:tr>
        <w:tc>
          <w:tcPr/>
          <w:p>
            <w:pPr>
              <w:pStyle w:val="TableContents"/>
            </w:pPr>
            <w:r>
              <w:t>PRO</w:t>
            </w:r>
          </w:p>
        </w:tc>
        <w:tc>
          <w:tcPr/>
          <w:p>
            <w:pPr>
              <w:pStyle w:val="TableContents"/>
            </w:pPr>
            <w:r>
              <w:t>Procedure — a documented set of specified instructions or steps required to carry out an activity in a controlled and consistent manner within the Rio Tinto project management system.</w:t>
            </w:r>
          </w:p>
        </w:tc>
      </w:tr>
      <w:tr>
        <w:tc>
          <w:tcPr/>
          <w:p>
            <w:pPr>
              <w:pStyle w:val="TableContents"/>
            </w:pPr>
            <w:r>
              <w:t>PPE</w:t>
            </w:r>
          </w:p>
        </w:tc>
        <w:tc>
          <w:tcPr/>
          <w:p>
            <w:pPr>
              <w:pStyle w:val="TableContents"/>
            </w:pPr>
            <w:r>
              <w:t>Personal Protective Equipment — equipment worn or used by a worker to minimise exposure to hazards, including gloves, back support belts, anti-vibration gloves, and other manual handling aids.</w:t>
            </w:r>
          </w:p>
        </w:tc>
      </w:tr>
      <w:tr>
        <w:tc>
          <w:tcPr/>
          <w:p>
            <w:pPr>
              <w:pStyle w:val="TableContents"/>
            </w:pPr>
            <w:r>
              <w:t>RTPR</w:t>
            </w:r>
          </w:p>
        </w:tc>
        <w:tc>
          <w:tcPr/>
          <w:p>
            <w:pPr>
              <w:pStyle w:val="TableContents"/>
            </w:pPr>
            <w:r>
              <w:t>Rio Tinto Projects — the organisational unit within Rio Tinto responsible for delivery of owner-led capital projects, under whose management system the referenced procedures are issued.</w:t>
            </w:r>
          </w:p>
        </w:tc>
      </w:tr>
      <w:tr>
        <w:tc>
          <w:tcPr/>
          <w:p>
            <w:pPr>
              <w:pStyle w:val="TableContents"/>
            </w:pPr>
            <w:r>
              <w:t>RT</w:t>
            </w:r>
          </w:p>
        </w:tc>
        <w:tc>
          <w:tcPr/>
          <w:p>
            <w:pPr>
              <w:pStyle w:val="TableContents"/>
            </w:pPr>
            <w:r>
              <w:t>Rio Tinto — the global mining and metals company under whose corporate standards, risk management framework, and health and safety requirements project procedures are developed and maintained.</w:t>
            </w:r>
          </w:p>
        </w:tc>
      </w:tr>
      <w:tr>
        <w:tc>
          <w:tcPr/>
          <w:p>
            <w:pPr>
              <w:pStyle w:val="TableContents"/>
            </w:pPr>
            <w:r>
              <w:t>HAV</w:t>
            </w:r>
          </w:p>
        </w:tc>
        <w:tc>
          <w:tcPr/>
          <w:p>
            <w:pPr>
              <w:pStyle w:val="TableContents"/>
            </w:pPr>
            <w:r>
              <w:t>Hand-Arm Vibration — mechanical vibration transmitted to the hand and arm through vibrating tools or equipment, which can cause conditions including Hand-Arm Vibration Syndrome and Carpal Tunnel Syndrome.</w:t>
            </w:r>
          </w:p>
        </w:tc>
      </w:tr>
      <w:tr>
        <w:tc>
          <w:tcPr/>
          <w:p>
            <w:pPr>
              <w:pStyle w:val="TableContents"/>
            </w:pPr>
            <w:r>
              <w:t>HAVS</w:t>
            </w:r>
          </w:p>
        </w:tc>
        <w:tc>
          <w:tcPr/>
          <w:p>
            <w:pPr>
              <w:pStyle w:val="TableContents"/>
            </w:pPr>
            <w:r>
              <w:t>Hand-Arm Vibration Syndrome — a range of conditions caused by prolonged exposure to hand-arm vibration, including vibration white finger (Raynaud's phenomenon), sensorineural effects, and musculoskeletal effects of the hand, wrist, and arm.</w:t>
            </w:r>
          </w:p>
        </w:tc>
      </w:tr>
      <w:tr>
        <w:tc>
          <w:tcPr/>
          <w:p>
            <w:pPr>
              <w:pStyle w:val="TableContents"/>
            </w:pPr>
            <w:r>
              <w:t>WBV</w:t>
            </w:r>
          </w:p>
        </w:tc>
        <w:tc>
          <w:tcPr/>
          <w:p>
            <w:pPr>
              <w:pStyle w:val="TableContents"/>
            </w:pPr>
            <w:r>
              <w:t>Whole-Body Vibration — mechanical vibration transmitted to the whole body, typically through a seat or standing platform, from vehicles or mobile plant, which may cause or aggravate musculoskeletal disorders particularly of the lower back.</w:t>
            </w:r>
          </w:p>
        </w:tc>
      </w:tr>
      <w:tr>
        <w:tc>
          <w:tcPr/>
          <w:p>
            <w:pPr>
              <w:pStyle w:val="TableContents"/>
            </w:pPr>
            <w:r>
              <w:t>EAV</w:t>
            </w:r>
          </w:p>
        </w:tc>
        <w:tc>
          <w:tcPr/>
          <w:p>
            <w:pPr>
              <w:pStyle w:val="TableContents"/>
            </w:pPr>
            <w:r>
              <w:t>Exposure Action Value — the daily vibration exposure level (either HAV or WBV) at or above which an employer is required to take action to reduce vibration exposure and health risks, as defined in applicable occupational health legislation and standards.</w:t>
            </w:r>
          </w:p>
        </w:tc>
      </w:tr>
      <w:tr>
        <w:tc>
          <w:tcPr/>
          <w:p>
            <w:pPr>
              <w:pStyle w:val="TableContents"/>
            </w:pPr>
            <w:r>
              <w:t>ELV</w:t>
            </w:r>
          </w:p>
        </w:tc>
        <w:tc>
          <w:tcPr/>
          <w:p>
            <w:pPr>
              <w:pStyle w:val="TableContents"/>
            </w:pPr>
            <w:r>
              <w:t>Exposure Limit Value — the maximum daily vibration exposure level (either HAV or WBV) that must not be exceeded, as defined in applicable occupational health legislation and standards.</w:t>
            </w:r>
          </w:p>
        </w:tc>
      </w:tr>
      <w:tr>
        <w:tc>
          <w:tcPr/>
          <w:p>
            <w:pPr>
              <w:pStyle w:val="TableContents"/>
            </w:pPr>
            <w:r>
              <w:t>A(8)</w:t>
            </w:r>
          </w:p>
        </w:tc>
        <w:tc>
          <w:tcPr/>
          <w:p>
            <w:pPr>
              <w:pStyle w:val="TableContents"/>
            </w:pPr>
            <w:r>
              <w:t>Eight-Hour Energy-Equivalent Frequency-Weighted Acceleration — the normalised daily vibration exposure value calculated over an eight-hour reference period, used to assess compliance with HAV or WBV exposure action and limit values.</w:t>
            </w:r>
          </w:p>
        </w:tc>
      </w:tr>
      <w:tr>
        <w:tc>
          <w:tcPr/>
          <w:p>
            <w:pPr>
              <w:pStyle w:val="TableContents"/>
            </w:pPr>
            <w:r>
              <w:t>REBA</w:t>
            </w:r>
          </w:p>
        </w:tc>
        <w:tc>
          <w:tcPr/>
          <w:p>
            <w:pPr>
              <w:pStyle w:val="TableContents"/>
            </w:pPr>
            <w:r>
              <w:t>Rapid Entire Body Assessment — a postural analysis tool used in ergonomic risk assessment to evaluate the risk of musculoskeletal disorders associated with whole-body postures, load handling, and repetitive movements.</w:t>
            </w:r>
          </w:p>
        </w:tc>
      </w:tr>
      <w:tr>
        <w:tc>
          <w:tcPr/>
          <w:p>
            <w:pPr>
              <w:pStyle w:val="TableContents"/>
            </w:pPr>
            <w:r>
              <w:t>RULA</w:t>
            </w:r>
          </w:p>
        </w:tc>
        <w:tc>
          <w:tcPr/>
          <w:p>
            <w:pPr>
              <w:pStyle w:val="TableContents"/>
            </w:pPr>
            <w:r>
              <w:t>Rapid Upper Limb Assessment — an ergonomic assessment tool used to evaluate the exposure of the upper limbs to risk factors associated with work-related musculoskeletal disorders, including posture, force, and repetition.</w:t>
            </w:r>
          </w:p>
        </w:tc>
      </w:tr>
      <w:tr>
        <w:tc>
          <w:tcPr/>
          <w:p>
            <w:pPr>
              <w:pStyle w:val="TableContents"/>
            </w:pPr>
            <w:r>
              <w:t>NIOSH</w:t>
            </w:r>
          </w:p>
        </w:tc>
        <w:tc>
          <w:tcPr/>
          <w:p>
            <w:pPr>
              <w:pStyle w:val="TableContents"/>
            </w:pPr>
            <w:r>
              <w:t>National Institute for Occupational Safety and Health — a United States federal agency whose Revised Lifting Equation is widely used as an ergonomic tool to assess the risk of lower back disorders associated with manual lifting tasks.</w:t>
            </w:r>
          </w:p>
        </w:tc>
      </w:tr>
      <w:tr>
        <w:tc>
          <w:tcPr/>
          <w:p>
            <w:pPr>
              <w:pStyle w:val="TableContents"/>
            </w:pPr>
            <w:r>
              <w:t>LI</w:t>
            </w:r>
          </w:p>
        </w:tc>
        <w:tc>
          <w:tcPr/>
          <w:p>
            <w:pPr>
              <w:pStyle w:val="TableContents"/>
            </w:pPr>
            <w:r>
              <w:t>Lifting Index — a relative estimate of the physical stress associated with a manual lifting task, calculated using the NIOSH Revised Lifting Equation; a value greater than 1.0 indicates an increased risk of lower back disorders.</w:t>
            </w:r>
          </w:p>
        </w:tc>
      </w:tr>
      <w:tr>
        <w:tc>
          <w:tcPr/>
          <w:p>
            <w:pPr>
              <w:pStyle w:val="TableContents"/>
            </w:pPr>
            <w:r>
              <w:t>RWL</w:t>
            </w:r>
          </w:p>
        </w:tc>
        <w:tc>
          <w:tcPr/>
          <w:p>
            <w:pPr>
              <w:pStyle w:val="TableContents"/>
            </w:pPr>
            <w:r>
              <w:t>Recommended Weight Limit — the load weight derived from the NIOSH Revised Lifting Equation that represents the load that nearly all healthy workers could lift over an extended period without an increased risk of developing lower back disorders.</w:t>
            </w:r>
          </w:p>
        </w:tc>
      </w:tr>
      <w:tr>
        <w:tc>
          <w:tcPr/>
          <w:p>
            <w:pPr>
              <w:pStyle w:val="TableContents"/>
            </w:pPr>
            <w:r>
              <w:t>JHA</w:t>
            </w:r>
          </w:p>
        </w:tc>
        <w:tc>
          <w:tcPr/>
          <w:p>
            <w:pPr>
              <w:pStyle w:val="TableContents"/>
            </w:pPr>
            <w:r>
              <w:t>Job Hazard Analysis — a systematic process for identifying hazards associated with each step of a task and determining appropriate controls before work commences; also referred to as Job Safety Analysis (JSA).</w:t>
            </w:r>
          </w:p>
        </w:tc>
      </w:tr>
      <w:tr>
        <w:tc>
          <w:tcPr/>
          <w:p>
            <w:pPr>
              <w:pStyle w:val="TableContents"/>
            </w:pPr>
            <w:r>
              <w:t>JSA</w:t>
            </w:r>
          </w:p>
        </w:tc>
        <w:tc>
          <w:tcPr/>
          <w:p>
            <w:pPr>
              <w:pStyle w:val="TableContents"/>
            </w:pPr>
            <w:r>
              <w:t>Job Safety Analysis — a systematic task-based risk assessment tool used to identify hazards and controls for each step of a job; equivalent to a Job Hazard Analysis (JHA).</w:t>
            </w:r>
          </w:p>
        </w:tc>
      </w:tr>
      <w:tr>
        <w:tc>
          <w:tcPr/>
          <w:p>
            <w:pPr>
              <w:pStyle w:val="TableContents"/>
            </w:pPr>
            <w:r>
              <w:t>ALARP</w:t>
            </w:r>
          </w:p>
        </w:tc>
        <w:tc>
          <w:tcPr/>
          <w:p>
            <w:pPr>
              <w:pStyle w:val="TableContents"/>
            </w:pPr>
            <w:r>
              <w:t>As Low As Reasonably Practicable — a principle requiring that residual risk be reduced to the lowest level achievable within a cost and effort that is not grossly disproportionate to the risk reduction gained.</w:t>
            </w:r>
          </w:p>
        </w:tc>
      </w:tr>
      <w:tr>
        <w:tc>
          <w:tcPr/>
          <w:p>
            <w:pPr>
              <w:pStyle w:val="TableContents"/>
            </w:pPr>
            <w:r>
              <w:t>OHS</w:t>
            </w:r>
          </w:p>
        </w:tc>
        <w:tc>
          <w:tcPr/>
          <w:p>
            <w:pPr>
              <w:pStyle w:val="TableContents"/>
            </w:pPr>
            <w:r>
              <w:t>Occupational Health and Safety — the discipline concerned with the safety, health, and welfare of people at work, encompassing hazard identification, risk assessment, and control of workplace injuries and illnesses.</w:t>
            </w:r>
          </w:p>
        </w:tc>
      </w:tr>
      <w:tr>
        <w:tc>
          <w:tcPr/>
          <w:p>
            <w:pPr>
              <w:pStyle w:val="TableContents"/>
            </w:pPr>
            <w:r>
              <w:t>WHS</w:t>
            </w:r>
          </w:p>
        </w:tc>
        <w:tc>
          <w:tcPr/>
          <w:p>
            <w:pPr>
              <w:pStyle w:val="TableContents"/>
            </w:pPr>
            <w:r>
              <w:t>Work Health and Safety — the Australian legislative and regulatory framework governing health, safety, and welfare in the workplace, under which Rio Tinto projects operating in Australia must maintain compliance.</w:t>
            </w:r>
          </w:p>
        </w:tc>
      </w:tr>
      <w:tr>
        <w:tc>
          <w:tcPr/>
          <w:p>
            <w:pPr>
              <w:pStyle w:val="TableContents"/>
            </w:pPr>
            <w:r>
              <w:t>ISO</w:t>
            </w:r>
          </w:p>
        </w:tc>
        <w:tc>
          <w:tcPr/>
          <w:p>
            <w:pPr>
              <w:pStyle w:val="TableContents"/>
            </w:pPr>
            <w:r>
              <w:t>International Organization for Standardization — the international body that develops and publishes voluntary international standards, including those referenced for vibration measurement and ergonomic assessment methodologies.</w:t>
            </w:r>
          </w:p>
        </w:tc>
      </w:tr>
      <w:tr>
        <w:tc>
          <w:tcPr/>
          <w:p>
            <w:pPr>
              <w:pStyle w:val="TableContents"/>
            </w:pPr>
            <w:r>
              <w:t>AS</w:t>
            </w:r>
          </w:p>
        </w:tc>
        <w:tc>
          <w:tcPr/>
          <w:p>
            <w:pPr>
              <w:pStyle w:val="TableContents"/>
            </w:pPr>
            <w:r>
              <w:t>Australian Standard — a standard published by Standards Australia, the peak non-government standards body in Australia, referenced for occupational health and ergonomic assessment requirements on Australian-based Rio Tinto projects.</w:t>
            </w:r>
          </w:p>
        </w:tc>
      </w:tr>
      <w:tr>
        <w:tc>
          <w:tcPr/>
          <w:p>
            <w:pPr>
              <w:pStyle w:val="TableContents"/>
            </w:pPr>
            <w:r>
              <w:t>PCBU</w:t>
            </w:r>
          </w:p>
        </w:tc>
        <w:tc>
          <w:tcPr/>
          <w:p>
            <w:pPr>
              <w:pStyle w:val="TableContents"/>
            </w:pPr>
            <w:r>
              <w:t>Person Conducting a Business or Undertaking — a term defined under Australian Work Health and Safety legislation that describes the legal entity with primary duties to ensure health and safety of workers and others affected by the work.</w:t>
            </w:r>
          </w:p>
        </w:tc>
      </w:tr>
      <w:tr>
        <w:tc>
          <w:tcPr/>
          <w:p>
            <w:pPr>
              <w:pStyle w:val="TableContents"/>
            </w:pPr>
            <w:r>
              <w:t>SWMS</w:t>
            </w:r>
          </w:p>
        </w:tc>
        <w:tc>
          <w:tcPr/>
          <w:p>
            <w:pPr>
              <w:pStyle w:val="TableContents"/>
            </w:pPr>
            <w:r>
              <w:t>Safe Work Method Statement — a document required for high-risk construction work that identifies work activities, associated hazards, and the control measures to be implemented and monitored during the work.</w:t>
            </w:r>
          </w:p>
        </w:tc>
      </w:tr>
      <w:tr>
        <w:tc>
          <w:tcPr/>
          <w:p>
            <w:pPr>
              <w:pStyle w:val="TableContents"/>
            </w:pPr>
            <w:r>
              <w:t>MHO</w:t>
            </w:r>
          </w:p>
        </w:tc>
        <w:tc>
          <w:tcPr/>
          <w:p>
            <w:pPr>
              <w:pStyle w:val="TableContents"/>
            </w:pPr>
            <w:r>
              <w:t>Manual Handling Operations — activities requiring the use of force by a person to lift, lower, push, pull, carry, move, hold, or restrain an object, person, or animal.</w:t>
            </w:r>
          </w:p>
        </w:tc>
      </w:tr>
      <w:tr>
        <w:tc>
          <w:tcPr/>
          <w:p>
            <w:pPr>
              <w:pStyle w:val="TableContents"/>
            </w:pPr>
            <w:r>
              <w:t>BMI</w:t>
            </w:r>
          </w:p>
        </w:tc>
        <w:tc>
          <w:tcPr/>
          <w:p>
            <w:pPr>
              <w:pStyle w:val="TableContents"/>
            </w:pPr>
            <w:r>
              <w:t>Body Mass Index — a measure of body weight relative to height used in health surveillance and fitness for work assessments to identify individuals who may be at increased risk of musculoskeletal disorders.</w:t>
            </w:r>
          </w:p>
        </w:tc>
      </w:tr>
      <w:tr>
        <w:tc>
          <w:tcPr/>
          <w:p>
            <w:pPr>
              <w:pStyle w:val="TableContents"/>
            </w:pPr>
            <w:r>
              <w:t>OHN</w:t>
            </w:r>
          </w:p>
        </w:tc>
        <w:tc>
          <w:tcPr/>
          <w:p>
            <w:pPr>
              <w:pStyle w:val="TableContents"/>
            </w:pPr>
            <w:r>
              <w:t>Occupational Health Nurse — a registered nurse with specialist training in occupational health who provides health surveillance, injury management, and early intervention services in the workplace.</w:t>
            </w:r>
          </w:p>
        </w:tc>
      </w:tr>
      <w:tr>
        <w:tc>
          <w:tcPr/>
          <w:p>
            <w:pPr>
              <w:pStyle w:val="TableContents"/>
            </w:pPr>
            <w:r>
              <w:t>OH</w:t>
            </w:r>
          </w:p>
        </w:tc>
        <w:tc>
          <w:tcPr/>
          <w:p>
            <w:pPr>
              <w:pStyle w:val="TableContents"/>
            </w:pPr>
            <w:r>
              <w:t>Occupational Health — the branch of health concerned with anticipating, recognising, evaluating, and controlling hazards in the workplace that may result in injury or illness to workers.</w:t>
            </w:r>
          </w:p>
        </w:tc>
      </w:tr>
      <w:tr>
        <w:tc>
          <w:tcPr/>
          <w:p>
            <w:pPr>
              <w:pStyle w:val="TableContents"/>
            </w:pPr>
            <w:r>
              <w:t>SWL</w:t>
            </w:r>
          </w:p>
        </w:tc>
        <w:tc>
          <w:tcPr/>
          <w:p>
            <w:pPr>
              <w:pStyle w:val="TableContents"/>
            </w:pPr>
            <w:r>
              <w:t>Safe Working Load — the maximum load or weight that a piece of lifting or mechanical handling equipment is designed and rated to handle safely under specified conditions.</w:t>
            </w:r>
          </w:p>
        </w:tc>
      </w:tr>
      <w:tr>
        <w:tc>
          <w:tcPr/>
          <w:p>
            <w:pPr>
              <w:pStyle w:val="TableContents"/>
            </w:pPr>
            <w:r>
              <w:t>DOHRS</w:t>
            </w:r>
          </w:p>
        </w:tc>
        <w:tc>
          <w:tcPr/>
          <w:p>
            <w:pPr>
              <w:pStyle w:val="TableContents"/>
            </w:pPr>
            <w:r>
              <w:t>Discomfort, Aches and Pains Survey — a health surveillance tool used in musculoskeletal disorder early intervention programs to identify body regions where workers are experiencing discomfort before it develops into a recordable injury.</w:t>
            </w:r>
          </w:p>
        </w:tc>
      </w:tr>
      <w:tr>
        <w:tc>
          <w:tcPr/>
          <w:p>
            <w:pPr>
              <w:pStyle w:val="TableContents"/>
            </w:pPr>
            <w:r>
              <w:t>THS</w:t>
            </w:r>
          </w:p>
        </w:tc>
        <w:tc>
          <w:tcPr/>
          <w:p>
            <w:pPr>
              <w:pStyle w:val="TableContents"/>
            </w:pPr>
            <w:r>
              <w:t>Task Hazard Summary — a documented summary of hazards and associated controls for a defined work task, used as part of the project risk and manual task management process.</w:t>
            </w:r>
          </w:p>
        </w:tc>
      </w:tr>
      <w:tr>
        <w:tc>
          <w:tcPr/>
          <w:p>
            <w:pPr>
              <w:pStyle w:val="TableContents"/>
            </w:pPr>
            <w:r>
              <w:t>COSHH</w:t>
            </w:r>
          </w:p>
        </w:tc>
        <w:tc>
          <w:tcPr/>
          <w:p>
            <w:pPr>
              <w:pStyle w:val="TableContents"/>
            </w:pPr>
            <w:r>
              <w:t>Control of Substances Hazardous to Health — a regulatory framework (originating in the United Kingdom and referenced in some Rio Tinto operational contexts) for assessing and controlling health risks from hazardous substances in the workplace.</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Fitness for Work Procedure</w:t>
            </w:r>
          </w:p>
        </w:tc>
        <w:tc>
          <w:tcPr/>
          <w:p>
            <w:pPr>
              <w:pStyle w:val="TableContents"/>
            </w:pPr>
            <w:r>
              <w:t>RTPR-HSE-PRO-0006</w:t>
            </w:r>
          </w:p>
        </w:tc>
        <w:tc>
          <w:tcPr/>
          <w:p>
            <w:pPr>
              <w:pStyle w:val="TableContents"/>
            </w:pPr>
            <w:r>
              <w:t>Internal procedure</w:t>
            </w:r>
          </w:p>
        </w:tc>
      </w:tr>
      <w:tr>
        <w:tc>
          <w:tcPr/>
          <w:p>
            <w:pPr>
              <w:pStyle w:val="TableContents"/>
            </w:pPr>
            <w:r>
              <w:t>Personal Protective Equipment (PPE) Procedure</w:t>
            </w:r>
          </w:p>
        </w:tc>
        <w:tc>
          <w:tcPr/>
          <w:p>
            <w:pPr>
              <w:pStyle w:val="TableContents"/>
            </w:pPr>
            <w:r>
              <w:t>RTPR-HSE-PRO-0027</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Manual Task Risk Assessment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Health Standard</w:t>
            </w:r>
          </w:p>
        </w:tc>
        <w:tc>
          <w:tcPr/>
          <w:p>
            <w:pPr>
              <w:pStyle w:val="TableContents"/>
            </w:pPr>
            <w:r>
              <w:t>RT Health Standard</w:t>
            </w:r>
          </w:p>
        </w:tc>
        <w:tc>
          <w:tcPr/>
          <w:p>
            <w:pPr>
              <w:pStyle w:val="TableContents"/>
            </w:pPr>
            <w:r>
              <w:t>External RT</w:t>
            </w:r>
          </w:p>
        </w:tc>
      </w:tr>
      <w:tr>
        <w:tc>
          <w:tcPr/>
          <w:p>
            <w:pPr>
              <w:pStyle w:val="TableContents"/>
            </w:pPr>
            <w:r>
              <w:t>Rio Tinto Occupational Hygiene Standard</w:t>
            </w:r>
          </w:p>
        </w:tc>
        <w:tc>
          <w:tcPr/>
          <w:p>
            <w:pPr>
              <w:pStyle w:val="TableContents"/>
            </w:pPr>
            <w:r>
              <w:t>RT Occupational Hygiene Standard</w:t>
            </w:r>
          </w:p>
        </w:tc>
        <w:tc>
          <w:tcPr/>
          <w:p>
            <w:pPr>
              <w:pStyle w:val="TableContents"/>
            </w:pPr>
            <w:r>
              <w:t>External RT</w:t>
            </w:r>
          </w:p>
        </w:tc>
      </w:tr>
      <w:tr>
        <w:tc>
          <w:tcPr/>
          <w:p>
            <w:pPr>
              <w:pStyle w:val="TableContents"/>
            </w:pPr>
            <w:r>
              <w:t>Work Health and Safety Act 2011 (Cth)</w:t>
            </w:r>
          </w:p>
        </w:tc>
        <w:tc>
          <w:tcPr/>
          <w:p>
            <w:pPr>
              <w:pStyle w:val="TableContents"/>
            </w:pPr>
            <w:r>
              <w:t>WHS Act 2011</w:t>
            </w:r>
          </w:p>
        </w:tc>
        <w:tc>
          <w:tcPr/>
          <w:p>
            <w:pPr>
              <w:pStyle w:val="TableContents"/>
            </w:pPr>
            <w:r>
              <w:t>External framework</w:t>
            </w:r>
          </w:p>
        </w:tc>
      </w:tr>
      <w:tr>
        <w:tc>
          <w:tcPr/>
          <w:p>
            <w:pPr>
              <w:pStyle w:val="TableContents"/>
            </w:pPr>
            <w:r>
              <w:t>Work Health and Safety Regulations 2011 (Cth)</w:t>
            </w:r>
          </w:p>
        </w:tc>
        <w:tc>
          <w:tcPr/>
          <w:p>
            <w:pPr>
              <w:pStyle w:val="TableContents"/>
            </w:pPr>
            <w:r>
              <w:t>WHS Regulations 2011</w:t>
            </w:r>
          </w:p>
        </w:tc>
        <w:tc>
          <w:tcPr/>
          <w:p>
            <w:pPr>
              <w:pStyle w:val="TableContents"/>
            </w:pPr>
            <w:r>
              <w:t>External framework</w:t>
            </w:r>
          </w:p>
        </w:tc>
      </w:tr>
      <w:tr>
        <w:tc>
          <w:tcPr/>
          <w:p>
            <w:pPr>
              <w:pStyle w:val="TableContents"/>
            </w:pPr>
            <w:r>
              <w:t>Code of Practice: Hazardous Manual Tasks</w:t>
            </w:r>
          </w:p>
        </w:tc>
        <w:tc>
          <w:tcPr/>
          <w:p>
            <w:pPr>
              <w:pStyle w:val="TableContents"/>
            </w:pPr>
            <w:r>
              <w:t>Safe Work Australia, 2021</w:t>
            </w:r>
          </w:p>
        </w:tc>
        <w:tc>
          <w:tcPr/>
          <w:p>
            <w:pPr>
              <w:pStyle w:val="TableContents"/>
            </w:pPr>
            <w:r>
              <w:t>External framework</w:t>
            </w:r>
          </w:p>
        </w:tc>
      </w:tr>
      <w:tr>
        <w:tc>
          <w:tcPr/>
          <w:p>
            <w:pPr>
              <w:pStyle w:val="TableContents"/>
            </w:pPr>
            <w:r>
              <w:t>Code of Practice: Managing the Work Environment and Facilities</w:t>
            </w:r>
          </w:p>
        </w:tc>
        <w:tc>
          <w:tcPr/>
          <w:p>
            <w:pPr>
              <w:pStyle w:val="TableContents"/>
            </w:pPr>
            <w:r>
              <w:t>Safe Work Australia, 2013</w:t>
            </w:r>
          </w:p>
        </w:tc>
        <w:tc>
          <w:tcPr/>
          <w:p>
            <w:pPr>
              <w:pStyle w:val="TableContents"/>
            </w:pPr>
            <w:r>
              <w:t>External framework</w:t>
            </w:r>
          </w:p>
        </w:tc>
      </w:tr>
      <w:tr>
        <w:tc>
          <w:tcPr/>
          <w:p>
            <w:pPr>
              <w:pStyle w:val="TableContents"/>
            </w:pPr>
            <w:r>
              <w:t>Measurement and Evaluation of Human Exposure to Hand-Transmitted Vibration — Part 1: General Requirements</w:t>
            </w:r>
          </w:p>
        </w:tc>
        <w:tc>
          <w:tcPr/>
          <w:p>
            <w:pPr>
              <w:pStyle w:val="TableContents"/>
            </w:pPr>
            <w:r>
              <w:t>ISO 5349-1:2001</w:t>
            </w:r>
          </w:p>
        </w:tc>
        <w:tc>
          <w:tcPr/>
          <w:p>
            <w:pPr>
              <w:pStyle w:val="TableContents"/>
            </w:pPr>
            <w:r>
              <w:t>External framework</w:t>
            </w:r>
          </w:p>
        </w:tc>
      </w:tr>
      <w:tr>
        <w:tc>
          <w:tcPr/>
          <w:p>
            <w:pPr>
              <w:pStyle w:val="TableContents"/>
            </w:pPr>
            <w:r>
              <w:t>Measurement and Evaluation of Human Exposure to Hand-Transmitted Vibration — Part 2: Practical Guidance for Measurement at the Workplace</w:t>
            </w:r>
          </w:p>
        </w:tc>
        <w:tc>
          <w:tcPr/>
          <w:p>
            <w:pPr>
              <w:pStyle w:val="TableContents"/>
            </w:pPr>
            <w:r>
              <w:t>ISO 5349-2:2001</w:t>
            </w:r>
          </w:p>
        </w:tc>
        <w:tc>
          <w:tcPr/>
          <w:p>
            <w:pPr>
              <w:pStyle w:val="TableContents"/>
            </w:pPr>
            <w:r>
              <w:t>External framework</w:t>
            </w:r>
          </w:p>
        </w:tc>
      </w:tr>
      <w:tr>
        <w:tc>
          <w:tcPr/>
          <w:p>
            <w:pPr>
              <w:pStyle w:val="TableContents"/>
            </w:pPr>
            <w:r>
              <w:t>Mechanical Vibration and Shock — Evaluation of Human Exposure to Whole-Body Vibration — Part 1: General Requirements</w:t>
            </w:r>
          </w:p>
        </w:tc>
        <w:tc>
          <w:tcPr/>
          <w:p>
            <w:pPr>
              <w:pStyle w:val="TableContents"/>
            </w:pPr>
            <w:r>
              <w:t>ISO 2631-1:1997</w:t>
            </w:r>
          </w:p>
        </w:tc>
        <w:tc>
          <w:tcPr/>
          <w:p>
            <w:pPr>
              <w:pStyle w:val="TableContents"/>
            </w:pPr>
            <w:r>
              <w:t>External framework</w:t>
            </w:r>
          </w:p>
        </w:tc>
      </w:tr>
      <w:tr>
        <w:tc>
          <w:tcPr/>
          <w:p>
            <w:pPr>
              <w:pStyle w:val="TableContents"/>
            </w:pPr>
            <w:r>
              <w:t>Ergonomics — Manual Handling — Part 1: Lifting and Carrying</w:t>
            </w:r>
          </w:p>
        </w:tc>
        <w:tc>
          <w:tcPr/>
          <w:p>
            <w:pPr>
              <w:pStyle w:val="TableContents"/>
            </w:pPr>
            <w:r>
              <w:t>ISO 11228-1:2003</w:t>
            </w:r>
          </w:p>
        </w:tc>
        <w:tc>
          <w:tcPr/>
          <w:p>
            <w:pPr>
              <w:pStyle w:val="TableContents"/>
            </w:pPr>
            <w:r>
              <w:t>External framework</w:t>
            </w:r>
          </w:p>
        </w:tc>
      </w:tr>
      <w:tr>
        <w:tc>
          <w:tcPr/>
          <w:p>
            <w:pPr>
              <w:pStyle w:val="TableContents"/>
            </w:pPr>
            <w:r>
              <w:t>Ergonomics — Manual Handling — Part 2: Pushing and Pulling</w:t>
            </w:r>
          </w:p>
        </w:tc>
        <w:tc>
          <w:tcPr/>
          <w:p>
            <w:pPr>
              <w:pStyle w:val="TableContents"/>
            </w:pPr>
            <w:r>
              <w:t>ISO 11228-2:2007</w:t>
            </w:r>
          </w:p>
        </w:tc>
        <w:tc>
          <w:tcPr/>
          <w:p>
            <w:pPr>
              <w:pStyle w:val="TableContents"/>
            </w:pPr>
            <w:r>
              <w:t>External framework</w:t>
            </w:r>
          </w:p>
        </w:tc>
      </w:tr>
      <w:tr>
        <w:tc>
          <w:tcPr/>
          <w:p>
            <w:pPr>
              <w:pStyle w:val="TableContents"/>
            </w:pPr>
            <w:r>
              <w:t>Ergonomics — Manual Handling — Part 3: Handling of Low Loads at High Frequency</w:t>
            </w:r>
          </w:p>
        </w:tc>
        <w:tc>
          <w:tcPr/>
          <w:p>
            <w:pPr>
              <w:pStyle w:val="TableContents"/>
            </w:pPr>
            <w:r>
              <w:t>ISO 11228-3:2007</w:t>
            </w:r>
          </w:p>
        </w:tc>
        <w:tc>
          <w:tcPr/>
          <w:p>
            <w:pPr>
              <w:pStyle w:val="TableContents"/>
            </w:pPr>
            <w:r>
              <w:t>External framework</w:t>
            </w:r>
          </w:p>
        </w:tc>
      </w:tr>
      <w:tr>
        <w:tc>
          <w:tcPr/>
          <w:p>
            <w:pPr>
              <w:pStyle w:val="TableContents"/>
            </w:pPr>
            <w:r>
              <w:t>Applications of Ergonomics to Manual Handling — Guidelines for the Design of Manual Handling Tasks</w:t>
            </w:r>
          </w:p>
        </w:tc>
        <w:tc>
          <w:tcPr/>
          <w:p>
            <w:pPr>
              <w:pStyle w:val="TableContents"/>
            </w:pPr>
            <w:r>
              <w:t>AS 4024.3001:2014</w:t>
            </w:r>
          </w:p>
        </w:tc>
        <w:tc>
          <w:tcPr/>
          <w:p>
            <w:pPr>
              <w:pStyle w:val="TableContents"/>
            </w:pPr>
            <w:r>
              <w:t>External framework</w:t>
            </w:r>
          </w:p>
        </w:tc>
      </w:tr>
      <w:tr>
        <w:tc>
          <w:tcPr/>
          <w:p>
            <w:pPr>
              <w:pStyle w:val="TableContents"/>
            </w:pPr>
            <w:r>
              <w:t>NIOSH Revised Lifting Equation for Manual Lifting Tasks</w:t>
            </w:r>
          </w:p>
        </w:tc>
        <w:tc>
          <w:tcPr/>
          <w:p>
            <w:pPr>
              <w:pStyle w:val="TableContents"/>
            </w:pPr>
            <w:r>
              <w:t>NIOSH Publication No. 94-110, 1994</w:t>
            </w:r>
          </w:p>
        </w:tc>
        <w:tc>
          <w:tcPr/>
          <w:p>
            <w:pPr>
              <w:pStyle w:val="TableContents"/>
            </w:pPr>
            <w:r>
              <w:t>External framework</w:t>
            </w:r>
          </w:p>
        </w:tc>
      </w:tr>
      <w:tr>
        <w:tc>
          <w:tcPr/>
          <w:p>
            <w:pPr>
              <w:pStyle w:val="TableContents"/>
            </w:pPr>
            <w:r>
              <w:t>Rapid Entire Body Assessment (REBA) Methodology</w:t>
            </w:r>
          </w:p>
        </w:tc>
        <w:tc>
          <w:tcPr/>
          <w:p>
            <w:pPr>
              <w:pStyle w:val="TableContents"/>
            </w:pPr>
            <w:r>
              <w:t>Hignett &amp; McAtamney, Applied Ergonomics, 31(2), 2000</w:t>
            </w:r>
          </w:p>
        </w:tc>
        <w:tc>
          <w:tcPr/>
          <w:p>
            <w:pPr>
              <w:pStyle w:val="TableContents"/>
            </w:pPr>
            <w:r>
              <w:t>External framework</w:t>
            </w:r>
          </w:p>
        </w:tc>
      </w:tr>
      <w:tr>
        <w:tc>
          <w:tcPr/>
          <w:p>
            <w:pPr>
              <w:pStyle w:val="TableContents"/>
            </w:pPr>
            <w:r>
              <w:t>Rapid Upper Limb Assessment (RULA) Methodology</w:t>
            </w:r>
          </w:p>
        </w:tc>
        <w:tc>
          <w:tcPr/>
          <w:p>
            <w:pPr>
              <w:pStyle w:val="TableContents"/>
            </w:pPr>
            <w:r>
              <w:t>McAtamney &amp; Corlett, Applied Ergonomics, 24(2), 1993</w:t>
            </w:r>
          </w:p>
        </w:tc>
        <w:tc>
          <w:tcPr/>
          <w:p>
            <w:pPr>
              <w:pStyle w:val="TableContents"/>
            </w:pPr>
            <w:r>
              <w:t>External framework</w:t>
            </w:r>
          </w:p>
        </w:tc>
      </w:tr>
      <w:tr>
        <w:tc>
          <w:tcPr/>
          <w:p>
            <w:pPr>
              <w:pStyle w:val="TableContents"/>
            </w:pPr>
            <w:r>
              <w:t>Safe Work Australia — Guide to Measuring and Assessing Whole-Body Vibration</w:t>
            </w:r>
          </w:p>
        </w:tc>
        <w:tc>
          <w:tcPr/>
          <w:p>
            <w:pPr>
              <w:pStyle w:val="TableContents"/>
            </w:pPr>
            <w:r>
              <w:t>Safe Work Australia, 2015</w:t>
            </w:r>
          </w:p>
        </w:tc>
        <w:tc>
          <w:tcPr/>
          <w:p>
            <w:pPr>
              <w:pStyle w:val="TableContents"/>
            </w:pPr>
            <w:r>
              <w:t>External framework</w:t>
            </w:r>
          </w:p>
        </w:tc>
      </w:tr>
      <w:tr>
        <w:tc>
          <w:tcPr/>
          <w:p>
            <w:pPr>
              <w:pStyle w:val="TableContents"/>
            </w:pPr>
            <w:r>
              <w:t>Safe Work Australia — Guide to Measuring and Assessing Hand-Arm Vibration</w:t>
            </w:r>
          </w:p>
        </w:tc>
        <w:tc>
          <w:tcPr/>
          <w:p>
            <w:pPr>
              <w:pStyle w:val="TableContents"/>
            </w:pPr>
            <w:r>
              <w:t>Safe Work Australia, 2015</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§68</w:t>
            </w:r>
          </w:p>
        </w:tc>
        <w:tc>
          <w:tcPr/>
          <w:p>
            <w:pPr>
              <w:pStyle w:val="TableContents"/>
            </w:pPr>
            <w:r>
              <w:t>Requires risk assessment of workplace design and manual tasks with potential to cause permanent disability, and controls including mechanical aids applying the hierarchy of controls.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§2.5</w:t>
            </w:r>
          </w:p>
        </w:tc>
        <w:tc>
          <w:tcPr/>
          <w:p>
            <w:pPr>
              <w:pStyle w:val="TableContents"/>
            </w:pPr>
            <w:r>
              <w:t>Requires identification of manual handling hazards and implementation of engineering controls as the primary means of managing manual handling risk.</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§2.3</w:t>
            </w:r>
          </w:p>
        </w:tc>
        <w:tc>
          <w:tcPr/>
          <w:p>
            <w:pPr>
              <w:pStyle w:val="TableContents"/>
            </w:pPr>
            <w:r>
              <w:t>Requires engineering and administrative controls for workers with significant vibration exposure, including anti-vibration mountings and exposure time limits.</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5.2</w:t>
            </w:r>
          </w:p>
        </w:tc>
        <w:tc>
          <w:tcPr/>
          <w:p>
            <w:pPr>
              <w:pStyle w:val="TableContents"/>
            </w:pPr>
            <w:r>
              <w:t>Requires health surveillance programmes based on occupational exposures, including MSD symptom reporting and periodic musculoskeletal health assessments for high-risk roles.</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