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Land Disturbance Control and Rehabilitation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Land Disturbance Control and Rehabilitation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land disturbance and vegetation clearance, and for progressively rehabilitating disturbed land through to final closure. It applies from the earliest project works through to post-closure.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land disturbance control and rehabilitation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land disturbance and rehabilitation activities it governs, and the lifecycle phases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the purpose of this procedure and the requirements it establishes for land disturbance control and rehabilitation.</w:t>
      </w:r>
    </w:p>
    <w:p>
      <w:pPr>
        <w:pStyle w:val="NormalNumberedtext"/>
      </w:pPr>
      <w:r>
        <w:t>This procedure establishes the land disturbance control and progressive rehabilitation requirements for the project. It applies to all personnel conducting disturbance, vegetation clearance, topsoil management, and rehabilitation activities under the Owner-Led model.</w:t>
      </w:r>
    </w:p>
    <w:p>
      <w:pPr>
        <w:pStyle w:val="NormalNumberedtext"/>
      </w:pPr>
      <w:r>
        <w:t>This procedure meets the following purpose requirements:</w:t>
      </w:r>
    </w:p>
    <w:p>
      <w:pPr>
        <w:pStyle w:val="NormalNumberedtext"/>
      </w:pPr>
      <w:r>
        <w:t>This procedure governs the following activities:</w:t>
      </w:r>
    </w:p>
    <w:p>
      <w:pPr>
        <w:pStyle w:val="NumberedBulletL1"/>
      </w:pPr>
      <w:r>
        <w:t>Land disturbance approval and pre-disturbance preparation, including permit compliance and heritage protection measures.</w:t>
      </w:r>
    </w:p>
    <w:p>
      <w:pPr>
        <w:pStyle w:val="NumberedBulletL1"/>
      </w:pPr>
      <w:r>
        <w:t>Pre-disturbance topsoil and growth media recovery, storage, and handling.</w:t>
      </w:r>
    </w:p>
    <w:p>
      <w:pPr>
        <w:pStyle w:val="NumberedBulletL1"/>
      </w:pPr>
      <w:r>
        <w:t>Vegetation clearance controls, disturbance boundary management, and minimal footprint requirements.</w:t>
      </w:r>
    </w:p>
    <w:p>
      <w:pPr>
        <w:pStyle w:val="NumberedBulletL1"/>
      </w:pPr>
      <w:r>
        <w:t>Progressive rehabilitation concurrent with disturbance activities.</w:t>
      </w:r>
    </w:p>
    <w:p>
      <w:pPr>
        <w:pStyle w:val="NumberedBulletL1"/>
      </w:pPr>
      <w:r>
        <w:t>Soil erosion monitoring, drainage monitoring, and corrective action thresholds.</w:t>
      </w:r>
    </w:p>
    <w:p>
      <w:pPr>
        <w:pStyle w:val="NumberedBulletL1"/>
      </w:pPr>
      <w:r>
        <w:t>Site demobilisation rehabilitation requirements covering landform reinstatement, revegetation, and infrastructure removal.</w:t>
      </w:r>
    </w:p>
    <w:p>
      <w:pPr>
        <w:pStyle w:val="NormalNumberedtext"/>
      </w:pPr>
      <w:r>
        <w:t>This procedure does not govern pre-clearance fauna surveys or fauna management during clearance - those activities are governed by [INSERT: Project Document Number]. Stormwater controls during rehabilitation are governed by [INSERT: Project Document Number]. Rehabilitation of reactive landforms is governed by [INSERT: Project Document Number]. Rehabilitation performance monitoring programmes are governed by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the project lifecycle phases, personnel, and disturbance activities to which this procedure applies.</w:t>
      </w:r>
    </w:p>
    <w:p>
      <w:pPr>
        <w:pStyle w:val="NormalNumberedtext"/>
      </w:pPr>
      <w:r>
        <w:t>This procedure applies from the commencement of execution through to completion of all demobilisation rehabilitation and verification activities. It applies to Rio Tinto project staff and all contractor organisations conducting work within the project boundary.</w:t>
      </w:r>
    </w:p>
    <w:p>
      <w:pPr>
        <w:pStyle w:val="NormalNumberedtext"/>
      </w:pPr>
      <w:r>
        <w:t>This procedure applies the following scope requirements:</w:t>
      </w:r>
    </w:p>
    <w:p>
      <w:pPr>
        <w:pStyle w:val="NormalNumberedtext"/>
      </w:pPr>
      <w:r>
        <w:t>The following activities and phases are within scope:</w:t>
      </w:r>
    </w:p>
    <w:p>
      <w:pPr>
        <w:pStyle w:val="NumberedBulletL1"/>
      </w:pPr>
      <w:r>
        <w:t>All land disturbance activities within the approved project disturbance boundary from execution through to handover.</w:t>
      </w:r>
    </w:p>
    <w:p>
      <w:pPr>
        <w:pStyle w:val="NumberedBulletL1"/>
      </w:pPr>
      <w:r>
        <w:t>Pre-disturbance approvals, permit compliance, and environmental inspection requirements.</w:t>
      </w:r>
    </w:p>
    <w:p>
      <w:pPr>
        <w:pStyle w:val="NumberedBulletL1"/>
      </w:pPr>
      <w:r>
        <w:t>Vegetation clearance, topsoil stripping, and growth media salvage.</w:t>
      </w:r>
    </w:p>
    <w:p>
      <w:pPr>
        <w:pStyle w:val="NumberedBulletL1"/>
      </w:pPr>
      <w:r>
        <w:t>Progressive rehabilitation planning, execution, and monitoring.</w:t>
      </w:r>
    </w:p>
    <w:p>
      <w:pPr>
        <w:pStyle w:val="NumberedBulletL1"/>
      </w:pPr>
      <w:r>
        <w:t>Demobilisation rehabilitation, verification, and regulatory sign-off.</w:t>
      </w:r>
    </w:p>
    <w:p>
      <w:pPr>
        <w:pStyle w:val="NormalNumberedtext"/>
      </w:pPr>
      <w:r>
        <w:t>Disturbance impact assessment is conducted under the risk management framework established in [INSERT: Project Document Number]. Disturbance approvals, permit conditions, and EIS or ERMP commitments are managed under [INSERT: Project Document Number].</w:t>
      </w:r>
    </w:p>
    <w:p>
      <w:pPr>
        <w:pStyle w:val="NormalNumberedtext"/>
      </w:pPr>
    </w:p>
    <w:p>
      <w:pPr>
        <w:pStyle w:val="Heading1Numbered"/>
        <w:numPr>
          <w:ilvl w:val="0"/>
          <w:numId w:val="1"/>
        </w:numPr>
      </w:pPr>
      <w:r>
        <w:rPr>
          <w:rFonts w:ascii="Arial" w:hAnsi="Arial" w:cs="Arial" w:eastAsia="Arial"/>
        </w:rPr>
        <w:t>Regulatory Compliance and Pre-disturbance Requirements</w:t>
      </w:r>
    </w:p>
    <w:p>
      <w:pPr>
        <w:pStyle w:val="NormalNumberedtext"/>
      </w:pPr>
      <w:r>
        <w:t>This section defines the approvals, permit conditions, biodiversity protection measures, and pre-disturbance preparation requirements that must be in place before any land disturbance commences.</w:t>
      </w:r>
    </w:p>
    <w:p>
      <w:pPr>
        <w:pStyle w:val="NormalNumberedtext"/>
      </w:pPr>
    </w:p>
    <w:p>
      <w:pPr>
        <w:pStyle w:val="Heading2Numbered"/>
        <w:numPr>
          <w:ilvl w:val="1"/>
          <w:numId w:val="1"/>
        </w:numPr>
      </w:pPr>
      <w:r>
        <w:rPr>
          <w:rFonts w:ascii="Arial" w:hAnsi="Arial" w:cs="Arial" w:eastAsia="Arial"/>
        </w:rPr>
        <w:t>Land Disturbance Approval Process</w:t>
      </w:r>
    </w:p>
    <w:p>
      <w:pPr>
        <w:pStyle w:val="NormalNumberedtext"/>
      </w:pPr>
      <w:r>
        <w:t>This section defines the approval sequence, permit compliance obligations, and protection measures required before disturbance commences on any area.</w:t>
      </w:r>
    </w:p>
    <w:p>
      <w:pPr>
        <w:pStyle w:val="NormalNumberedtext"/>
      </w:pPr>
      <w:r>
        <w:t>No land disturbance commences without a current disturbance approval that is consistent with the approved work areas, land use zones, EIS or ERMP commitments, and all applicable permit conditions. Regulatory requirements and permit conditions governing disturbance are identified and tracked under [INSERT: Project Document Number].</w:t>
      </w:r>
    </w:p>
    <w:p>
      <w:pPr>
        <w:pStyle w:val="NormalNumberedtext"/>
      </w:pPr>
      <w:r>
        <w:t>The Project Environmental Advisor confirms the following are in place before any disturbance commences in a new area:</w:t>
      </w:r>
    </w:p>
    <w:p>
      <w:pPr>
        <w:pStyle w:val="NormalNumberedtext"/>
      </w:pPr>
      <w:r>
        <w:t>Pre-disturbance confirmation requirements include:</w:t>
      </w:r>
    </w:p>
    <w:p>
      <w:pPr>
        <w:pStyle w:val="NumberedBulletL1"/>
      </w:pPr>
      <w:r>
        <w:t>A current disturbance approval or permit authorising the specific area and activity.</w:t>
      </w:r>
    </w:p>
    <w:p>
      <w:pPr>
        <w:pStyle w:val="NumberedBulletL1"/>
      </w:pPr>
      <w:r>
        <w:t>Confirmation that heritage surveys and cultural heritage clearances have been completed for the area, consistent with the applicable heritage management plan.</w:t>
      </w:r>
    </w:p>
    <w:p>
      <w:pPr>
        <w:pStyle w:val="NumberedBulletL1"/>
      </w:pPr>
      <w:r>
        <w:t>Confirmation that pre-clearance fauna surveys have been completed per [INSERT: Project Document Number].</w:t>
      </w:r>
    </w:p>
    <w:p>
      <w:pPr>
        <w:pStyle w:val="NumberedBulletL1"/>
      </w:pPr>
      <w:r>
        <w:t>Disturbance boundaries staked, flagged, and GPS-recorded in the field before any clearing equipment is mobilised.</w:t>
      </w:r>
    </w:p>
    <w:p>
      <w:pPr>
        <w:pStyle w:val="NumberedBulletL1"/>
      </w:pPr>
      <w:r>
        <w:t>No-go zones, heritage exclusion zones, and environmentally sensitive areas marked and verified on ground.</w:t>
      </w:r>
    </w:p>
    <w:p>
      <w:pPr>
        <w:pStyle w:val="NumberedBulletL1"/>
      </w:pPr>
      <w:r>
        <w:t>A raise-permit action completed via the site PTW system before commencing work, refer [INSERT: Project Document Number].</w:t>
      </w:r>
    </w:p>
    <w:p>
      <w:pPr>
        <w:pStyle w:val="NormalNumberedtext"/>
      </w:pPr>
      <w:r>
        <w:t>The Project Environmental Advisor maintains a disturbance approval register recording each approved area, the authorising instrument, the expiry date, and the conditions applicable to that area. The register is reviewed monthly and updated when a new approval is granted or a condition changes.</w:t>
      </w:r>
    </w:p>
    <w:p>
      <w:pPr>
        <w:pStyle w:val="NormalNumberedtext"/>
      </w:pPr>
      <w:r>
        <w:rPr>
          <w:b/>
          <w:bCs/>
          <w:color w:val="0059D1"/>
        </w:rPr>
        <w:t>[INSERT: site_disturbance_map] — Insert a site map showing the approved disturbance boundary, no-go zones, heritage protection areas, land use zones, and rehabilitation priority areas. Map must be current and version-controlled.</w:t>
      </w:r>
    </w:p>
    <w:p>
      <w:pPr>
        <w:pStyle w:val="NormalNumberedtext"/>
      </w:pPr>
      <w:r>
        <w:t>Areas of high biodiversity value identified during pre-disturbance surveys are assessed under the mitigation hierarchy, consistent with IFC PS6, before disturbance is approved. The mitigation hierarchy is applied in the order: avoid, minimise, restore, offset. Disturbance of high biodiversity value areas is not approved without documented justification and sign-off by the Project Environmental Advisor and the Rio Tinto representative.</w:t>
      </w:r>
    </w:p>
    <w:p>
      <w:pPr>
        <w:pStyle w:val="NormalNumberedtext"/>
      </w:pPr>
      <w:r>
        <w:t>Upon discovery of fossils, artefacts, or items of cultural or archaeological significance, work in the affected area must cease immediately. The supervisor notifies the Company without delay. All necessary actions are taken to prevent damage or disturbance to the discovery, and work does not resume until the Company provides written direction.</w:t>
      </w:r>
    </w:p>
    <w:p>
      <w:pPr>
        <w:pStyle w:val="NormalNumberedtext"/>
      </w:pPr>
      <w:r>
        <w:t>Upon discovery of significant flora, fauna, ecosystems, or unexpected water sources, work in the affected area must cease immediately. The supervisor notifies the Company without delay, and work does not resume until the Company provides written direction.</w:t>
      </w:r>
    </w:p>
    <w:p>
      <w:pPr>
        <w:pStyle w:val="NormalNumberedtext"/>
      </w:pPr>
      <w:r>
        <w:t>Table 1: Land Disturbance Approval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Disturbance Area / Zone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Authorising Instrument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Approval Reference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Conditions Summary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Expiry Date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Status</w:t>
            </w:r>
          </w:p>
        </w:tc>
      </w:tr>
      <w:tr>
        <w:tc>
          <w:tcPr>
            <w:tcW w:type="dxa" w:w="1504"/>
          </w:tcPr>
          <w:p>
            <w:pPr>
              <w:pStyle w:val="TableContents"/>
              <w:spacing w:before="0" w:after="0" w:line="240" w:lineRule="atLeast"/>
            </w:pPr>
            <w:r>
              <w:rPr>
                <w:rFonts w:ascii="Arial" w:hAnsi="Arial" w:cs="Arial" w:eastAsia="Arial"/>
                <w:b/>
                <w:bCs/>
                <w:color w:val="0059D1"/>
                <w:sz w:val="16"/>
                <w:szCs w:val="16"/>
              </w:rPr>
              <w:t>[INSERT: Area name]</w:t>
            </w:r>
          </w:p>
        </w:tc>
        <w:tc>
          <w:tcPr>
            <w:tcW w:type="dxa" w:w="1504"/>
          </w:tcPr>
          <w:p>
            <w:pPr>
              <w:pStyle w:val="TableContents"/>
              <w:spacing w:before="0" w:after="0" w:line="240" w:lineRule="atLeast"/>
            </w:pPr>
            <w:r>
              <w:rPr>
                <w:rFonts w:ascii="Arial" w:hAnsi="Arial" w:cs="Arial" w:eastAsia="Arial"/>
                <w:b/>
                <w:bCs/>
                <w:color w:val="0059D1"/>
                <w:sz w:val="16"/>
                <w:szCs w:val="16"/>
              </w:rPr>
              <w:t>[INSERT: Permit / approval type]</w:t>
            </w:r>
          </w:p>
        </w:tc>
        <w:tc>
          <w:tcPr>
            <w:tcW w:type="dxa" w:w="1504"/>
          </w:tcPr>
          <w:p>
            <w:pPr>
              <w:pStyle w:val="TableContents"/>
              <w:spacing w:before="0" w:after="0" w:line="240" w:lineRule="atLeast"/>
            </w:pPr>
            <w:r>
              <w:rPr>
                <w:rFonts w:ascii="Arial" w:hAnsi="Arial" w:cs="Arial" w:eastAsia="Arial"/>
                <w:b/>
                <w:bCs/>
                <w:color w:val="0059D1"/>
                <w:sz w:val="16"/>
                <w:szCs w:val="16"/>
              </w:rPr>
              <w:t>[INSERT: Reference number]</w:t>
            </w:r>
          </w:p>
        </w:tc>
        <w:tc>
          <w:tcPr>
            <w:tcW w:type="dxa" w:w="1504"/>
          </w:tcPr>
          <w:p>
            <w:pPr>
              <w:pStyle w:val="TableContents"/>
              <w:spacing w:before="0" w:after="0" w:line="240" w:lineRule="atLeast"/>
            </w:pPr>
            <w:r>
              <w:rPr>
                <w:rFonts w:ascii="Arial" w:hAnsi="Arial" w:cs="Arial" w:eastAsia="Arial"/>
                <w:b/>
                <w:bCs/>
                <w:color w:val="0059D1"/>
                <w:sz w:val="16"/>
                <w:szCs w:val="16"/>
              </w:rPr>
              <w:t>[INSERT: Key conditions]</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Current / Expired]</w:t>
            </w:r>
          </w:p>
        </w:tc>
      </w:tr>
      <w:tr>
        <w:tc>
          <w:tcPr>
            <w:tcW w:type="dxa" w:w="1504"/>
          </w:tcPr>
          <w:p>
            <w:pPr>
              <w:pStyle w:val="TableContents"/>
              <w:spacing w:before="0" w:after="0" w:line="240" w:lineRule="atLeast"/>
            </w:pPr>
            <w:r>
              <w:rPr>
                <w:rFonts w:ascii="Arial" w:hAnsi="Arial" w:cs="Arial" w:eastAsia="Arial"/>
                <w:b/>
                <w:bCs/>
                <w:color w:val="0059D1"/>
                <w:sz w:val="16"/>
                <w:szCs w:val="16"/>
              </w:rPr>
              <w:t>[INSERT: Area name]</w:t>
            </w:r>
          </w:p>
        </w:tc>
        <w:tc>
          <w:tcPr>
            <w:tcW w:type="dxa" w:w="1504"/>
          </w:tcPr>
          <w:p>
            <w:pPr>
              <w:pStyle w:val="TableContents"/>
              <w:spacing w:before="0" w:after="0" w:line="240" w:lineRule="atLeast"/>
            </w:pPr>
            <w:r>
              <w:rPr>
                <w:rFonts w:ascii="Arial" w:hAnsi="Arial" w:cs="Arial" w:eastAsia="Arial"/>
                <w:b/>
                <w:bCs/>
                <w:color w:val="0059D1"/>
                <w:sz w:val="16"/>
                <w:szCs w:val="16"/>
              </w:rPr>
              <w:t>[INSERT: Permit / approval type]</w:t>
            </w:r>
          </w:p>
        </w:tc>
        <w:tc>
          <w:tcPr>
            <w:tcW w:type="dxa" w:w="1504"/>
          </w:tcPr>
          <w:p>
            <w:pPr>
              <w:pStyle w:val="TableContents"/>
              <w:spacing w:before="0" w:after="0" w:line="240" w:lineRule="atLeast"/>
            </w:pPr>
            <w:r>
              <w:rPr>
                <w:rFonts w:ascii="Arial" w:hAnsi="Arial" w:cs="Arial" w:eastAsia="Arial"/>
                <w:b/>
                <w:bCs/>
                <w:color w:val="0059D1"/>
                <w:sz w:val="16"/>
                <w:szCs w:val="16"/>
              </w:rPr>
              <w:t>[INSERT: Reference number]</w:t>
            </w:r>
          </w:p>
        </w:tc>
        <w:tc>
          <w:tcPr>
            <w:tcW w:type="dxa" w:w="1504"/>
          </w:tcPr>
          <w:p>
            <w:pPr>
              <w:pStyle w:val="TableContents"/>
              <w:spacing w:before="0" w:after="0" w:line="240" w:lineRule="atLeast"/>
            </w:pPr>
            <w:r>
              <w:rPr>
                <w:rFonts w:ascii="Arial" w:hAnsi="Arial" w:cs="Arial" w:eastAsia="Arial"/>
                <w:b/>
                <w:bCs/>
                <w:color w:val="0059D1"/>
                <w:sz w:val="16"/>
                <w:szCs w:val="16"/>
              </w:rPr>
              <w:t>[INSERT: Key conditions]</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Current / Expired]</w:t>
            </w:r>
          </w:p>
        </w:tc>
      </w:tr>
    </w:tbl>
    <w:p>
      <w:pPr>
        <w:pStyle w:val="NormalNumberedtext"/>
      </w:pPr>
    </w:p>
    <w:p>
      <w:pPr>
        <w:pStyle w:val="Heading2Numbered"/>
        <w:numPr>
          <w:ilvl w:val="1"/>
          <w:numId w:val="1"/>
        </w:numPr>
      </w:pPr>
      <w:r>
        <w:rPr>
          <w:rFonts w:ascii="Arial" w:hAnsi="Arial" w:cs="Arial" w:eastAsia="Arial"/>
        </w:rPr>
        <w:t>Pre-disturbance Topsoil Recovery Requirements</w:t>
      </w:r>
    </w:p>
    <w:p>
      <w:pPr>
        <w:pStyle w:val="NormalNumberedtext"/>
      </w:pPr>
      <w:r>
        <w:t>This section defines topsoil and growth media salvage requirements, storage locations, handling standards, and maximum stockpile height before disturbance commences.</w:t>
      </w:r>
    </w:p>
    <w:p>
      <w:pPr>
        <w:pStyle w:val="NormalNumberedtext"/>
      </w:pPr>
      <w:r>
        <w:t>Topsoil and suitable growth media are recovered from all safely accessible areas before disturbance commences. Topsoil recovery is sequenced as the first earthworks activity in each new disturbance area and is not deferred or omitted without written approval from the Project Environmental Advisor.</w:t>
      </w:r>
    </w:p>
    <w:p>
      <w:pPr>
        <w:pStyle w:val="NormalNumberedtext"/>
      </w:pPr>
      <w:r>
        <w:t>The Project Environmental Advisor defines topsoil salvage areas before execution commences. The following storage and handling requirements apply to all salvaged topsoil:</w:t>
      </w:r>
    </w:p>
    <w:p>
      <w:pPr>
        <w:pStyle w:val="NormalNumberedtext"/>
      </w:pPr>
      <w:r>
        <w:t>Topsoil storage and handling requirements include:</w:t>
      </w:r>
    </w:p>
    <w:p>
      <w:pPr>
        <w:pStyle w:val="NumberedBulletL1"/>
      </w:pPr>
      <w:r>
        <w:t>Topsoil is stored in designated stockpile areas located outside flood-prone zones, drainage lines, and approved disturbance boundaries.</w:t>
      </w:r>
    </w:p>
    <w:p>
      <w:pPr>
        <w:pStyle w:val="NumberedBulletL1"/>
      </w:pPr>
      <w:r>
        <w:rPr>
          <w:color w:val="C55A11"/>
        </w:rPr>
        <w:t>Maximum topsoil stockpile height is 2 metres to preserve biological activity and soil structure. Stockpiles exceeding 2 metres require written approval from the Project Environmental Advisor.</w:t>
      </w:r>
    </w:p>
    <w:p>
      <w:pPr>
        <w:pStyle w:val="NumberedBulletL1"/>
      </w:pPr>
      <w:r>
        <w:t>Topsoil stockpiles are protected from erosion by establishing a vegetative cover or applying erosion control measures within 30 days of stockpile formation.</w:t>
      </w:r>
    </w:p>
    <w:p>
      <w:pPr>
        <w:pStyle w:val="NumberedBulletL1"/>
      </w:pPr>
      <w:r>
        <w:t>Topsoil stockpiles are managed to prevent weed invasion. Any weed establishment detected during monthly inspections is treated before weed seed set.</w:t>
      </w:r>
    </w:p>
    <w:p>
      <w:pPr>
        <w:pStyle w:val="NumberedBulletL1"/>
      </w:pPr>
      <w:r>
        <w:t>Topsoil from different soil types or salvage zones is stockpiled separately and labelled to enable placement in the correct rehabilitation area.</w:t>
      </w:r>
    </w:p>
    <w:p>
      <w:pPr>
        <w:pStyle w:val="NumberedBulletL1"/>
      </w:pPr>
      <w:r>
        <w:t>Tracking or compaction of topsoil stockpiles by heavy equipment is prohibited. Topsoil is moved using low-ground-pressure equipment wherever practicable.</w:t>
      </w:r>
    </w:p>
    <w:p>
      <w:pPr>
        <w:pStyle w:val="NormalNumberedtext"/>
      </w:pPr>
      <w:r>
        <w:rPr>
          <w:b/>
          <w:bCs/>
          <w:color w:val="0059D1"/>
        </w:rPr>
        <w:t>[INSERT: topsoil_salvage_areas] — Define the project topsoil salvage areas: identify each area by name or map reference, the storage location for each, the applicable maximum stockpile height, and the protection measures required for each stockpile during storage.</w:t>
      </w:r>
    </w:p>
    <w:p>
      <w:pPr>
        <w:pStyle w:val="NormalNumberedtext"/>
      </w:pPr>
      <w:r>
        <w:t>Table 2: Topsoil Salvage and Storage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Salvage Area</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Soil Type / Quality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Storage Location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Max Stockpile Height (m)</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Erosion Protection Method</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Intended Rehabilitation Use</w:t>
            </w:r>
          </w:p>
        </w:tc>
      </w:tr>
      <w:tr>
        <w:tc>
          <w:tcPr>
            <w:tcW w:type="dxa" w:w="1504"/>
          </w:tcPr>
          <w:p>
            <w:pPr>
              <w:pStyle w:val="TableContents"/>
              <w:spacing w:before="0" w:after="0" w:line="240" w:lineRule="atLeast"/>
            </w:pPr>
            <w:r>
              <w:rPr>
                <w:rFonts w:ascii="Arial" w:hAnsi="Arial" w:cs="Arial" w:eastAsia="Arial"/>
                <w:b/>
                <w:bCs/>
                <w:color w:val="0059D1"/>
                <w:sz w:val="16"/>
                <w:szCs w:val="16"/>
              </w:rPr>
              <w:t>[INSERT: Area name]</w:t>
            </w:r>
          </w:p>
        </w:tc>
        <w:tc>
          <w:tcPr>
            <w:tcW w:type="dxa" w:w="1504"/>
          </w:tcPr>
          <w:p>
            <w:pPr>
              <w:pStyle w:val="TableContents"/>
              <w:spacing w:before="0" w:after="0" w:line="240" w:lineRule="atLeast"/>
            </w:pPr>
            <w:r>
              <w:rPr>
                <w:rFonts w:ascii="Arial" w:hAnsi="Arial" w:cs="Arial" w:eastAsia="Arial"/>
                <w:b/>
                <w:bCs/>
                <w:color w:val="0059D1"/>
                <w:sz w:val="16"/>
                <w:szCs w:val="16"/>
              </w:rPr>
              <w:t>[INSERT: Soil type]</w:t>
            </w:r>
          </w:p>
        </w:tc>
        <w:tc>
          <w:tcPr>
            <w:tcW w:type="dxa" w:w="1504"/>
          </w:tcPr>
          <w:p>
            <w:pPr>
              <w:pStyle w:val="TableContents"/>
              <w:spacing w:before="0" w:after="0" w:line="240" w:lineRule="atLeast"/>
            </w:pPr>
            <w:r>
              <w:rPr>
                <w:rFonts w:ascii="Arial" w:hAnsi="Arial" w:cs="Arial" w:eastAsia="Arial"/>
                <w:b/>
                <w:bCs/>
                <w:color w:val="0059D1"/>
                <w:sz w:val="16"/>
                <w:szCs w:val="16"/>
              </w:rPr>
              <w:t>[INSERT: Storage location reference]</w:t>
            </w:r>
          </w:p>
        </w:tc>
        <w:tc>
          <w:tcPr>
            <w:tcW w:type="dxa" w:w="1504"/>
          </w:tcPr>
          <w:p>
            <w:pPr>
              <w:pStyle w:val="TableContents"/>
              <w:spacing w:before="0" w:after="0" w:line="240" w:lineRule="atLeast"/>
            </w:pPr>
            <w:r>
              <w:rPr>
                <w:rFonts w:ascii="Arial" w:hAnsi="Arial" w:cs="Arial" w:eastAsia="Arial"/>
                <w:b/>
                <w:bCs/>
                <w:color w:val="0059D1"/>
                <w:sz w:val="16"/>
                <w:szCs w:val="16"/>
              </w:rPr>
              <w:t>[INSERT: Height]</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6"/>
          </w:tcPr>
          <w:p>
            <w:pPr>
              <w:pStyle w:val="TableContents"/>
              <w:spacing w:before="0" w:after="0" w:line="240" w:lineRule="atLeast"/>
            </w:pPr>
            <w:r>
              <w:rPr>
                <w:rFonts w:ascii="Arial" w:hAnsi="Arial" w:cs="Arial" w:eastAsia="Arial"/>
                <w:b/>
                <w:bCs/>
                <w:color w:val="0059D1"/>
                <w:sz w:val="16"/>
                <w:szCs w:val="16"/>
              </w:rPr>
              <w:t>[INSERT: Target rehabilitation area]</w:t>
            </w:r>
          </w:p>
        </w:tc>
      </w:tr>
      <w:tr>
        <w:tc>
          <w:tcPr>
            <w:tcW w:type="dxa" w:w="1504"/>
          </w:tcPr>
          <w:p>
            <w:pPr>
              <w:pStyle w:val="TableContents"/>
              <w:spacing w:before="0" w:after="0" w:line="240" w:lineRule="atLeast"/>
            </w:pPr>
            <w:r>
              <w:rPr>
                <w:rFonts w:ascii="Arial" w:hAnsi="Arial" w:cs="Arial" w:eastAsia="Arial"/>
                <w:b/>
                <w:bCs/>
                <w:color w:val="0059D1"/>
                <w:sz w:val="16"/>
                <w:szCs w:val="16"/>
              </w:rPr>
              <w:t>[INSERT: Area name]</w:t>
            </w:r>
          </w:p>
        </w:tc>
        <w:tc>
          <w:tcPr>
            <w:tcW w:type="dxa" w:w="1504"/>
          </w:tcPr>
          <w:p>
            <w:pPr>
              <w:pStyle w:val="TableContents"/>
              <w:spacing w:before="0" w:after="0" w:line="240" w:lineRule="atLeast"/>
            </w:pPr>
            <w:r>
              <w:rPr>
                <w:rFonts w:ascii="Arial" w:hAnsi="Arial" w:cs="Arial" w:eastAsia="Arial"/>
                <w:b/>
                <w:bCs/>
                <w:color w:val="0059D1"/>
                <w:sz w:val="16"/>
                <w:szCs w:val="16"/>
              </w:rPr>
              <w:t>[INSERT: Soil type]</w:t>
            </w:r>
          </w:p>
        </w:tc>
        <w:tc>
          <w:tcPr>
            <w:tcW w:type="dxa" w:w="1504"/>
          </w:tcPr>
          <w:p>
            <w:pPr>
              <w:pStyle w:val="TableContents"/>
              <w:spacing w:before="0" w:after="0" w:line="240" w:lineRule="atLeast"/>
            </w:pPr>
            <w:r>
              <w:rPr>
                <w:rFonts w:ascii="Arial" w:hAnsi="Arial" w:cs="Arial" w:eastAsia="Arial"/>
                <w:b/>
                <w:bCs/>
                <w:color w:val="0059D1"/>
                <w:sz w:val="16"/>
                <w:szCs w:val="16"/>
              </w:rPr>
              <w:t>[INSERT: Storage location reference]</w:t>
            </w:r>
          </w:p>
        </w:tc>
        <w:tc>
          <w:tcPr>
            <w:tcW w:type="dxa" w:w="1504"/>
          </w:tcPr>
          <w:p>
            <w:pPr>
              <w:pStyle w:val="TableContents"/>
              <w:spacing w:before="0" w:after="0" w:line="240" w:lineRule="atLeast"/>
            </w:pPr>
            <w:r>
              <w:rPr>
                <w:rFonts w:ascii="Arial" w:hAnsi="Arial" w:cs="Arial" w:eastAsia="Arial"/>
                <w:b/>
                <w:bCs/>
                <w:color w:val="0059D1"/>
                <w:sz w:val="16"/>
                <w:szCs w:val="16"/>
              </w:rPr>
              <w:t>[INSERT: Height]</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6"/>
          </w:tcPr>
          <w:p>
            <w:pPr>
              <w:pStyle w:val="TableContents"/>
              <w:spacing w:before="0" w:after="0" w:line="240" w:lineRule="atLeast"/>
            </w:pPr>
            <w:r>
              <w:rPr>
                <w:rFonts w:ascii="Arial" w:hAnsi="Arial" w:cs="Arial" w:eastAsia="Arial"/>
                <w:b/>
                <w:bCs/>
                <w:color w:val="0059D1"/>
                <w:sz w:val="16"/>
                <w:szCs w:val="16"/>
              </w:rPr>
              <w:t>[INSERT: Target rehabilitation area]</w:t>
            </w:r>
          </w:p>
        </w:tc>
      </w:tr>
    </w:tbl>
    <w:p>
      <w:pPr>
        <w:pStyle w:val="NormalNumberedtext"/>
      </w:pPr>
    </w:p>
    <w:p>
      <w:pPr>
        <w:pStyle w:val="Heading1Numbered"/>
        <w:numPr>
          <w:ilvl w:val="0"/>
          <w:numId w:val="1"/>
        </w:numPr>
      </w:pPr>
      <w:r>
        <w:rPr>
          <w:rFonts w:ascii="Arial" w:hAnsi="Arial" w:cs="Arial" w:eastAsia="Arial"/>
        </w:rPr>
        <w:t>Vegetation Management and Minimal Footprint</w:t>
      </w:r>
    </w:p>
    <w:p>
      <w:pPr>
        <w:pStyle w:val="NormalNumberedtext"/>
      </w:pPr>
      <w:r>
        <w:t>This section defines vegetation clearance controls, disturbance boundary management, seed collection requirements, and progressive rehabilitation obligations applying throughout project execution.</w:t>
      </w:r>
    </w:p>
    <w:p>
      <w:pPr>
        <w:pStyle w:val="NormalNumberedtext"/>
      </w:pPr>
    </w:p>
    <w:p>
      <w:pPr>
        <w:pStyle w:val="Heading2Numbered"/>
        <w:numPr>
          <w:ilvl w:val="1"/>
          <w:numId w:val="1"/>
        </w:numPr>
      </w:pPr>
      <w:r>
        <w:rPr>
          <w:rFonts w:ascii="Arial" w:hAnsi="Arial" w:cs="Arial" w:eastAsia="Arial"/>
        </w:rPr>
        <w:t>Vegetation Clearance Controls</w:t>
      </w:r>
    </w:p>
    <w:p>
      <w:pPr>
        <w:pStyle w:val="NormalNumberedtext"/>
      </w:pPr>
      <w:r>
        <w:t>This section defines the controls required to confine clearance to approved areas and protect retained vegetation and disturbance boundaries.</w:t>
      </w:r>
    </w:p>
    <w:p>
      <w:pPr>
        <w:pStyle w:val="NormalNumberedtext"/>
      </w:pPr>
      <w:r>
        <w:t>All disturbance is confined to approved roads and nominated work areas. No clearance or ground disturbance occurs outside the staked and approved disturbance boundary. The supervisor confirms boundary markers are in place and legible before any clearing equipment commences operations in the area.</w:t>
      </w:r>
    </w:p>
    <w:p>
      <w:pPr>
        <w:pStyle w:val="NormalNumberedtext"/>
      </w:pPr>
      <w:r>
        <w:t>The Project Environmental Advisor confirms the following vegetation clearance controls are in place before each clearance area is opened:</w:t>
      </w:r>
    </w:p>
    <w:p>
      <w:pPr>
        <w:pStyle w:val="NormalNumberedtext"/>
      </w:pPr>
      <w:r>
        <w:t>Vegetation clearance controls include:</w:t>
      </w:r>
    </w:p>
    <w:p>
      <w:pPr>
        <w:pStyle w:val="NumberedBulletL1"/>
      </w:pPr>
      <w:r>
        <w:t>Retained vegetation and disturbance boundaries are surveyed, physically marked with fencing or flagging tape, and recorded by GPS coordinates before clearing equipment enters the area.</w:t>
      </w:r>
    </w:p>
    <w:p>
      <w:pPr>
        <w:pStyle w:val="NumberedBulletL1"/>
      </w:pPr>
      <w:r>
        <w:t>Clearing equipment operators are briefed on the approved disturbance boundary and the location of all no-go zones before commencing operations.</w:t>
      </w:r>
    </w:p>
    <w:p>
      <w:pPr>
        <w:pStyle w:val="NumberedBulletL1"/>
      </w:pPr>
      <w:r>
        <w:t>All vegetation clearing near permitted boundaries or heritage protection areas is conducted using equipment fitted with a Company-approved high-precision GPS guidance system.</w:t>
      </w:r>
    </w:p>
    <w:p>
      <w:pPr>
        <w:pStyle w:val="NumberedBulletL1"/>
      </w:pPr>
      <w:r>
        <w:rPr>
          <w:color w:val="C55A11"/>
        </w:rPr>
        <w:t>A qualified environmental inspector is present during initial boundary establishment in sensitive areas and during clearing operations within 50 metres of a no-go zone or heritage protection area.</w:t>
      </w:r>
    </w:p>
    <w:p>
      <w:pPr>
        <w:pStyle w:val="NumberedBulletL1"/>
      </w:pPr>
      <w:r>
        <w:t>Pre-clearance fauna surveys are completed per [INSERT: Project Document Number] before clearing commences in each new area.</w:t>
      </w:r>
    </w:p>
    <w:p>
      <w:pPr>
        <w:pStyle w:val="NumberedBulletL1"/>
      </w:pPr>
      <w:r>
        <w:t>Seed collection from locally-provenant species is conducted before clearance where a seed collection programme has been specified for the project.</w:t>
      </w:r>
    </w:p>
    <w:p>
      <w:pPr>
        <w:pStyle w:val="NormalNumberedtext"/>
      </w:pPr>
      <w:r>
        <w:t>The Project Environmental Advisor maintains a vegetation clearance log recording each cleared area, the date of clearance, the clearing crew, and the pre-clearance confirmation sign-off. The log is reviewed at each monthly environmental inspection.</w:t>
      </w:r>
    </w:p>
    <w:p>
      <w:pPr>
        <w:pStyle w:val="NormalNumberedtext"/>
      </w:pPr>
      <w:r>
        <w:t>Integrated approaches to land-use planning, including avoidance of unnecessary clearing and retention of vegetation buffers, are applied at the planning stage of each construction activity to contribute to biodiversity conservation consistent with ICMM Principle 7.</w:t>
      </w:r>
    </w:p>
    <w:p>
      <w:pPr>
        <w:pStyle w:val="NormalNumberedtext"/>
      </w:pPr>
    </w:p>
    <w:p>
      <w:pPr>
        <w:pStyle w:val="Heading2Numbered"/>
        <w:numPr>
          <w:ilvl w:val="1"/>
          <w:numId w:val="1"/>
        </w:numPr>
      </w:pPr>
      <w:r>
        <w:rPr>
          <w:rFonts w:ascii="Arial" w:hAnsi="Arial" w:cs="Arial" w:eastAsia="Arial"/>
        </w:rPr>
        <w:t>Progressive Rehabilitation Requirements</w:t>
      </w:r>
    </w:p>
    <w:p>
      <w:pPr>
        <w:pStyle w:val="NormalNumberedtext"/>
      </w:pPr>
      <w:r>
        <w:t>This section defines progressive rehabilitation obligations, the project footprint management approach, and the annual rehabilitation schedule.</w:t>
      </w:r>
    </w:p>
    <w:p>
      <w:pPr>
        <w:pStyle w:val="NormalNumberedtext"/>
      </w:pPr>
      <w:r>
        <w:t>Progressive rehabilitation is conducted concurrent with disturbance activities throughout project execution. Areas no longer required for active construction are rehabilitated as soon as practicable and are not left in a disturbed state beyond the end of the rehabilitation window defined in the project schedule.</w:t>
      </w:r>
    </w:p>
    <w:p>
      <w:pPr>
        <w:pStyle w:val="NormalNumberedtext"/>
      </w:pPr>
      <w:r>
        <w:t>The project footprint is managed to remain consistent with approved mine plans, project budgets, and closure assumptions at all times. The Project Environmental Advisor reviews the current disturbed area against the approved footprint at each monthly environmental inspection and reports any exceedance to the Project Manager.</w:t>
      </w:r>
    </w:p>
    <w:p>
      <w:pPr>
        <w:pStyle w:val="NormalNumberedtext"/>
      </w:pPr>
      <w:r>
        <w:t>Mine closure strategies are integrated into land-use planning and rehabilitation design from the outset of execution, consistent with ICMM Principle 7. Rehabilitation design is informed by agreed post-mining land use outcomes and the closure assumptions documented in the project closure plan.</w:t>
      </w:r>
    </w:p>
    <w:p>
      <w:pPr>
        <w:pStyle w:val="NormalNumberedtext"/>
      </w:pPr>
      <w:r>
        <w:rPr>
          <w:b/>
          <w:bCs/>
          <w:color w:val="0059D1"/>
        </w:rPr>
        <w:t>[INSERT: progressive_rehabilitation_schedule] — Define the project progressive rehabilitation schedule: list each area targeted for rehabilitation by calendar year, the annual rehabilitation target area in hectares, and the responsible party for each area.</w:t>
      </w:r>
    </w:p>
    <w:p>
      <w:pPr>
        <w:pStyle w:val="NormalNumberedtext"/>
      </w:pPr>
      <w:r>
        <w:t>Table 3: Progressive Rehabilitation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Rehabilitation Area</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Priority</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Target Rehabilitation Year</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Target Area (ha)</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Rehabilitation Method</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504"/>
          </w:tcPr>
          <w:p>
            <w:pPr>
              <w:pStyle w:val="TableContents"/>
              <w:spacing w:before="0" w:after="0" w:line="240" w:lineRule="atLeast"/>
            </w:pPr>
            <w:r>
              <w:rPr>
                <w:rFonts w:ascii="Arial" w:hAnsi="Arial" w:cs="Arial" w:eastAsia="Arial"/>
                <w:b/>
                <w:bCs/>
                <w:color w:val="0059D1"/>
                <w:sz w:val="16"/>
                <w:szCs w:val="16"/>
              </w:rPr>
              <w:t>[INSERT: Area name]</w:t>
            </w:r>
          </w:p>
        </w:tc>
        <w:tc>
          <w:tcPr>
            <w:tcW w:type="dxa" w:w="1504"/>
          </w:tcPr>
          <w:p>
            <w:pPr>
              <w:pStyle w:val="TableContents"/>
              <w:spacing w:before="0" w:after="0" w:line="240" w:lineRule="atLeast"/>
            </w:pPr>
            <w:r>
              <w:rPr>
                <w:rFonts w:ascii="Arial" w:hAnsi="Arial" w:cs="Arial" w:eastAsia="Arial"/>
                <w:b/>
                <w:bCs/>
                <w:color w:val="0059D1"/>
                <w:sz w:val="16"/>
                <w:szCs w:val="16"/>
              </w:rPr>
              <w:t>[INSERT: Priority ranking]</w:t>
            </w:r>
          </w:p>
        </w:tc>
        <w:tc>
          <w:tcPr>
            <w:tcW w:type="dxa" w:w="1504"/>
          </w:tcPr>
          <w:p>
            <w:pPr>
              <w:pStyle w:val="TableContents"/>
              <w:spacing w:before="0" w:after="0" w:line="240" w:lineRule="atLeast"/>
            </w:pPr>
            <w:r>
              <w:rPr>
                <w:rFonts w:ascii="Arial" w:hAnsi="Arial" w:cs="Arial" w:eastAsia="Arial"/>
                <w:b/>
                <w:bCs/>
                <w:color w:val="0059D1"/>
                <w:sz w:val="16"/>
                <w:szCs w:val="16"/>
              </w:rPr>
              <w:t>[INSERT: Year]</w:t>
            </w:r>
          </w:p>
        </w:tc>
        <w:tc>
          <w:tcPr>
            <w:tcW w:type="dxa" w:w="1504"/>
          </w:tcPr>
          <w:p>
            <w:pPr>
              <w:pStyle w:val="TableContents"/>
              <w:spacing w:before="0" w:after="0" w:line="240" w:lineRule="atLeast"/>
            </w:pPr>
            <w:r>
              <w:rPr>
                <w:rFonts w:ascii="Arial" w:hAnsi="Arial" w:cs="Arial" w:eastAsia="Arial"/>
                <w:b/>
                <w:bCs/>
                <w:color w:val="0059D1"/>
                <w:sz w:val="16"/>
                <w:szCs w:val="16"/>
              </w:rPr>
              <w:t>[INSERT: ha]</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504"/>
          </w:tcPr>
          <w:p>
            <w:pPr>
              <w:pStyle w:val="TableContents"/>
              <w:spacing w:before="0" w:after="0" w:line="240" w:lineRule="atLeast"/>
            </w:pPr>
            <w:r>
              <w:rPr>
                <w:rFonts w:ascii="Arial" w:hAnsi="Arial" w:cs="Arial" w:eastAsia="Arial"/>
                <w:b/>
                <w:bCs/>
                <w:color w:val="0059D1"/>
                <w:sz w:val="16"/>
                <w:szCs w:val="16"/>
              </w:rPr>
              <w:t>[INSERT: Area name]</w:t>
            </w:r>
          </w:p>
        </w:tc>
        <w:tc>
          <w:tcPr>
            <w:tcW w:type="dxa" w:w="1504"/>
          </w:tcPr>
          <w:p>
            <w:pPr>
              <w:pStyle w:val="TableContents"/>
              <w:spacing w:before="0" w:after="0" w:line="240" w:lineRule="atLeast"/>
            </w:pPr>
            <w:r>
              <w:rPr>
                <w:rFonts w:ascii="Arial" w:hAnsi="Arial" w:cs="Arial" w:eastAsia="Arial"/>
                <w:b/>
                <w:bCs/>
                <w:color w:val="0059D1"/>
                <w:sz w:val="16"/>
                <w:szCs w:val="16"/>
              </w:rPr>
              <w:t>[INSERT: Priority ranking]</w:t>
            </w:r>
          </w:p>
        </w:tc>
        <w:tc>
          <w:tcPr>
            <w:tcW w:type="dxa" w:w="1504"/>
          </w:tcPr>
          <w:p>
            <w:pPr>
              <w:pStyle w:val="TableContents"/>
              <w:spacing w:before="0" w:after="0" w:line="240" w:lineRule="atLeast"/>
            </w:pPr>
            <w:r>
              <w:rPr>
                <w:rFonts w:ascii="Arial" w:hAnsi="Arial" w:cs="Arial" w:eastAsia="Arial"/>
                <w:b/>
                <w:bCs/>
                <w:color w:val="0059D1"/>
                <w:sz w:val="16"/>
                <w:szCs w:val="16"/>
              </w:rPr>
              <w:t>[INSERT: Year]</w:t>
            </w:r>
          </w:p>
        </w:tc>
        <w:tc>
          <w:tcPr>
            <w:tcW w:type="dxa" w:w="1504"/>
          </w:tcPr>
          <w:p>
            <w:pPr>
              <w:pStyle w:val="TableContents"/>
              <w:spacing w:before="0" w:after="0" w:line="240" w:lineRule="atLeast"/>
            </w:pPr>
            <w:r>
              <w:rPr>
                <w:rFonts w:ascii="Arial" w:hAnsi="Arial" w:cs="Arial" w:eastAsia="Arial"/>
                <w:b/>
                <w:bCs/>
                <w:color w:val="0059D1"/>
                <w:sz w:val="16"/>
                <w:szCs w:val="16"/>
              </w:rPr>
              <w:t>[INSERT: ha]</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6"/>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NormalNumberedtext"/>
      </w:pPr>
      <w:r>
        <w:t>A Rehabilitation and Closure Plan is prepared as a project deliverable and submitted to the Company before disturbance commences or at the milestone defined in the project contract. The plan addresses closure and rehabilitation of all disturbed areas, success criteria, and post-rehabilitation monitoring requirements.</w:t>
      </w:r>
    </w:p>
    <w:p>
      <w:pPr>
        <w:pStyle w:val="NormalNumberedtext"/>
      </w:pPr>
      <w:r>
        <w:rPr>
          <w:b/>
          <w:bCs/>
          <w:color w:val="0059D1"/>
        </w:rPr>
        <w:t>[INSERT: rehabilitation_closure_plan_reference] — Insert the document reference and submission milestone for the project Rehabilitation and Closure Plan.</w:t>
      </w:r>
    </w:p>
    <w:p>
      <w:pPr>
        <w:pStyle w:val="NormalNumberedtext"/>
      </w:pPr>
    </w:p>
    <w:p>
      <w:pPr>
        <w:pStyle w:val="Heading1Numbered"/>
        <w:numPr>
          <w:ilvl w:val="0"/>
          <w:numId w:val="1"/>
        </w:numPr>
      </w:pPr>
      <w:r>
        <w:rPr>
          <w:rFonts w:ascii="Arial" w:hAnsi="Arial" w:cs="Arial" w:eastAsia="Arial"/>
        </w:rPr>
        <w:t>Monitoring and Progressive Rehabilitation Performance</w:t>
      </w:r>
    </w:p>
    <w:p>
      <w:pPr>
        <w:pStyle w:val="NormalNumberedtext"/>
      </w:pPr>
      <w:r>
        <w:t>This section defines soil erosion monitoring, drainage monitoring, rehabilitation performance criteria, reporting intervals, and adaptive management requirements applying during execution and rehabilitation.</w:t>
      </w:r>
    </w:p>
    <w:p>
      <w:pPr>
        <w:pStyle w:val="NormalNumberedtext"/>
      </w:pPr>
    </w:p>
    <w:p>
      <w:pPr>
        <w:pStyle w:val="Heading2Numbered"/>
        <w:numPr>
          <w:ilvl w:val="1"/>
          <w:numId w:val="1"/>
        </w:numPr>
      </w:pPr>
      <w:r>
        <w:rPr>
          <w:rFonts w:ascii="Arial" w:hAnsi="Arial" w:cs="Arial" w:eastAsia="Arial"/>
        </w:rPr>
        <w:t>Soil Erosion and Drainage Monitoring</w:t>
      </w:r>
    </w:p>
    <w:p>
      <w:pPr>
        <w:pStyle w:val="NormalNumberedtext"/>
      </w:pPr>
      <w:r>
        <w:t>This section defines erosion and drainage monitoring requirements, inspection frequency, trigger thresholds, and corrective action obligations.</w:t>
      </w:r>
    </w:p>
    <w:p>
      <w:pPr>
        <w:pStyle w:val="NormalNumberedtext"/>
      </w:pPr>
      <w:r>
        <w:t>Soil erosion monitoring is conducted across all actively disturbed areas, all topsoil stockpiles, and all rehabilitated areas. Monitoring covers rill and gully formation, surface crust condition, sediment deposition, and erosion of rehabilitated slopes.</w:t>
      </w:r>
    </w:p>
    <w:p>
      <w:pPr>
        <w:pStyle w:val="NormalNumberedtext"/>
      </w:pPr>
      <w:r>
        <w:t>Drainage line and watercourse monitoring is conducted to detect sedimentation, channel incision, bank erosion, and water quality impacts associated with disturbance activities. Stormwater controls during rehabilitation are applied per [INSERT: Project Document Number].</w:t>
      </w:r>
    </w:p>
    <w:p>
      <w:pPr>
        <w:pStyle w:val="NormalNumberedtext"/>
      </w:pPr>
      <w:r>
        <w:t>Table 4: Erosion and Drainage Monitoring Programme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Monitoring Location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Monitoring Frequency</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Method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Trigger Threshold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Corrective Action</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289"/>
          </w:tcPr>
          <w:p>
            <w:pPr>
              <w:pStyle w:val="TableContents"/>
              <w:spacing w:before="0" w:after="0" w:line="240" w:lineRule="atLeast"/>
            </w:pPr>
            <w:r>
              <w:rPr>
                <w:rFonts w:ascii="Arial" w:hAnsi="Arial" w:cs="Arial" w:eastAsia="Arial"/>
                <w:sz w:val="16"/>
                <w:szCs w:val="16"/>
              </w:rPr>
              <w:t>Disturbed areas and stockpiles</w:t>
            </w:r>
          </w:p>
        </w:tc>
        <w:tc>
          <w:tcPr>
            <w:tcW w:type="dxa" w:w="1289"/>
          </w:tcPr>
          <w:p>
            <w:pPr>
              <w:pStyle w:val="TableContents"/>
              <w:spacing w:before="0" w:after="0" w:line="240" w:lineRule="atLeast"/>
            </w:pPr>
            <w:r>
              <w:rPr>
                <w:rFonts w:ascii="Arial" w:hAnsi="Arial" w:cs="Arial" w:eastAsia="Arial"/>
                <w:sz w:val="16"/>
                <w:szCs w:val="16"/>
              </w:rPr>
              <w:t>Rill or gully formation</w:t>
            </w:r>
          </w:p>
        </w:tc>
        <w:tc>
          <w:tcPr>
            <w:tcW w:type="dxa" w:w="1289"/>
          </w:tcPr>
          <w:p>
            <w:pPr>
              <w:pStyle w:val="TableContents"/>
              <w:spacing w:before="0" w:after="0" w:line="240" w:lineRule="atLeast"/>
            </w:pPr>
            <w:r>
              <w:rPr>
                <w:rFonts w:ascii="Arial" w:hAnsi="Arial" w:cs="Arial" w:eastAsia="Arial"/>
                <w:sz w:val="16"/>
                <w:szCs w:val="16"/>
              </w:rPr>
              <w:t>Monthly and within 48 hours of a rainfall event exceeding 25 mm</w:t>
            </w:r>
          </w:p>
        </w:tc>
        <w:tc>
          <w:tcPr>
            <w:tcW w:type="dxa" w:w="1289"/>
          </w:tcPr>
          <w:p>
            <w:pPr>
              <w:pStyle w:val="TableContents"/>
              <w:spacing w:before="0" w:after="0" w:line="240" w:lineRule="atLeast"/>
            </w:pPr>
            <w:r>
              <w:rPr>
                <w:rFonts w:ascii="Arial" w:hAnsi="Arial" w:cs="Arial" w:eastAsia="Arial"/>
                <w:sz w:val="16"/>
                <w:szCs w:val="16"/>
              </w:rPr>
              <w:t>Visual inspection and photographic record</w:t>
            </w:r>
          </w:p>
        </w:tc>
        <w:tc>
          <w:tcPr>
            <w:tcW w:type="dxa" w:w="1289"/>
          </w:tcPr>
          <w:p>
            <w:pPr>
              <w:pStyle w:val="TableContents"/>
              <w:spacing w:before="0" w:after="0" w:line="240" w:lineRule="atLeast"/>
            </w:pPr>
            <w:r>
              <w:rPr>
                <w:rFonts w:ascii="Arial" w:hAnsi="Arial" w:cs="Arial" w:eastAsia="Arial"/>
                <w:sz w:val="16"/>
                <w:szCs w:val="16"/>
              </w:rPr>
              <w:t>Any rill exceeding 100 mm depth or 500 mm length</w:t>
            </w:r>
          </w:p>
        </w:tc>
        <w:tc>
          <w:tcPr>
            <w:tcW w:type="dxa" w:w="1289"/>
          </w:tcPr>
          <w:p>
            <w:pPr>
              <w:pStyle w:val="TableContents"/>
              <w:spacing w:before="0" w:after="0" w:line="240" w:lineRule="atLeast"/>
            </w:pPr>
            <w:r>
              <w:rPr>
                <w:rFonts w:ascii="Arial" w:hAnsi="Arial" w:cs="Arial" w:eastAsia="Arial"/>
                <w:sz w:val="16"/>
                <w:szCs w:val="16"/>
              </w:rPr>
              <w:t>Cease activity in affected area, install temporary erosion controls, notify Project Environmental Advisor</w:t>
            </w:r>
          </w:p>
        </w:tc>
        <w:tc>
          <w:tcPr>
            <w:tcW w:type="dxa" w:w="1292"/>
          </w:tcPr>
          <w:p>
            <w:pPr>
              <w:pStyle w:val="TableContents"/>
              <w:spacing w:before="0" w:after="0" w:line="240" w:lineRule="atLeast"/>
            </w:pPr>
            <w:r>
              <w:rPr>
                <w:rFonts w:ascii="Arial" w:hAnsi="Arial" w:cs="Arial" w:eastAsia="Arial"/>
                <w:b/>
                <w:bCs/>
                <w:color w:val="0059D1"/>
                <w:sz w:val="16"/>
                <w:szCs w:val="16"/>
              </w:rPr>
              <w:t>[INSERT: Role]</w:t>
            </w:r>
          </w:p>
        </w:tc>
      </w:tr>
      <w:tr>
        <w:tc>
          <w:tcPr>
            <w:tcW w:type="dxa" w:w="1289"/>
          </w:tcPr>
          <w:p>
            <w:pPr>
              <w:pStyle w:val="TableContents"/>
              <w:spacing w:before="0" w:after="0" w:line="240" w:lineRule="atLeast"/>
            </w:pPr>
            <w:r>
              <w:rPr>
                <w:rFonts w:ascii="Arial" w:hAnsi="Arial" w:cs="Arial" w:eastAsia="Arial"/>
                <w:sz w:val="16"/>
                <w:szCs w:val="16"/>
              </w:rPr>
              <w:t>Drainage lines and watercourses within 200 m of disturbance</w:t>
            </w:r>
          </w:p>
        </w:tc>
        <w:tc>
          <w:tcPr>
            <w:tcW w:type="dxa" w:w="1289"/>
          </w:tcPr>
          <w:p>
            <w:pPr>
              <w:pStyle w:val="TableContents"/>
              <w:spacing w:before="0" w:after="0" w:line="240" w:lineRule="atLeast"/>
            </w:pPr>
            <w:r>
              <w:rPr>
                <w:rFonts w:ascii="Arial" w:hAnsi="Arial" w:cs="Arial" w:eastAsia="Arial"/>
                <w:sz w:val="16"/>
                <w:szCs w:val="16"/>
              </w:rPr>
              <w:t>Sedimentation and bank erosion</w:t>
            </w:r>
          </w:p>
        </w:tc>
        <w:tc>
          <w:tcPr>
            <w:tcW w:type="dxa" w:w="1289"/>
          </w:tcPr>
          <w:p>
            <w:pPr>
              <w:pStyle w:val="TableContents"/>
              <w:spacing w:before="0" w:after="0" w:line="240" w:lineRule="atLeast"/>
            </w:pPr>
            <w:r>
              <w:rPr>
                <w:rFonts w:ascii="Arial" w:hAnsi="Arial" w:cs="Arial" w:eastAsia="Arial"/>
                <w:sz w:val="16"/>
                <w:szCs w:val="16"/>
              </w:rPr>
              <w:t>Monthly during dry season; weekly during wet season</w:t>
            </w:r>
          </w:p>
        </w:tc>
        <w:tc>
          <w:tcPr>
            <w:tcW w:type="dxa" w:w="1289"/>
          </w:tcPr>
          <w:p>
            <w:pPr>
              <w:pStyle w:val="TableContents"/>
              <w:spacing w:before="0" w:after="0" w:line="240" w:lineRule="atLeast"/>
            </w:pPr>
            <w:r>
              <w:rPr>
                <w:rFonts w:ascii="Arial" w:hAnsi="Arial" w:cs="Arial" w:eastAsia="Arial"/>
                <w:sz w:val="16"/>
                <w:szCs w:val="16"/>
              </w:rPr>
              <w:t>Visual inspection and photographic record</w:t>
            </w:r>
          </w:p>
        </w:tc>
        <w:tc>
          <w:tcPr>
            <w:tcW w:type="dxa" w:w="1289"/>
          </w:tcPr>
          <w:p>
            <w:pPr>
              <w:pStyle w:val="TableContents"/>
              <w:spacing w:before="0" w:after="0" w:line="240" w:lineRule="atLeast"/>
            </w:pPr>
            <w:r>
              <w:rPr>
                <w:rFonts w:ascii="Arial" w:hAnsi="Arial" w:cs="Arial" w:eastAsia="Arial"/>
                <w:sz w:val="16"/>
                <w:szCs w:val="16"/>
              </w:rPr>
              <w:t>Visible sediment plume or bank erosion exceeding 200 mm</w:t>
            </w:r>
          </w:p>
        </w:tc>
        <w:tc>
          <w:tcPr>
            <w:tcW w:type="dxa" w:w="1289"/>
          </w:tcPr>
          <w:p>
            <w:pPr>
              <w:pStyle w:val="TableContents"/>
              <w:spacing w:before="0" w:after="0" w:line="240" w:lineRule="atLeast"/>
            </w:pPr>
            <w:r>
              <w:rPr>
                <w:rFonts w:ascii="Arial" w:hAnsi="Arial" w:cs="Arial" w:eastAsia="Arial"/>
                <w:sz w:val="16"/>
                <w:szCs w:val="16"/>
              </w:rPr>
              <w:t xml:space="preserve">Install sediment controls, review stormwater management, report per </w:t>
            </w:r>
            <w:r>
              <w:rPr>
                <w:rFonts w:ascii="Arial" w:hAnsi="Arial" w:cs="Arial" w:eastAsia="Arial"/>
                <w:b/>
                <w:bCs/>
                <w:color w:val="0059D1"/>
                <w:sz w:val="16"/>
                <w:szCs w:val="16"/>
              </w:rPr>
              <w:t>[INSERT: Project Document Number]</w:t>
            </w:r>
          </w:p>
        </w:tc>
        <w:tc>
          <w:tcPr>
            <w:tcW w:type="dxa" w:w="1292"/>
          </w:tcPr>
          <w:p>
            <w:pPr>
              <w:pStyle w:val="TableContents"/>
              <w:spacing w:before="0" w:after="0" w:line="240" w:lineRule="atLeast"/>
            </w:pPr>
            <w:r>
              <w:rPr>
                <w:rFonts w:ascii="Arial" w:hAnsi="Arial" w:cs="Arial" w:eastAsia="Arial"/>
                <w:b/>
                <w:bCs/>
                <w:color w:val="0059D1"/>
                <w:sz w:val="16"/>
                <w:szCs w:val="16"/>
              </w:rPr>
              <w:t>[INSERT: Role]</w:t>
            </w:r>
          </w:p>
        </w:tc>
      </w:tr>
      <w:tr>
        <w:tc>
          <w:tcPr>
            <w:tcW w:type="dxa" w:w="1289"/>
          </w:tcPr>
          <w:p>
            <w:pPr>
              <w:pStyle w:val="TableContents"/>
              <w:spacing w:before="0" w:after="0" w:line="240" w:lineRule="atLeast"/>
            </w:pPr>
            <w:r>
              <w:rPr>
                <w:rFonts w:ascii="Arial" w:hAnsi="Arial" w:cs="Arial" w:eastAsia="Arial"/>
                <w:b/>
                <w:bCs/>
                <w:color w:val="0059D1"/>
                <w:sz w:val="16"/>
                <w:szCs w:val="16"/>
              </w:rPr>
              <w:t>[INSERT: Location]</w:t>
            </w:r>
          </w:p>
        </w:tc>
        <w:tc>
          <w:tcPr>
            <w:tcW w:type="dxa" w:w="1289"/>
          </w:tcPr>
          <w:p>
            <w:pPr>
              <w:pStyle w:val="TableContents"/>
              <w:spacing w:before="0" w:after="0" w:line="240" w:lineRule="atLeast"/>
            </w:pPr>
            <w:r>
              <w:rPr>
                <w:rFonts w:ascii="Arial" w:hAnsi="Arial" w:cs="Arial" w:eastAsia="Arial"/>
                <w:b/>
                <w:bCs/>
                <w:color w:val="0059D1"/>
                <w:sz w:val="16"/>
                <w:szCs w:val="16"/>
              </w:rPr>
              <w:t>[INSERT: Parameter]</w:t>
            </w:r>
          </w:p>
        </w:tc>
        <w:tc>
          <w:tcPr>
            <w:tcW w:type="dxa" w:w="1289"/>
          </w:tcPr>
          <w:p>
            <w:pPr>
              <w:pStyle w:val="TableContents"/>
              <w:spacing w:before="0" w:after="0" w:line="240" w:lineRule="atLeast"/>
            </w:pPr>
            <w:r>
              <w:rPr>
                <w:rFonts w:ascii="Arial" w:hAnsi="Arial" w:cs="Arial" w:eastAsia="Arial"/>
                <w:b/>
                <w:bCs/>
                <w:color w:val="0059D1"/>
                <w:sz w:val="16"/>
                <w:szCs w:val="16"/>
              </w:rPr>
              <w:t>[INSERT: Frequency]</w:t>
            </w:r>
          </w:p>
        </w:tc>
        <w:tc>
          <w:tcPr>
            <w:tcW w:type="dxa" w:w="1289"/>
          </w:tcPr>
          <w:p>
            <w:pPr>
              <w:pStyle w:val="TableContents"/>
              <w:spacing w:before="0" w:after="0" w:line="240" w:lineRule="atLeast"/>
            </w:pPr>
            <w:r>
              <w:rPr>
                <w:rFonts w:ascii="Arial" w:hAnsi="Arial" w:cs="Arial" w:eastAsia="Arial"/>
                <w:b/>
                <w:bCs/>
                <w:color w:val="0059D1"/>
                <w:sz w:val="16"/>
                <w:szCs w:val="16"/>
              </w:rPr>
              <w:t>[INSERT: Method]</w:t>
            </w:r>
          </w:p>
        </w:tc>
        <w:tc>
          <w:tcPr>
            <w:tcW w:type="dxa" w:w="1289"/>
          </w:tcPr>
          <w:p>
            <w:pPr>
              <w:pStyle w:val="TableContents"/>
              <w:spacing w:before="0" w:after="0" w:line="240" w:lineRule="atLeast"/>
            </w:pPr>
            <w:r>
              <w:rPr>
                <w:rFonts w:ascii="Arial" w:hAnsi="Arial" w:cs="Arial" w:eastAsia="Arial"/>
                <w:b/>
                <w:bCs/>
                <w:color w:val="0059D1"/>
                <w:sz w:val="16"/>
                <w:szCs w:val="16"/>
              </w:rPr>
              <w:t>[INSERT: Threshold]</w:t>
            </w:r>
          </w:p>
        </w:tc>
        <w:tc>
          <w:tcPr>
            <w:tcW w:type="dxa" w:w="1289"/>
          </w:tcPr>
          <w:p>
            <w:pPr>
              <w:pStyle w:val="TableContents"/>
              <w:spacing w:before="0" w:after="0" w:line="240" w:lineRule="atLeast"/>
            </w:pPr>
            <w:r>
              <w:rPr>
                <w:rFonts w:ascii="Arial" w:hAnsi="Arial" w:cs="Arial" w:eastAsia="Arial"/>
                <w:b/>
                <w:bCs/>
                <w:color w:val="0059D1"/>
                <w:sz w:val="16"/>
                <w:szCs w:val="16"/>
              </w:rPr>
              <w:t>[INSERT: Action]</w:t>
            </w:r>
          </w:p>
        </w:tc>
        <w:tc>
          <w:tcPr>
            <w:tcW w:type="dxa" w:w="1292"/>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NormalNumberedtext"/>
      </w:pPr>
      <w:r>
        <w:t>When a trigger threshold is exceeded, the Project Environmental Advisor is notified within 24 hours. A corrective action is initiated immediately, recorded in the project monitoring register, and tracked to closure. Report all incidents and near misses per project requirements, refer [INSERT: Project Document Number].</w:t>
      </w:r>
    </w:p>
    <w:p>
      <w:pPr>
        <w:pStyle w:val="NormalNumberedtext"/>
      </w:pPr>
    </w:p>
    <w:p>
      <w:pPr>
        <w:pStyle w:val="Heading2Numbered"/>
        <w:numPr>
          <w:ilvl w:val="1"/>
          <w:numId w:val="1"/>
        </w:numPr>
      </w:pPr>
      <w:r>
        <w:rPr>
          <w:rFonts w:ascii="Arial" w:hAnsi="Arial" w:cs="Arial" w:eastAsia="Arial"/>
        </w:rPr>
        <w:t>Rehabilitation Performance Criteria and Reporting</w:t>
      </w:r>
    </w:p>
    <w:p>
      <w:pPr>
        <w:pStyle w:val="NormalNumberedtext"/>
      </w:pPr>
      <w:r>
        <w:t>This section defines the rehabilitation performance criteria, monitoring intervals, independent verification requirements, and adaptive management obligations.</w:t>
      </w:r>
    </w:p>
    <w:p>
      <w:pPr>
        <w:pStyle w:val="NormalNumberedtext"/>
      </w:pPr>
      <w:r>
        <w:t>Rehabilitation performance criteria are quantitative, measurable, and independently verifiable. Criteria are agreed with the relevant regulatory authority before disturbance commences and are documented in this procedure before issue. Stakeholder engagement is conducted in the design of land use outcomes to inform the criteria.</w:t>
      </w:r>
    </w:p>
    <w:p>
      <w:pPr>
        <w:pStyle w:val="NormalNumberedtext"/>
      </w:pPr>
      <w:r>
        <w:rPr>
          <w:b/>
          <w:bCs/>
          <w:color w:val="0059D1"/>
        </w:rPr>
        <w:t>[INSERT: rehabilitation_performance_criteria] — Define the project rehabilitation performance criteria — quantitative, measurable, and independently verifiable. Criteria must be agreed with the relevant regulatory authority and inserted before disturbance commences. Include criteria for ground cover, species diversity, weed cover, erosion stability, and any other regulatory requirements.</w:t>
      </w:r>
    </w:p>
    <w:p>
      <w:pPr>
        <w:pStyle w:val="NormalNumberedtext"/>
      </w:pPr>
      <w:r>
        <w:t>Table 5: Rehabilitation Performance Criteria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Criterion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Quantitative Target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Measurement Method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Monitoring Interval</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Regulatory Reference</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Verification Method</w:t>
            </w:r>
          </w:p>
        </w:tc>
      </w:tr>
      <w:tr>
        <w:tc>
          <w:tcPr>
            <w:tcW w:type="dxa" w:w="1504"/>
          </w:tcPr>
          <w:p>
            <w:pPr>
              <w:pStyle w:val="TableContents"/>
              <w:spacing w:before="0" w:after="0" w:line="240" w:lineRule="atLeast"/>
            </w:pPr>
            <w:r>
              <w:rPr>
                <w:rFonts w:ascii="Arial" w:hAnsi="Arial" w:cs="Arial" w:eastAsia="Arial"/>
                <w:sz w:val="16"/>
                <w:szCs w:val="16"/>
              </w:rPr>
              <w:t>Ground cover</w:t>
            </w:r>
          </w:p>
        </w:tc>
        <w:tc>
          <w:tcPr>
            <w:tcW w:type="dxa" w:w="1504"/>
          </w:tcPr>
          <w:p>
            <w:pPr>
              <w:pStyle w:val="TableContents"/>
              <w:spacing w:before="0" w:after="0" w:line="240" w:lineRule="atLeast"/>
            </w:pPr>
            <w:r>
              <w:rPr>
                <w:rFonts w:ascii="Arial" w:hAnsi="Arial" w:cs="Arial" w:eastAsia="Arial"/>
                <w:sz w:val="16"/>
                <w:szCs w:val="16"/>
              </w:rPr>
              <w:t>≥ 70% projected foliar cover by Year 3 post-rehabilitation</w:t>
            </w:r>
          </w:p>
        </w:tc>
        <w:tc>
          <w:tcPr>
            <w:tcW w:type="dxa" w:w="1504"/>
          </w:tcPr>
          <w:p>
            <w:pPr>
              <w:pStyle w:val="TableContents"/>
              <w:spacing w:before="0" w:after="0" w:line="240" w:lineRule="atLeast"/>
            </w:pPr>
            <w:r>
              <w:rPr>
                <w:rFonts w:ascii="Arial" w:hAnsi="Arial" w:cs="Arial" w:eastAsia="Arial"/>
                <w:sz w:val="16"/>
                <w:szCs w:val="16"/>
              </w:rPr>
              <w:t>Photopoint transects and cover estimates</w:t>
            </w:r>
          </w:p>
        </w:tc>
        <w:tc>
          <w:tcPr>
            <w:tcW w:type="dxa" w:w="1504"/>
          </w:tcPr>
          <w:p>
            <w:pPr>
              <w:pStyle w:val="TableContents"/>
              <w:spacing w:before="0" w:after="0" w:line="240" w:lineRule="atLeast"/>
            </w:pPr>
            <w:r>
              <w:rPr>
                <w:rFonts w:ascii="Arial" w:hAnsi="Arial" w:cs="Arial" w:eastAsia="Arial"/>
                <w:sz w:val="16"/>
                <w:szCs w:val="16"/>
              </w:rPr>
              <w:t>Annual</w:t>
            </w:r>
          </w:p>
        </w:tc>
        <w:tc>
          <w:tcPr>
            <w:tcW w:type="dxa" w:w="1504"/>
          </w:tcPr>
          <w:p>
            <w:pPr>
              <w:pStyle w:val="TableContents"/>
              <w:spacing w:before="0" w:after="0" w:line="240" w:lineRule="atLeast"/>
            </w:pPr>
            <w:r>
              <w:rPr>
                <w:rFonts w:ascii="Arial" w:hAnsi="Arial" w:cs="Arial" w:eastAsia="Arial"/>
                <w:b/>
                <w:bCs/>
                <w:color w:val="0059D1"/>
                <w:sz w:val="16"/>
                <w:szCs w:val="16"/>
              </w:rPr>
              <w:t>[INSERT: Permit or EIS condition reference]</w:t>
            </w:r>
          </w:p>
        </w:tc>
        <w:tc>
          <w:tcPr>
            <w:tcW w:type="dxa" w:w="1506"/>
          </w:tcPr>
          <w:p>
            <w:pPr>
              <w:pStyle w:val="TableContents"/>
              <w:spacing w:before="0" w:after="0" w:line="240" w:lineRule="atLeast"/>
            </w:pPr>
            <w:r>
              <w:rPr>
                <w:rFonts w:ascii="Arial" w:hAnsi="Arial" w:cs="Arial" w:eastAsia="Arial"/>
                <w:sz w:val="16"/>
                <w:szCs w:val="16"/>
              </w:rPr>
              <w:t>Independent ecological assessment</w:t>
            </w:r>
          </w:p>
        </w:tc>
      </w:tr>
      <w:tr>
        <w:tc>
          <w:tcPr>
            <w:tcW w:type="dxa" w:w="1504"/>
          </w:tcPr>
          <w:p>
            <w:pPr>
              <w:pStyle w:val="TableContents"/>
              <w:spacing w:before="0" w:after="0" w:line="240" w:lineRule="atLeast"/>
            </w:pPr>
            <w:r>
              <w:rPr>
                <w:rFonts w:ascii="Arial" w:hAnsi="Arial" w:cs="Arial" w:eastAsia="Arial"/>
                <w:sz w:val="16"/>
                <w:szCs w:val="16"/>
              </w:rPr>
              <w:t>Weed cover</w:t>
            </w:r>
          </w:p>
        </w:tc>
        <w:tc>
          <w:tcPr>
            <w:tcW w:type="dxa" w:w="1504"/>
          </w:tcPr>
          <w:p>
            <w:pPr>
              <w:pStyle w:val="TableContents"/>
              <w:spacing w:before="0" w:after="0" w:line="240" w:lineRule="atLeast"/>
            </w:pPr>
            <w:r>
              <w:rPr>
                <w:rFonts w:ascii="Arial" w:hAnsi="Arial" w:cs="Arial" w:eastAsia="Arial"/>
                <w:sz w:val="16"/>
                <w:szCs w:val="16"/>
              </w:rPr>
              <w:t>&lt; 10% cover of declared weeds at any monitoring point</w:t>
            </w:r>
          </w:p>
        </w:tc>
        <w:tc>
          <w:tcPr>
            <w:tcW w:type="dxa" w:w="1504"/>
          </w:tcPr>
          <w:p>
            <w:pPr>
              <w:pStyle w:val="TableContents"/>
              <w:spacing w:before="0" w:after="0" w:line="240" w:lineRule="atLeast"/>
            </w:pPr>
            <w:r>
              <w:rPr>
                <w:rFonts w:ascii="Arial" w:hAnsi="Arial" w:cs="Arial" w:eastAsia="Arial"/>
                <w:sz w:val="16"/>
                <w:szCs w:val="16"/>
              </w:rPr>
              <w:t>Visual survey and species list</w:t>
            </w:r>
          </w:p>
        </w:tc>
        <w:tc>
          <w:tcPr>
            <w:tcW w:type="dxa" w:w="1504"/>
          </w:tcPr>
          <w:p>
            <w:pPr>
              <w:pStyle w:val="TableContents"/>
              <w:spacing w:before="0" w:after="0" w:line="240" w:lineRule="atLeast"/>
            </w:pPr>
            <w:r>
              <w:rPr>
                <w:rFonts w:ascii="Arial" w:hAnsi="Arial" w:cs="Arial" w:eastAsia="Arial"/>
                <w:sz w:val="16"/>
                <w:szCs w:val="16"/>
              </w:rPr>
              <w:t>Annual</w:t>
            </w:r>
          </w:p>
        </w:tc>
        <w:tc>
          <w:tcPr>
            <w:tcW w:type="dxa" w:w="1504"/>
          </w:tcPr>
          <w:p>
            <w:pPr>
              <w:pStyle w:val="TableContents"/>
              <w:spacing w:before="0" w:after="0" w:line="240" w:lineRule="atLeast"/>
            </w:pPr>
            <w:r>
              <w:rPr>
                <w:rFonts w:ascii="Arial" w:hAnsi="Arial" w:cs="Arial" w:eastAsia="Arial"/>
                <w:b/>
                <w:bCs/>
                <w:color w:val="0059D1"/>
                <w:sz w:val="16"/>
                <w:szCs w:val="16"/>
              </w:rPr>
              <w:t>[INSERT: Permit or EIS condition reference]</w:t>
            </w:r>
          </w:p>
        </w:tc>
        <w:tc>
          <w:tcPr>
            <w:tcW w:type="dxa" w:w="1506"/>
          </w:tcPr>
          <w:p>
            <w:pPr>
              <w:pStyle w:val="TableContents"/>
              <w:spacing w:before="0" w:after="0" w:line="240" w:lineRule="atLeast"/>
            </w:pPr>
            <w:r>
              <w:rPr>
                <w:rFonts w:ascii="Arial" w:hAnsi="Arial" w:cs="Arial" w:eastAsia="Arial"/>
                <w:sz w:val="16"/>
                <w:szCs w:val="16"/>
              </w:rPr>
              <w:t>Independent ecological assessment</w:t>
            </w:r>
          </w:p>
        </w:tc>
      </w:tr>
      <w:tr>
        <w:tc>
          <w:tcPr>
            <w:tcW w:type="dxa" w:w="1504"/>
          </w:tcPr>
          <w:p>
            <w:pPr>
              <w:pStyle w:val="TableContents"/>
              <w:spacing w:before="0" w:after="0" w:line="240" w:lineRule="atLeast"/>
            </w:pPr>
            <w:r>
              <w:rPr>
                <w:rFonts w:ascii="Arial" w:hAnsi="Arial" w:cs="Arial" w:eastAsia="Arial"/>
                <w:b/>
                <w:bCs/>
                <w:color w:val="0059D1"/>
                <w:sz w:val="16"/>
                <w:szCs w:val="16"/>
              </w:rPr>
              <w:t>[INSERT: Criterion]</w:t>
            </w:r>
          </w:p>
        </w:tc>
        <w:tc>
          <w:tcPr>
            <w:tcW w:type="dxa" w:w="1504"/>
          </w:tcPr>
          <w:p>
            <w:pPr>
              <w:pStyle w:val="TableContents"/>
              <w:spacing w:before="0" w:after="0" w:line="240" w:lineRule="atLeast"/>
            </w:pPr>
            <w:r>
              <w:rPr>
                <w:rFonts w:ascii="Arial" w:hAnsi="Arial" w:cs="Arial" w:eastAsia="Arial"/>
                <w:b/>
                <w:bCs/>
                <w:color w:val="0059D1"/>
                <w:sz w:val="16"/>
                <w:szCs w:val="16"/>
              </w:rPr>
              <w:t>[INSERT: Target]</w:t>
            </w:r>
          </w:p>
        </w:tc>
        <w:tc>
          <w:tcPr>
            <w:tcW w:type="dxa" w:w="1504"/>
          </w:tcPr>
          <w:p>
            <w:pPr>
              <w:pStyle w:val="TableContents"/>
              <w:spacing w:before="0" w:after="0" w:line="240" w:lineRule="atLeast"/>
            </w:pPr>
            <w:r>
              <w:rPr>
                <w:rFonts w:ascii="Arial" w:hAnsi="Arial" w:cs="Arial" w:eastAsia="Arial"/>
                <w:b/>
                <w:bCs/>
                <w:color w:val="0059D1"/>
                <w:sz w:val="16"/>
                <w:szCs w:val="16"/>
              </w:rPr>
              <w:t>[INSERT: Method]</w:t>
            </w:r>
          </w:p>
        </w:tc>
        <w:tc>
          <w:tcPr>
            <w:tcW w:type="dxa" w:w="1504"/>
          </w:tcPr>
          <w:p>
            <w:pPr>
              <w:pStyle w:val="TableContents"/>
              <w:spacing w:before="0" w:after="0" w:line="240" w:lineRule="atLeast"/>
            </w:pPr>
            <w:r>
              <w:rPr>
                <w:rFonts w:ascii="Arial" w:hAnsi="Arial" w:cs="Arial" w:eastAsia="Arial"/>
                <w:b/>
                <w:bCs/>
                <w:color w:val="0059D1"/>
                <w:sz w:val="16"/>
                <w:szCs w:val="16"/>
              </w:rPr>
              <w:t>[INSERT: Interval]</w:t>
            </w:r>
          </w:p>
        </w:tc>
        <w:tc>
          <w:tcPr>
            <w:tcW w:type="dxa" w:w="1504"/>
          </w:tcPr>
          <w:p>
            <w:pPr>
              <w:pStyle w:val="TableContents"/>
              <w:spacing w:before="0" w:after="0" w:line="240" w:lineRule="atLeast"/>
            </w:pPr>
            <w:r>
              <w:rPr>
                <w:rFonts w:ascii="Arial" w:hAnsi="Arial" w:cs="Arial" w:eastAsia="Arial"/>
                <w:b/>
                <w:bCs/>
                <w:color w:val="0059D1"/>
                <w:sz w:val="16"/>
                <w:szCs w:val="16"/>
              </w:rPr>
              <w:t>[INSERT: Reference]</w:t>
            </w:r>
          </w:p>
        </w:tc>
        <w:tc>
          <w:tcPr>
            <w:tcW w:type="dxa" w:w="1506"/>
          </w:tcPr>
          <w:p>
            <w:pPr>
              <w:pStyle w:val="TableContents"/>
              <w:spacing w:before="0" w:after="0" w:line="240" w:lineRule="atLeast"/>
            </w:pPr>
            <w:r>
              <w:rPr>
                <w:rFonts w:ascii="Arial" w:hAnsi="Arial" w:cs="Arial" w:eastAsia="Arial"/>
                <w:b/>
                <w:bCs/>
                <w:color w:val="0059D1"/>
                <w:sz w:val="16"/>
                <w:szCs w:val="16"/>
              </w:rPr>
              <w:t>[INSERT: Verification method]</w:t>
            </w:r>
          </w:p>
        </w:tc>
      </w:tr>
    </w:tbl>
    <w:p>
      <w:pPr>
        <w:pStyle w:val="NormalNumberedtext"/>
      </w:pPr>
    </w:p>
    <w:p>
      <w:pPr>
        <w:pStyle w:val="NormalNumberedtext"/>
      </w:pPr>
      <w:r>
        <w:t>Monitoring against rehabilitation performance criteria is conducted at defined intervals by an independent ecological assessor. Monitoring results are reported to the Project Environmental Advisor and to the relevant regulatory authority at the intervals defined in the applicable permit conditions. Rehabilitation performance monitoring programmes are governed by [INSERT: Project Document Number].</w:t>
      </w:r>
    </w:p>
    <w:p>
      <w:pPr>
        <w:pStyle w:val="NormalNumberedtext"/>
      </w:pPr>
      <w:r>
        <w:t>Where monitoring results indicate that performance criteria are not being met, the Project Environmental Advisor prepares an adaptive management response within 30 days of the monitoring result. The adaptive management response defines the cause of underperformance, remedial actions, revised targets or timelines where justified, and the next review date.</w:t>
      </w:r>
    </w:p>
    <w:p>
      <w:pPr>
        <w:pStyle w:val="NormalNumberedtext"/>
      </w:pPr>
    </w:p>
    <w:p>
      <w:pPr>
        <w:pStyle w:val="Heading1Numbered"/>
        <w:numPr>
          <w:ilvl w:val="0"/>
          <w:numId w:val="1"/>
        </w:numPr>
      </w:pPr>
      <w:r>
        <w:rPr>
          <w:rFonts w:ascii="Arial" w:hAnsi="Arial" w:cs="Arial" w:eastAsia="Arial"/>
        </w:rPr>
        <w:t>Demobilisation and Closure</w:t>
      </w:r>
    </w:p>
    <w:p>
      <w:pPr>
        <w:pStyle w:val="NormalNumberedtext"/>
      </w:pPr>
      <w:r>
        <w:t>This section defines rehabilitation requirements at site demobilisation, closure planning obligations, financial provision requirements, and verification that all disturbance is remediated to agreed standards.</w:t>
      </w:r>
    </w:p>
    <w:p>
      <w:pPr>
        <w:pStyle w:val="NormalNumberedtext"/>
      </w:pPr>
    </w:p>
    <w:p>
      <w:pPr>
        <w:pStyle w:val="Heading2Numbered"/>
        <w:numPr>
          <w:ilvl w:val="1"/>
          <w:numId w:val="1"/>
        </w:numPr>
      </w:pPr>
      <w:r>
        <w:rPr>
          <w:rFonts w:ascii="Arial" w:hAnsi="Arial" w:cs="Arial" w:eastAsia="Arial"/>
        </w:rPr>
        <w:t>Site Demobilisation Rehabilitation Requirements</w:t>
      </w:r>
    </w:p>
    <w:p>
      <w:pPr>
        <w:pStyle w:val="NormalNumberedtext"/>
      </w:pPr>
      <w:r>
        <w:t>This section defines the rehabilitation scope, sequencing, verification, and stakeholder engagement requirements applying at site demobilisation.</w:t>
      </w:r>
    </w:p>
    <w:p>
      <w:pPr>
        <w:pStyle w:val="NormalNumberedtext"/>
      </w:pPr>
      <w:r>
        <w:t>A demobilisation rehabilitation plan is prepared and approved before demobilisation activities commence. The plan defines the scope, sequencing, responsible roles, and verification requirements for all demobilisation rehabilitation activities. The plan is consistent with the project Rehabilitation and Closure Plan.</w:t>
      </w:r>
    </w:p>
    <w:p>
      <w:pPr>
        <w:pStyle w:val="NormalNumberedtext"/>
      </w:pPr>
      <w:r>
        <w:rPr>
          <w:b/>
          <w:bCs/>
          <w:color w:val="0059D1"/>
        </w:rPr>
        <w:t>[INSERT: demobilisation_rehabilitation_plan] — Insert the project demobilisation rehabilitation plan or reference the approved plan document. The plan must be in place before demobilisation begins and must address all items in Table 6.</w:t>
      </w:r>
    </w:p>
    <w:p>
      <w:pPr>
        <w:pStyle w:val="NormalNumberedtext"/>
      </w:pPr>
      <w:r>
        <w:t>The demobilisation rehabilitation plan addresses the following requirements:</w:t>
      </w:r>
    </w:p>
    <w:p>
      <w:pPr>
        <w:pStyle w:val="NormalNumberedtext"/>
      </w:pPr>
      <w:r>
        <w:t>Table 6: Demobilisation Rehabilitation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Rehabilitation Activity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Standard or Criterion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Completion Verification Method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Verified By</w:t>
            </w:r>
          </w:p>
        </w:tc>
      </w:tr>
      <w:tr>
        <w:tc>
          <w:tcPr>
            <w:tcW w:type="dxa" w:w="1805"/>
          </w:tcPr>
          <w:p>
            <w:pPr>
              <w:pStyle w:val="TableContents"/>
              <w:spacing w:before="0" w:after="0" w:line="240" w:lineRule="atLeast"/>
            </w:pPr>
            <w:r>
              <w:rPr>
                <w:rFonts w:ascii="Arial" w:hAnsi="Arial" w:cs="Arial" w:eastAsia="Arial"/>
                <w:sz w:val="16"/>
                <w:szCs w:val="16"/>
              </w:rPr>
              <w:t>Landform reinstatement - regrading and reshaping to approved post-disturbance contours</w:t>
            </w:r>
          </w:p>
        </w:tc>
        <w:tc>
          <w:tcPr>
            <w:tcW w:type="dxa" w:w="1805"/>
          </w:tcPr>
          <w:p>
            <w:pPr>
              <w:pStyle w:val="TableContents"/>
              <w:spacing w:before="0" w:after="0" w:line="240" w:lineRule="atLeast"/>
            </w:pPr>
            <w:r>
              <w:rPr>
                <w:rFonts w:ascii="Arial" w:hAnsi="Arial" w:cs="Arial" w:eastAsia="Arial"/>
                <w:b/>
                <w:bCs/>
                <w:color w:val="0059D1"/>
                <w:sz w:val="16"/>
                <w:szCs w:val="16"/>
              </w:rPr>
              <w:t>[INSERT: Design standard or regulatory requirement]</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sz w:val="16"/>
                <w:szCs w:val="16"/>
              </w:rPr>
              <w:t>Survey and photographic record against approved landform design</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Topsoil replacement and spreading over rehabilitated landform</w:t>
            </w:r>
          </w:p>
        </w:tc>
        <w:tc>
          <w:tcPr>
            <w:tcW w:type="dxa" w:w="1805"/>
          </w:tcPr>
          <w:p>
            <w:pPr>
              <w:pStyle w:val="TableContents"/>
              <w:spacing w:before="0" w:after="0" w:line="240" w:lineRule="atLeast"/>
            </w:pPr>
            <w:r>
              <w:rPr>
                <w:rFonts w:ascii="Arial" w:hAnsi="Arial" w:cs="Arial" w:eastAsia="Arial"/>
                <w:b/>
                <w:bCs/>
                <w:color w:val="0059D1"/>
                <w:sz w:val="16"/>
                <w:szCs w:val="16"/>
              </w:rPr>
              <w:t>[INSERT: Depth and coverage standard]</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sz w:val="16"/>
                <w:szCs w:val="16"/>
              </w:rPr>
              <w:t>Soil depth probe survey and photographic record</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Revegetation - seeding or planting with locally-provenant species to meet rehabilitation performance criteria</w:t>
            </w:r>
          </w:p>
        </w:tc>
        <w:tc>
          <w:tcPr>
            <w:tcW w:type="dxa" w:w="1805"/>
          </w:tcPr>
          <w:p>
            <w:pPr>
              <w:pStyle w:val="TableContents"/>
              <w:spacing w:before="0" w:after="0" w:line="240" w:lineRule="atLeast"/>
            </w:pPr>
            <w:r>
              <w:rPr>
                <w:rFonts w:ascii="Arial" w:hAnsi="Arial" w:cs="Arial" w:eastAsia="Arial"/>
                <w:b/>
                <w:bCs/>
                <w:color w:val="0059D1"/>
                <w:sz w:val="16"/>
                <w:szCs w:val="16"/>
              </w:rPr>
              <w:t>[INSERT: Performance criterion reference — Table 5]</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sz w:val="16"/>
                <w:szCs w:val="16"/>
              </w:rPr>
              <w:t>Ecological survey against Table 5 criteria</w:t>
            </w:r>
          </w:p>
        </w:tc>
        <w:tc>
          <w:tcPr>
            <w:tcW w:type="dxa" w:w="1806"/>
          </w:tcPr>
          <w:p>
            <w:pPr>
              <w:pStyle w:val="TableContents"/>
              <w:spacing w:before="0" w:after="0" w:line="240" w:lineRule="atLeast"/>
            </w:pPr>
            <w:r>
              <w:rPr>
                <w:rFonts w:ascii="Arial" w:hAnsi="Arial" w:cs="Arial" w:eastAsia="Arial"/>
                <w:sz w:val="16"/>
                <w:szCs w:val="16"/>
              </w:rPr>
              <w:t>Independent ecological assessor</w:t>
            </w:r>
          </w:p>
        </w:tc>
      </w:tr>
      <w:tr>
        <w:tc>
          <w:tcPr>
            <w:tcW w:type="dxa" w:w="1805"/>
          </w:tcPr>
          <w:p>
            <w:pPr>
              <w:pStyle w:val="TableContents"/>
              <w:spacing w:before="0" w:after="0" w:line="240" w:lineRule="atLeast"/>
            </w:pPr>
            <w:r>
              <w:rPr>
                <w:rFonts w:ascii="Arial" w:hAnsi="Arial" w:cs="Arial" w:eastAsia="Arial"/>
                <w:sz w:val="16"/>
                <w:szCs w:val="16"/>
              </w:rPr>
              <w:t>Infrastructure removal - buildings, hardstand, bunds, fencing, and services</w:t>
            </w:r>
          </w:p>
        </w:tc>
        <w:tc>
          <w:tcPr>
            <w:tcW w:type="dxa" w:w="1805"/>
          </w:tcPr>
          <w:p>
            <w:pPr>
              <w:pStyle w:val="TableContents"/>
              <w:spacing w:before="0" w:after="0" w:line="240" w:lineRule="atLeast"/>
            </w:pPr>
            <w:r>
              <w:rPr>
                <w:rFonts w:ascii="Arial" w:hAnsi="Arial" w:cs="Arial" w:eastAsia="Arial"/>
                <w:b/>
                <w:bCs/>
                <w:color w:val="0059D1"/>
                <w:sz w:val="16"/>
                <w:szCs w:val="16"/>
              </w:rPr>
              <w:t>[INSERT: Specification]</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sz w:val="16"/>
                <w:szCs w:val="16"/>
              </w:rPr>
              <w:t>Visual inspection and photographic record</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Waste removal - all construction waste, contaminated materials, and chemical stores removed or remediated</w:t>
            </w:r>
          </w:p>
        </w:tc>
        <w:tc>
          <w:tcPr>
            <w:tcW w:type="dxa" w:w="1805"/>
          </w:tcPr>
          <w:p>
            <w:pPr>
              <w:pStyle w:val="TableContents"/>
              <w:spacing w:before="0" w:after="0" w:line="240" w:lineRule="atLeast"/>
            </w:pPr>
            <w:r>
              <w:rPr>
                <w:rFonts w:ascii="Arial" w:hAnsi="Arial" w:cs="Arial" w:eastAsia="Arial"/>
                <w:b/>
                <w:bCs/>
                <w:color w:val="0059D1"/>
                <w:sz w:val="16"/>
                <w:szCs w:val="16"/>
              </w:rPr>
              <w:t>[INSERT: Waste management plan reference]</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sz w:val="16"/>
                <w:szCs w:val="16"/>
              </w:rPr>
              <w:t>Site inspection and waste manifest records</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Verification inspection confirming all disturbance is remediated to agreed standards</w:t>
            </w:r>
          </w:p>
        </w:tc>
        <w:tc>
          <w:tcPr>
            <w:tcW w:type="dxa" w:w="1805"/>
          </w:tcPr>
          <w:p>
            <w:pPr>
              <w:pStyle w:val="TableContents"/>
              <w:spacing w:before="0" w:after="0" w:line="240" w:lineRule="atLeast"/>
            </w:pPr>
            <w:r>
              <w:rPr>
                <w:rFonts w:ascii="Arial" w:hAnsi="Arial" w:cs="Arial" w:eastAsia="Arial"/>
                <w:sz w:val="16"/>
                <w:szCs w:val="16"/>
              </w:rPr>
              <w:t>All applicable performance criteria met</w:t>
            </w:r>
          </w:p>
        </w:tc>
        <w:tc>
          <w:tcPr>
            <w:tcW w:type="dxa" w:w="1805"/>
          </w:tcPr>
          <w:p>
            <w:pPr>
              <w:pStyle w:val="TableContents"/>
              <w:spacing w:before="0" w:after="0" w:line="240" w:lineRule="atLeast"/>
            </w:pPr>
            <w:r>
              <w:rPr>
                <w:rFonts w:ascii="Arial" w:hAnsi="Arial" w:cs="Arial" w:eastAsia="Arial"/>
                <w:sz w:val="16"/>
                <w:szCs w:val="16"/>
              </w:rPr>
              <w:t>Project Environmental Advisor and independent assessor</w:t>
            </w:r>
          </w:p>
        </w:tc>
        <w:tc>
          <w:tcPr>
            <w:tcW w:type="dxa" w:w="1805"/>
          </w:tcPr>
          <w:p>
            <w:pPr>
              <w:pStyle w:val="TableContents"/>
              <w:spacing w:before="0" w:after="0" w:line="240" w:lineRule="atLeast"/>
            </w:pPr>
            <w:r>
              <w:rPr>
                <w:rFonts w:ascii="Arial" w:hAnsi="Arial" w:cs="Arial" w:eastAsia="Arial"/>
                <w:sz w:val="16"/>
                <w:szCs w:val="16"/>
              </w:rPr>
              <w:t>Written verification report submitted to regulatory authority</w:t>
            </w:r>
          </w:p>
        </w:tc>
        <w:tc>
          <w:tcPr>
            <w:tcW w:type="dxa" w:w="1806"/>
          </w:tcPr>
          <w:p>
            <w:pPr>
              <w:pStyle w:val="TableContents"/>
              <w:spacing w:before="0" w:after="0" w:line="240" w:lineRule="atLeast"/>
            </w:pPr>
            <w:r>
              <w:rPr>
                <w:rFonts w:ascii="Arial" w:hAnsi="Arial" w:cs="Arial" w:eastAsia="Arial"/>
                <w:b/>
                <w:bCs/>
                <w:color w:val="0059D1"/>
                <w:sz w:val="16"/>
                <w:szCs w:val="16"/>
              </w:rPr>
              <w:t>[INSERT: Regulatory authority]</w:t>
            </w:r>
          </w:p>
        </w:tc>
      </w:tr>
      <w:tr>
        <w:tc>
          <w:tcPr>
            <w:tcW w:type="dxa" w:w="1805"/>
          </w:tcPr>
          <w:p>
            <w:pPr>
              <w:pStyle w:val="TableContents"/>
              <w:spacing w:before="0" w:after="0" w:line="240" w:lineRule="atLeast"/>
            </w:pPr>
            <w:r>
              <w:rPr>
                <w:rFonts w:ascii="Arial" w:hAnsi="Arial" w:cs="Arial" w:eastAsia="Arial"/>
                <w:b/>
                <w:bCs/>
                <w:color w:val="0059D1"/>
                <w:sz w:val="16"/>
                <w:szCs w:val="16"/>
              </w:rPr>
              <w:t>[INSERT: Activity]</w:t>
            </w:r>
          </w:p>
        </w:tc>
        <w:tc>
          <w:tcPr>
            <w:tcW w:type="dxa" w:w="1805"/>
          </w:tcPr>
          <w:p>
            <w:pPr>
              <w:pStyle w:val="TableContents"/>
              <w:spacing w:before="0" w:after="0" w:line="240" w:lineRule="atLeast"/>
            </w:pPr>
            <w:r>
              <w:rPr>
                <w:rFonts w:ascii="Arial" w:hAnsi="Arial" w:cs="Arial" w:eastAsia="Arial"/>
                <w:b/>
                <w:bCs/>
                <w:color w:val="0059D1"/>
                <w:sz w:val="16"/>
                <w:szCs w:val="16"/>
              </w:rPr>
              <w:t>[INSERT: Standard]</w:t>
            </w:r>
          </w:p>
        </w:tc>
        <w:tc>
          <w:tcPr>
            <w:tcW w:type="dxa" w:w="1805"/>
          </w:tcPr>
          <w:p>
            <w:pPr>
              <w:pStyle w:val="TableContents"/>
              <w:spacing w:before="0" w:after="0" w:line="240" w:lineRule="atLeast"/>
            </w:pPr>
            <w:r>
              <w:rPr>
                <w:rFonts w:ascii="Arial" w:hAnsi="Arial" w:cs="Arial" w:eastAsia="Arial"/>
                <w:b/>
                <w:bCs/>
                <w:color w:val="0059D1"/>
                <w:sz w:val="16"/>
                <w:szCs w:val="16"/>
              </w:rPr>
              <w:t>[INSERT: Role]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Verifier]</w:t>
            </w:r>
          </w:p>
        </w:tc>
      </w:tr>
    </w:tbl>
    <w:p>
      <w:pPr>
        <w:pStyle w:val="NormalNumberedtext"/>
      </w:pPr>
    </w:p>
    <w:p>
      <w:pPr>
        <w:pStyle w:val="NormalNumberedtext"/>
      </w:pPr>
      <w:r>
        <w:t>Closure planning is conducted in consultation with the relevant regulatory authorities and key stakeholders. Stakeholder engagement is documented and recorded in the project stakeholder engagement register. Financial provision for closure and post-closure commitments is maintained at a level sufficient to enable all agreed closure and post-closure obligations to be realised, consistent with ICMM Principle 6.</w:t>
      </w:r>
    </w:p>
    <w:p>
      <w:pPr>
        <w:pStyle w:val="NormalNumberedtext"/>
      </w:pPr>
      <w:r>
        <w:t>Post-closure environmental and social aspects identified during closure planning are documented in the Rehabilitation and Closure Plan and assigned to the responsible post-project authority before handover. Rehabilitation performance monitoring after handover is transferred to the asset operations team under the programme governed by [INSERT: Project Document Number].</w:t>
      </w:r>
    </w:p>
    <w:p>
      <w:pPr>
        <w:pStyle w:val="NormalNumberedtext"/>
      </w:pPr>
      <w:r>
        <w:t>Mine closure strategies implemented at demobilisation contribute to the conservation of biodiversity through integrated land-use planning and the realisation of agreed post-disturbance land use outcomes, consistent with ICMM Principle 7.</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Closure - the integrated management framework applied to Rio Tinto owner-led projects governing all HSE and social performance obligations.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prescribing the mandatory steps, responsibilities and controls required to manage a specific activity or risk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and project owner whose standards, frameworks and governance requirements apply to all owner-led project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unit responsible for delivering owner-led capital projects on behalf of Rio Tinto, under whose management system this procedure is issued.</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encompassing occupational health, workplace safety and environmental management obligations applicable to all project activities.</w:t>
            </w:r>
          </w:p>
        </w:tc>
      </w:tr>
      <w:tr>
        <w:tc>
          <w:tcPr>
            <w:tcW w:type="dxa" w:w="4888"/>
          </w:tcPr>
          <w:p>
            <w:pPr>
              <w:pStyle w:val="TableContents"/>
              <w:spacing w:before="0" w:after="0" w:line="240" w:lineRule="atLeast"/>
            </w:pPr>
            <w:r>
              <w:rPr>
                <w:rFonts w:ascii="Arial" w:hAnsi="Arial" w:cs="Arial" w:eastAsia="Arial"/>
                <w:sz w:val="16"/>
                <w:szCs w:val="16"/>
              </w:rPr>
              <w:t>LDC</w:t>
            </w:r>
          </w:p>
        </w:tc>
        <w:tc>
          <w:tcPr>
            <w:tcW w:type="dxa" w:w="4889"/>
          </w:tcPr>
          <w:p>
            <w:pPr>
              <w:pStyle w:val="TableContents"/>
              <w:spacing w:before="0" w:after="0" w:line="240" w:lineRule="atLeast"/>
            </w:pPr>
            <w:r>
              <w:rPr>
                <w:rFonts w:ascii="Arial" w:hAnsi="Arial" w:cs="Arial" w:eastAsia="Arial"/>
                <w:sz w:val="16"/>
                <w:szCs w:val="16"/>
              </w:rPr>
              <w:t>Land Disturbance Control - the systematic application of measures to prevent, minimise and manage the physical disturbance of land surfaces, soils, vegetation and landforms resulting from project activities.</w:t>
            </w:r>
          </w:p>
        </w:tc>
      </w:tr>
      <w:tr>
        <w:tc>
          <w:tcPr>
            <w:tcW w:type="dxa" w:w="4888"/>
          </w:tcPr>
          <w:p>
            <w:pPr>
              <w:pStyle w:val="TableContents"/>
              <w:spacing w:before="0" w:after="0" w:line="240" w:lineRule="atLeast"/>
            </w:pPr>
            <w:r>
              <w:rPr>
                <w:rFonts w:ascii="Arial" w:hAnsi="Arial" w:cs="Arial" w:eastAsia="Arial"/>
                <w:sz w:val="16"/>
                <w:szCs w:val="16"/>
              </w:rPr>
              <w:t>EIS</w:t>
            </w:r>
          </w:p>
        </w:tc>
        <w:tc>
          <w:tcPr>
            <w:tcW w:type="dxa" w:w="4889"/>
          </w:tcPr>
          <w:p>
            <w:pPr>
              <w:pStyle w:val="TableContents"/>
              <w:spacing w:before="0" w:after="0" w:line="240" w:lineRule="atLeast"/>
            </w:pPr>
            <w:r>
              <w:rPr>
                <w:rFonts w:ascii="Arial" w:hAnsi="Arial" w:cs="Arial" w:eastAsia="Arial"/>
                <w:sz w:val="16"/>
                <w:szCs w:val="16"/>
              </w:rPr>
              <w:t>Environmental Impact Statement - a formal statutory document assessing the predicted environmental effects of a proposed project or activity, submitted to the relevant regulatory authority as part of the project approval process.</w:t>
            </w:r>
          </w:p>
        </w:tc>
      </w:tr>
      <w:tr>
        <w:tc>
          <w:tcPr>
            <w:tcW w:type="dxa" w:w="4888"/>
          </w:tcPr>
          <w:p>
            <w:pPr>
              <w:pStyle w:val="TableContents"/>
              <w:spacing w:before="0" w:after="0" w:line="240" w:lineRule="atLeast"/>
            </w:pPr>
            <w:r>
              <w:rPr>
                <w:rFonts w:ascii="Arial" w:hAnsi="Arial" w:cs="Arial" w:eastAsia="Arial"/>
                <w:sz w:val="16"/>
                <w:szCs w:val="16"/>
              </w:rPr>
              <w:t>EPA</w:t>
            </w:r>
          </w:p>
        </w:tc>
        <w:tc>
          <w:tcPr>
            <w:tcW w:type="dxa" w:w="4889"/>
          </w:tcPr>
          <w:p>
            <w:pPr>
              <w:pStyle w:val="TableContents"/>
              <w:spacing w:before="0" w:after="0" w:line="240" w:lineRule="atLeast"/>
            </w:pPr>
            <w:r>
              <w:rPr>
                <w:rFonts w:ascii="Arial" w:hAnsi="Arial" w:cs="Arial" w:eastAsia="Arial"/>
                <w:sz w:val="16"/>
                <w:szCs w:val="16"/>
              </w:rPr>
              <w:t>Environmental Protection Authority - the government regulatory body with statutory responsibility for environmental approvals, compliance oversight and enforcement in the jurisdiction where the project operates.</w:t>
            </w:r>
          </w:p>
        </w:tc>
      </w:tr>
      <w:tr>
        <w:tc>
          <w:tcPr>
            <w:tcW w:type="dxa" w:w="4888"/>
          </w:tcPr>
          <w:p>
            <w:pPr>
              <w:pStyle w:val="TableContents"/>
              <w:spacing w:before="0" w:after="0" w:line="240" w:lineRule="atLeast"/>
            </w:pPr>
            <w:r>
              <w:rPr>
                <w:rFonts w:ascii="Arial" w:hAnsi="Arial" w:cs="Arial" w:eastAsia="Arial"/>
                <w:sz w:val="16"/>
                <w:szCs w:val="16"/>
              </w:rPr>
              <w:t>EMP</w:t>
            </w:r>
          </w:p>
        </w:tc>
        <w:tc>
          <w:tcPr>
            <w:tcW w:type="dxa" w:w="4889"/>
          </w:tcPr>
          <w:p>
            <w:pPr>
              <w:pStyle w:val="TableContents"/>
              <w:spacing w:before="0" w:after="0" w:line="240" w:lineRule="atLeast"/>
            </w:pPr>
            <w:r>
              <w:rPr>
                <w:rFonts w:ascii="Arial" w:hAnsi="Arial" w:cs="Arial" w:eastAsia="Arial"/>
                <w:sz w:val="16"/>
                <w:szCs w:val="16"/>
              </w:rPr>
              <w:t>Environmental Management Plan - a project-level document that details the specific environmental controls, mitigation measures, monitoring requirements and responsibilities required to achieve compliance with approval conditions and RT standards.</w:t>
            </w:r>
          </w:p>
        </w:tc>
      </w:tr>
      <w:tr>
        <w:tc>
          <w:tcPr>
            <w:tcW w:type="dxa" w:w="4888"/>
          </w:tcPr>
          <w:p>
            <w:pPr>
              <w:pStyle w:val="TableContents"/>
              <w:spacing w:before="0" w:after="0" w:line="240" w:lineRule="atLeast"/>
            </w:pPr>
            <w:r>
              <w:rPr>
                <w:rFonts w:ascii="Arial" w:hAnsi="Arial" w:cs="Arial" w:eastAsia="Arial"/>
                <w:sz w:val="16"/>
                <w:szCs w:val="16"/>
              </w:rPr>
              <w:t>CEMP</w:t>
            </w:r>
          </w:p>
        </w:tc>
        <w:tc>
          <w:tcPr>
            <w:tcW w:type="dxa" w:w="4889"/>
          </w:tcPr>
          <w:p>
            <w:pPr>
              <w:pStyle w:val="TableContents"/>
              <w:spacing w:before="0" w:after="0" w:line="240" w:lineRule="atLeast"/>
            </w:pPr>
            <w:r>
              <w:rPr>
                <w:rFonts w:ascii="Arial" w:hAnsi="Arial" w:cs="Arial" w:eastAsia="Arial"/>
                <w:sz w:val="16"/>
                <w:szCs w:val="16"/>
              </w:rPr>
              <w:t>Construction Environmental Management Plan - a site-specific subset of the Environmental Management Plan detailing environmental controls and responsibilities applicable during the construction phase of the project.</w:t>
            </w:r>
          </w:p>
        </w:tc>
      </w:tr>
      <w:tr>
        <w:tc>
          <w:tcPr>
            <w:tcW w:type="dxa" w:w="4888"/>
          </w:tcPr>
          <w:p>
            <w:pPr>
              <w:pStyle w:val="TableContents"/>
              <w:spacing w:before="0" w:after="0" w:line="240" w:lineRule="atLeast"/>
            </w:pPr>
            <w:r>
              <w:rPr>
                <w:rFonts w:ascii="Arial" w:hAnsi="Arial" w:cs="Arial" w:eastAsia="Arial"/>
                <w:sz w:val="16"/>
                <w:szCs w:val="16"/>
              </w:rPr>
              <w:t>GIS</w:t>
            </w:r>
          </w:p>
        </w:tc>
        <w:tc>
          <w:tcPr>
            <w:tcW w:type="dxa" w:w="4889"/>
          </w:tcPr>
          <w:p>
            <w:pPr>
              <w:pStyle w:val="TableContents"/>
              <w:spacing w:before="0" w:after="0" w:line="240" w:lineRule="atLeast"/>
            </w:pPr>
            <w:r>
              <w:rPr>
                <w:rFonts w:ascii="Arial" w:hAnsi="Arial" w:cs="Arial" w:eastAsia="Arial"/>
                <w:sz w:val="16"/>
                <w:szCs w:val="16"/>
              </w:rPr>
              <w:t>Geographic Information System - a digital spatial data management tool used to map, analyse and record land disturbance boundaries, rehabilitation progress, vegetation clearing limits and environmental sensitive area locations.</w:t>
            </w:r>
          </w:p>
        </w:tc>
      </w:tr>
      <w:tr>
        <w:tc>
          <w:tcPr>
            <w:tcW w:type="dxa" w:w="4888"/>
          </w:tcPr>
          <w:p>
            <w:pPr>
              <w:pStyle w:val="TableContents"/>
              <w:spacing w:before="0" w:after="0" w:line="240" w:lineRule="atLeast"/>
            </w:pPr>
            <w:r>
              <w:rPr>
                <w:rFonts w:ascii="Arial" w:hAnsi="Arial" w:cs="Arial" w:eastAsia="Arial"/>
                <w:sz w:val="16"/>
                <w:szCs w:val="16"/>
              </w:rPr>
              <w:t>GPS</w:t>
            </w:r>
          </w:p>
        </w:tc>
        <w:tc>
          <w:tcPr>
            <w:tcW w:type="dxa" w:w="4889"/>
          </w:tcPr>
          <w:p>
            <w:pPr>
              <w:pStyle w:val="TableContents"/>
              <w:spacing w:before="0" w:after="0" w:line="240" w:lineRule="atLeast"/>
            </w:pPr>
            <w:r>
              <w:rPr>
                <w:rFonts w:ascii="Arial" w:hAnsi="Arial" w:cs="Arial" w:eastAsia="Arial"/>
                <w:sz w:val="16"/>
                <w:szCs w:val="16"/>
              </w:rPr>
              <w:t>Global Positioning System - a satellite-based navigation technology used on-site to accurately locate and mark disturbance boundaries, clearing limits, sensitive areas and rehabilitation monitoring plots.</w:t>
            </w:r>
          </w:p>
        </w:tc>
      </w:tr>
      <w:tr>
        <w:tc>
          <w:tcPr>
            <w:tcW w:type="dxa" w:w="4888"/>
          </w:tcPr>
          <w:p>
            <w:pPr>
              <w:pStyle w:val="TableContents"/>
              <w:spacing w:before="0" w:after="0" w:line="240" w:lineRule="atLeast"/>
            </w:pPr>
            <w:r>
              <w:rPr>
                <w:rFonts w:ascii="Arial" w:hAnsi="Arial" w:cs="Arial" w:eastAsia="Arial"/>
                <w:sz w:val="16"/>
                <w:szCs w:val="16"/>
              </w:rPr>
              <w:t>ESA</w:t>
            </w:r>
          </w:p>
        </w:tc>
        <w:tc>
          <w:tcPr>
            <w:tcW w:type="dxa" w:w="4889"/>
          </w:tcPr>
          <w:p>
            <w:pPr>
              <w:pStyle w:val="TableContents"/>
              <w:spacing w:before="0" w:after="0" w:line="240" w:lineRule="atLeast"/>
            </w:pPr>
            <w:r>
              <w:rPr>
                <w:rFonts w:ascii="Arial" w:hAnsi="Arial" w:cs="Arial" w:eastAsia="Arial"/>
                <w:sz w:val="16"/>
                <w:szCs w:val="16"/>
              </w:rPr>
              <w:t>Environmentally Sensitive Area - a designated zone, habitat or feature identified during pre-disturbance surveys or in project approvals as requiring heightened protection, exclusion or specific management controls to prevent significant environmental harm.</w:t>
            </w:r>
          </w:p>
        </w:tc>
      </w:tr>
      <w:tr>
        <w:tc>
          <w:tcPr>
            <w:tcW w:type="dxa" w:w="4888"/>
          </w:tcPr>
          <w:p>
            <w:pPr>
              <w:pStyle w:val="TableContents"/>
              <w:spacing w:before="0" w:after="0" w:line="240" w:lineRule="atLeast"/>
            </w:pPr>
            <w:r>
              <w:rPr>
                <w:rFonts w:ascii="Arial" w:hAnsi="Arial" w:cs="Arial" w:eastAsia="Arial"/>
                <w:sz w:val="16"/>
                <w:szCs w:val="16"/>
              </w:rPr>
              <w:t>TECS</w:t>
            </w:r>
          </w:p>
        </w:tc>
        <w:tc>
          <w:tcPr>
            <w:tcW w:type="dxa" w:w="4889"/>
          </w:tcPr>
          <w:p>
            <w:pPr>
              <w:pStyle w:val="TableContents"/>
              <w:spacing w:before="0" w:after="0" w:line="240" w:lineRule="atLeast"/>
            </w:pPr>
            <w:r>
              <w:rPr>
                <w:rFonts w:ascii="Arial" w:hAnsi="Arial" w:cs="Arial" w:eastAsia="Arial"/>
                <w:sz w:val="16"/>
                <w:szCs w:val="16"/>
              </w:rPr>
              <w:t>Threatened Ecological Community - a plant or animal community listed under national or state legislation as being at risk of extinction due to reduction in geographic distribution or ecological function, requiring avoidance or specific offset obligations.</w:t>
            </w:r>
          </w:p>
        </w:tc>
      </w:tr>
      <w:tr>
        <w:tc>
          <w:tcPr>
            <w:tcW w:type="dxa" w:w="4888"/>
          </w:tcPr>
          <w:p>
            <w:pPr>
              <w:pStyle w:val="TableContents"/>
              <w:spacing w:before="0" w:after="0" w:line="240" w:lineRule="atLeast"/>
            </w:pPr>
            <w:r>
              <w:rPr>
                <w:rFonts w:ascii="Arial" w:hAnsi="Arial" w:cs="Arial" w:eastAsia="Arial"/>
                <w:sz w:val="16"/>
                <w:szCs w:val="16"/>
              </w:rPr>
              <w:t>TSF</w:t>
            </w:r>
          </w:p>
        </w:tc>
        <w:tc>
          <w:tcPr>
            <w:tcW w:type="dxa" w:w="4889"/>
          </w:tcPr>
          <w:p>
            <w:pPr>
              <w:pStyle w:val="TableContents"/>
              <w:spacing w:before="0" w:after="0" w:line="240" w:lineRule="atLeast"/>
            </w:pPr>
            <w:r>
              <w:rPr>
                <w:rFonts w:ascii="Arial" w:hAnsi="Arial" w:cs="Arial" w:eastAsia="Arial"/>
                <w:sz w:val="16"/>
                <w:szCs w:val="16"/>
              </w:rPr>
              <w:t>Tailings Storage Facility - an engineered containment structure used to store processed mineral waste, the landform and surface of which requires specific rehabilitation planning to achieve geotechnical stability and ecological closure criteria.</w:t>
            </w:r>
          </w:p>
        </w:tc>
      </w:tr>
      <w:tr>
        <w:tc>
          <w:tcPr>
            <w:tcW w:type="dxa" w:w="4888"/>
          </w:tcPr>
          <w:p>
            <w:pPr>
              <w:pStyle w:val="TableContents"/>
              <w:spacing w:before="0" w:after="0" w:line="240" w:lineRule="atLeast"/>
            </w:pPr>
            <w:r>
              <w:rPr>
                <w:rFonts w:ascii="Arial" w:hAnsi="Arial" w:cs="Arial" w:eastAsia="Arial"/>
                <w:sz w:val="16"/>
                <w:szCs w:val="16"/>
              </w:rPr>
              <w:t>ARD</w:t>
            </w:r>
          </w:p>
        </w:tc>
        <w:tc>
          <w:tcPr>
            <w:tcW w:type="dxa" w:w="4889"/>
          </w:tcPr>
          <w:p>
            <w:pPr>
              <w:pStyle w:val="TableContents"/>
              <w:spacing w:before="0" w:after="0" w:line="240" w:lineRule="atLeast"/>
            </w:pPr>
            <w:r>
              <w:rPr>
                <w:rFonts w:ascii="Arial" w:hAnsi="Arial" w:cs="Arial" w:eastAsia="Arial"/>
                <w:sz w:val="16"/>
                <w:szCs w:val="16"/>
              </w:rPr>
              <w:t>Acid Rock Drainage - a process whereby sulphide-bearing rock or waste material exposed to water and oxygen generates sulphuric acid and associated metal leaching, creating a significant rehabilitation and water quality risk requiring reactive waste management controls.</w:t>
            </w:r>
          </w:p>
        </w:tc>
      </w:tr>
      <w:tr>
        <w:tc>
          <w:tcPr>
            <w:tcW w:type="dxa" w:w="4888"/>
          </w:tcPr>
          <w:p>
            <w:pPr>
              <w:pStyle w:val="TableContents"/>
              <w:spacing w:before="0" w:after="0" w:line="240" w:lineRule="atLeast"/>
            </w:pPr>
            <w:r>
              <w:rPr>
                <w:rFonts w:ascii="Arial" w:hAnsi="Arial" w:cs="Arial" w:eastAsia="Arial"/>
                <w:sz w:val="16"/>
                <w:szCs w:val="16"/>
              </w:rPr>
              <w:t>NAF</w:t>
            </w:r>
          </w:p>
        </w:tc>
        <w:tc>
          <w:tcPr>
            <w:tcW w:type="dxa" w:w="4889"/>
          </w:tcPr>
          <w:p>
            <w:pPr>
              <w:pStyle w:val="TableContents"/>
              <w:spacing w:before="0" w:after="0" w:line="240" w:lineRule="atLeast"/>
            </w:pPr>
            <w:r>
              <w:rPr>
                <w:rFonts w:ascii="Arial" w:hAnsi="Arial" w:cs="Arial" w:eastAsia="Arial"/>
                <w:sz w:val="16"/>
                <w:szCs w:val="16"/>
              </w:rPr>
              <w:t>Non-Acid Forming - a classification assigned to rock or waste material that, based on geochemical testing, does not have the potential to generate acid drainage when exposed to weathering conditions, informing landform rehabilitation and cover system design.</w:t>
            </w:r>
          </w:p>
        </w:tc>
      </w:tr>
      <w:tr>
        <w:tc>
          <w:tcPr>
            <w:tcW w:type="dxa" w:w="4888"/>
          </w:tcPr>
          <w:p>
            <w:pPr>
              <w:pStyle w:val="TableContents"/>
              <w:spacing w:before="0" w:after="0" w:line="240" w:lineRule="atLeast"/>
            </w:pPr>
            <w:r>
              <w:rPr>
                <w:rFonts w:ascii="Arial" w:hAnsi="Arial" w:cs="Arial" w:eastAsia="Arial"/>
                <w:sz w:val="16"/>
                <w:szCs w:val="16"/>
              </w:rPr>
              <w:t>PAF</w:t>
            </w:r>
          </w:p>
        </w:tc>
        <w:tc>
          <w:tcPr>
            <w:tcW w:type="dxa" w:w="4889"/>
          </w:tcPr>
          <w:p>
            <w:pPr>
              <w:pStyle w:val="TableContents"/>
              <w:spacing w:before="0" w:after="0" w:line="240" w:lineRule="atLeast"/>
            </w:pPr>
            <w:r>
              <w:rPr>
                <w:rFonts w:ascii="Arial" w:hAnsi="Arial" w:cs="Arial" w:eastAsia="Arial"/>
                <w:sz w:val="16"/>
                <w:szCs w:val="16"/>
              </w:rPr>
              <w:t>Potentially Acid Forming - a classification assigned to rock or waste material that has been identified through geochemical testing as capable of generating acid drainage upon exposure to oxidising conditions, requiring isolation, encapsulation or dedicated cover systems in rehabilitation design.</w:t>
            </w:r>
          </w:p>
        </w:tc>
      </w:tr>
      <w:tr>
        <w:tc>
          <w:tcPr>
            <w:tcW w:type="dxa" w:w="4888"/>
          </w:tcPr>
          <w:p>
            <w:pPr>
              <w:pStyle w:val="TableContents"/>
              <w:spacing w:before="0" w:after="0" w:line="240" w:lineRule="atLeast"/>
            </w:pPr>
            <w:r>
              <w:rPr>
                <w:rFonts w:ascii="Arial" w:hAnsi="Arial" w:cs="Arial" w:eastAsia="Arial"/>
                <w:sz w:val="16"/>
                <w:szCs w:val="16"/>
              </w:rPr>
              <w:t>NPI</w:t>
            </w:r>
          </w:p>
        </w:tc>
        <w:tc>
          <w:tcPr>
            <w:tcW w:type="dxa" w:w="4889"/>
          </w:tcPr>
          <w:p>
            <w:pPr>
              <w:pStyle w:val="TableContents"/>
              <w:spacing w:before="0" w:after="0" w:line="240" w:lineRule="atLeast"/>
            </w:pPr>
            <w:r>
              <w:rPr>
                <w:rFonts w:ascii="Arial" w:hAnsi="Arial" w:cs="Arial" w:eastAsia="Arial"/>
                <w:sz w:val="16"/>
                <w:szCs w:val="16"/>
              </w:rPr>
              <w:t>Net Positive Impact - a project biodiversity objective requiring that the total positive outcomes delivered through avoidance, minimisation, rehabilitation and offsets result in a measurable improvement over the pre-project baseline condition for affected biodiversity values.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metric used to evaluate whether rehabilitation activities and outcomes are meeting the progressive and final closure performance criteria defined in the project approval conditions and rehabilitation management plan.</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Rio Tinto owner-led team comprising the Project Director, functional leads and discipline specialists responsible for all project delivery activities, including land disturbance control and rehabilitation obligations.</w:t>
            </w:r>
          </w:p>
        </w:tc>
      </w:tr>
      <w:tr>
        <w:tc>
          <w:tcPr>
            <w:tcW w:type="dxa" w:w="4888"/>
          </w:tcPr>
          <w:p>
            <w:pPr>
              <w:pStyle w:val="TableContents"/>
              <w:spacing w:before="0" w:after="0" w:line="240" w:lineRule="atLeast"/>
            </w:pPr>
            <w:r>
              <w:rPr>
                <w:rFonts w:ascii="Arial" w:hAnsi="Arial" w:cs="Arial" w:eastAsia="Arial"/>
                <w:sz w:val="16"/>
                <w:szCs w:val="16"/>
              </w:rPr>
              <w:t>PMST</w:t>
            </w:r>
          </w:p>
        </w:tc>
        <w:tc>
          <w:tcPr>
            <w:tcW w:type="dxa" w:w="4889"/>
          </w:tcPr>
          <w:p>
            <w:pPr>
              <w:pStyle w:val="TableContents"/>
              <w:spacing w:before="0" w:after="0" w:line="240" w:lineRule="atLeast"/>
            </w:pPr>
            <w:r>
              <w:rPr>
                <w:rFonts w:ascii="Arial" w:hAnsi="Arial" w:cs="Arial" w:eastAsia="Arial"/>
                <w:sz w:val="16"/>
                <w:szCs w:val="16"/>
              </w:rPr>
              <w:t>Project Management Support Team - the broader support function within Rio Tinto Projects providing technical, governance and assurance oversight to the Project Management Team across all HSESC disciplines including land and rehabilitation management.</w:t>
            </w:r>
          </w:p>
        </w:tc>
      </w:tr>
      <w:tr>
        <w:tc>
          <w:tcPr>
            <w:tcW w:type="dxa" w:w="4888"/>
          </w:tcPr>
          <w:p>
            <w:pPr>
              <w:pStyle w:val="TableContents"/>
              <w:spacing w:before="0" w:after="0" w:line="240" w:lineRule="atLeast"/>
            </w:pPr>
            <w:r>
              <w:rPr>
                <w:rFonts w:ascii="Arial" w:hAnsi="Arial" w:cs="Arial" w:eastAsia="Arial"/>
                <w:sz w:val="16"/>
                <w:szCs w:val="16"/>
              </w:rPr>
              <w:t>SMP</w:t>
            </w:r>
          </w:p>
        </w:tc>
        <w:tc>
          <w:tcPr>
            <w:tcW w:type="dxa" w:w="4889"/>
          </w:tcPr>
          <w:p>
            <w:pPr>
              <w:pStyle w:val="TableContents"/>
              <w:spacing w:before="0" w:after="0" w:line="240" w:lineRule="atLeast"/>
            </w:pPr>
            <w:r>
              <w:rPr>
                <w:rFonts w:ascii="Arial" w:hAnsi="Arial" w:cs="Arial" w:eastAsia="Arial"/>
                <w:sz w:val="16"/>
                <w:szCs w:val="16"/>
              </w:rPr>
              <w:t>Soil Management Plan - a project document detailing the procedures for topsoil stripping, stockpiling, protection from erosion and contamination, and reuse in rehabilitation to preserve soil biological activity and seed bank viability.</w:t>
            </w:r>
          </w:p>
        </w:tc>
      </w:tr>
      <w:tr>
        <w:tc>
          <w:tcPr>
            <w:tcW w:type="dxa" w:w="4888"/>
          </w:tcPr>
          <w:p>
            <w:pPr>
              <w:pStyle w:val="TableContents"/>
              <w:spacing w:before="0" w:after="0" w:line="240" w:lineRule="atLeast"/>
            </w:pPr>
            <w:r>
              <w:rPr>
                <w:rFonts w:ascii="Arial" w:hAnsi="Arial" w:cs="Arial" w:eastAsia="Arial"/>
                <w:sz w:val="16"/>
                <w:szCs w:val="16"/>
              </w:rPr>
              <w:t>ERSED</w:t>
            </w:r>
          </w:p>
        </w:tc>
        <w:tc>
          <w:tcPr>
            <w:tcW w:type="dxa" w:w="4889"/>
          </w:tcPr>
          <w:p>
            <w:pPr>
              <w:pStyle w:val="TableContents"/>
              <w:spacing w:before="0" w:after="0" w:line="240" w:lineRule="atLeast"/>
            </w:pPr>
            <w:r>
              <w:rPr>
                <w:rFonts w:ascii="Arial" w:hAnsi="Arial" w:cs="Arial" w:eastAsia="Arial"/>
                <w:sz w:val="16"/>
                <w:szCs w:val="16"/>
              </w:rPr>
              <w:t>Erosion and Sediment Control - the application of engineered and vegetative measures to prevent soil detachment and the transport of sediment off disturbed land surfaces into watercourses, drainage lines and receiving environments.</w:t>
            </w:r>
          </w:p>
        </w:tc>
      </w:tr>
      <w:tr>
        <w:tc>
          <w:tcPr>
            <w:tcW w:type="dxa" w:w="4888"/>
          </w:tcPr>
          <w:p>
            <w:pPr>
              <w:pStyle w:val="TableContents"/>
              <w:spacing w:before="0" w:after="0" w:line="240" w:lineRule="atLeast"/>
            </w:pPr>
            <w:r>
              <w:rPr>
                <w:rFonts w:ascii="Arial" w:hAnsi="Arial" w:cs="Arial" w:eastAsia="Arial"/>
                <w:sz w:val="16"/>
                <w:szCs w:val="16"/>
              </w:rPr>
              <w:t>EPL</w:t>
            </w:r>
          </w:p>
        </w:tc>
        <w:tc>
          <w:tcPr>
            <w:tcW w:type="dxa" w:w="4889"/>
          </w:tcPr>
          <w:p>
            <w:pPr>
              <w:pStyle w:val="TableContents"/>
              <w:spacing w:before="0" w:after="0" w:line="240" w:lineRule="atLeast"/>
            </w:pPr>
            <w:r>
              <w:rPr>
                <w:rFonts w:ascii="Arial" w:hAnsi="Arial" w:cs="Arial" w:eastAsia="Arial"/>
                <w:sz w:val="16"/>
                <w:szCs w:val="16"/>
              </w:rPr>
              <w:t>Environmental Protection Licence - a statutory licence issued by the relevant regulatory authority that sets legally binding conditions governing the environmental performance of specific project activities, including land disturbance and rehabilitation.</w:t>
            </w:r>
          </w:p>
        </w:tc>
      </w:tr>
      <w:tr>
        <w:tc>
          <w:tcPr>
            <w:tcW w:type="dxa" w:w="4888"/>
          </w:tcPr>
          <w:p>
            <w:pPr>
              <w:pStyle w:val="TableContents"/>
              <w:spacing w:before="0" w:after="0" w:line="240" w:lineRule="atLeast"/>
            </w:pPr>
            <w:r>
              <w:rPr>
                <w:rFonts w:ascii="Arial" w:hAnsi="Arial" w:cs="Arial" w:eastAsia="Arial"/>
                <w:sz w:val="16"/>
                <w:szCs w:val="16"/>
              </w:rPr>
              <w:t>IESC</w:t>
            </w:r>
          </w:p>
        </w:tc>
        <w:tc>
          <w:tcPr>
            <w:tcW w:type="dxa" w:w="4889"/>
          </w:tcPr>
          <w:p>
            <w:pPr>
              <w:pStyle w:val="TableContents"/>
              <w:spacing w:before="0" w:after="0" w:line="240" w:lineRule="atLeast"/>
            </w:pPr>
            <w:r>
              <w:rPr>
                <w:rFonts w:ascii="Arial" w:hAnsi="Arial" w:cs="Arial" w:eastAsia="Arial"/>
                <w:sz w:val="16"/>
                <w:szCs w:val="16"/>
              </w:rPr>
              <w:t>Independent Expert Scientific Committee - the Australian federal advisory body that provides scientific advice on the potential impacts of coal seam gas and large coal mining developments on water resources, whose guidance may inform land disturbance and rehabilitation assessment.</w:t>
            </w:r>
          </w:p>
        </w:tc>
      </w:tr>
      <w:tr>
        <w:tc>
          <w:tcPr>
            <w:tcW w:type="dxa" w:w="4888"/>
          </w:tcPr>
          <w:p>
            <w:pPr>
              <w:pStyle w:val="TableContents"/>
              <w:spacing w:before="0" w:after="0" w:line="240" w:lineRule="atLeast"/>
            </w:pPr>
            <w:r>
              <w:rPr>
                <w:rFonts w:ascii="Arial" w:hAnsi="Arial" w:cs="Arial" w:eastAsia="Arial"/>
                <w:sz w:val="16"/>
                <w:szCs w:val="16"/>
              </w:rPr>
              <w:t>EPBC</w:t>
            </w:r>
          </w:p>
        </w:tc>
        <w:tc>
          <w:tcPr>
            <w:tcW w:type="dxa" w:w="4889"/>
          </w:tcPr>
          <w:p>
            <w:pPr>
              <w:pStyle w:val="TableContents"/>
              <w:spacing w:before="0" w:after="0" w:line="240" w:lineRule="atLeast"/>
            </w:pPr>
            <w:r>
              <w:rPr>
                <w:rFonts w:ascii="Arial" w:hAnsi="Arial" w:cs="Arial" w:eastAsia="Arial"/>
                <w:sz w:val="16"/>
                <w:szCs w:val="16"/>
              </w:rPr>
              <w:t>Environment Protection and Biodiversity Conservation - referring to the Environment Protection and Biodiversity Conservation Act 1999 (Cth), the primary Australian federal legislation governing approvals for actions likely to have a significant impact on matters of national environmental significance, including threatened species and ecological communities affected by land disturbance.</w:t>
            </w:r>
          </w:p>
        </w:tc>
      </w:tr>
      <w:tr>
        <w:tc>
          <w:tcPr>
            <w:tcW w:type="dxa" w:w="4888"/>
          </w:tcPr>
          <w:p>
            <w:pPr>
              <w:pStyle w:val="TableContents"/>
              <w:spacing w:before="0" w:after="0" w:line="240" w:lineRule="atLeast"/>
            </w:pPr>
            <w:r>
              <w:rPr>
                <w:rFonts w:ascii="Arial" w:hAnsi="Arial" w:cs="Arial" w:eastAsia="Arial"/>
                <w:sz w:val="16"/>
                <w:szCs w:val="16"/>
              </w:rPr>
              <w:t>MOU</w:t>
            </w:r>
          </w:p>
        </w:tc>
        <w:tc>
          <w:tcPr>
            <w:tcW w:type="dxa" w:w="4889"/>
          </w:tcPr>
          <w:p>
            <w:pPr>
              <w:pStyle w:val="TableContents"/>
              <w:spacing w:before="0" w:after="0" w:line="240" w:lineRule="atLeast"/>
            </w:pPr>
            <w:r>
              <w:rPr>
                <w:rFonts w:ascii="Arial" w:hAnsi="Arial" w:cs="Arial" w:eastAsia="Arial"/>
                <w:sz w:val="16"/>
                <w:szCs w:val="16"/>
              </w:rPr>
              <w:t>Memorandum of Understanding - a formal agreement between the project and a regulatory body, traditional owner group or other stakeholder that documents shared commitments and obligations in relation to land management, cultural heritage protection or rehabilitation outcomes.</w:t>
            </w:r>
          </w:p>
        </w:tc>
      </w:tr>
      <w:tr>
        <w:tc>
          <w:tcPr>
            <w:tcW w:type="dxa" w:w="4888"/>
          </w:tcPr>
          <w:p>
            <w:pPr>
              <w:pStyle w:val="TableContents"/>
              <w:spacing w:before="0" w:after="0" w:line="240" w:lineRule="atLeast"/>
            </w:pPr>
            <w:r>
              <w:rPr>
                <w:rFonts w:ascii="Arial" w:hAnsi="Arial" w:cs="Arial" w:eastAsia="Arial"/>
                <w:sz w:val="16"/>
                <w:szCs w:val="16"/>
              </w:rPr>
              <w:t>CARP</w:t>
            </w:r>
          </w:p>
        </w:tc>
        <w:tc>
          <w:tcPr>
            <w:tcW w:type="dxa" w:w="4889"/>
          </w:tcPr>
          <w:p>
            <w:pPr>
              <w:pStyle w:val="TableContents"/>
              <w:spacing w:before="0" w:after="0" w:line="240" w:lineRule="atLeast"/>
            </w:pPr>
            <w:r>
              <w:rPr>
                <w:rFonts w:ascii="Arial" w:hAnsi="Arial" w:cs="Arial" w:eastAsia="Arial"/>
                <w:sz w:val="16"/>
                <w:szCs w:val="16"/>
              </w:rPr>
              <w:t>Closure and Rehabilitation Plan - the overarching document defining the long-term vision, objectives, criteria, staged milestones and responsibilities for progressive and final rehabilitation of all project-disturbed lands to agreed post-mining land use.</w:t>
            </w:r>
          </w:p>
        </w:tc>
      </w:tr>
      <w:tr>
        <w:tc>
          <w:tcPr>
            <w:tcW w:type="dxa" w:w="4888"/>
          </w:tcPr>
          <w:p>
            <w:pPr>
              <w:pStyle w:val="TableContents"/>
              <w:spacing w:before="0" w:after="0" w:line="240" w:lineRule="atLeast"/>
            </w:pPr>
            <w:r>
              <w:rPr>
                <w:rFonts w:ascii="Arial" w:hAnsi="Arial" w:cs="Arial" w:eastAsia="Arial"/>
                <w:sz w:val="16"/>
                <w:szCs w:val="16"/>
              </w:rPr>
              <w:t>RMS</w:t>
            </w:r>
          </w:p>
        </w:tc>
        <w:tc>
          <w:tcPr>
            <w:tcW w:type="dxa" w:w="4889"/>
          </w:tcPr>
          <w:p>
            <w:pPr>
              <w:pStyle w:val="TableContents"/>
              <w:spacing w:before="0" w:after="0" w:line="240" w:lineRule="atLeast"/>
            </w:pPr>
            <w:r>
              <w:rPr>
                <w:rFonts w:ascii="Arial" w:hAnsi="Arial" w:cs="Arial" w:eastAsia="Arial"/>
                <w:sz w:val="16"/>
                <w:szCs w:val="16"/>
              </w:rPr>
              <w:t>Rio Tinto Risk Management Standard - the corporate standard mandating the application of a consistent risk management framework across all Rio Tinto operations and projects, including the identification and control of risks associated with land disturbance and rehabilitation failure.</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Body of Water - any natural or constructed water feature, including rivers, streams, wetlands, lakes and reservoirs, that must be protected from sedimentation, contamination and hydrological disturbance resulting from land clearing and earthworks activities.</w:t>
            </w:r>
          </w:p>
        </w:tc>
      </w:tr>
      <w:tr>
        <w:tc>
          <w:tcPr>
            <w:tcW w:type="dxa" w:w="4888"/>
          </w:tcPr>
          <w:p>
            <w:pPr>
              <w:pStyle w:val="TableContents"/>
              <w:spacing w:before="0" w:after="0" w:line="240" w:lineRule="atLeast"/>
            </w:pPr>
            <w:r>
              <w:rPr>
                <w:rFonts w:ascii="Arial" w:hAnsi="Arial" w:cs="Arial" w:eastAsia="Arial"/>
                <w:sz w:val="16"/>
                <w:szCs w:val="16"/>
              </w:rPr>
              <w:t>IFC</w:t>
            </w:r>
          </w:p>
        </w:tc>
        <w:tc>
          <w:tcPr>
            <w:tcW w:type="dxa" w:w="4889"/>
          </w:tcPr>
          <w:p>
            <w:pPr>
              <w:pStyle w:val="TableContents"/>
              <w:spacing w:before="0" w:after="0" w:line="240" w:lineRule="atLeast"/>
            </w:pPr>
            <w:r>
              <w:rPr>
                <w:rFonts w:ascii="Arial" w:hAnsi="Arial" w:cs="Arial" w:eastAsia="Arial"/>
                <w:sz w:val="16"/>
                <w:szCs w:val="16"/>
              </w:rPr>
              <w:t>International Finance Corporation - the private sector lending arm of the World Bank Group whose Performance Standards on Environmental and Social Sustainability, including Performance Standard 6 on Biodiversity Conservation and Sustainable Management of Living Natural Resources, may apply to Rio Tinto project financing requirements.</w:t>
            </w:r>
          </w:p>
        </w:tc>
      </w:tr>
      <w:tr>
        <w:tc>
          <w:tcPr>
            <w:tcW w:type="dxa" w:w="4888"/>
          </w:tcPr>
          <w:p>
            <w:pPr>
              <w:pStyle w:val="TableContents"/>
              <w:spacing w:before="0" w:after="0" w:line="240" w:lineRule="atLeast"/>
            </w:pPr>
            <w:r>
              <w:rPr>
                <w:rFonts w:ascii="Arial" w:hAnsi="Arial" w:cs="Arial" w:eastAsia="Arial"/>
                <w:sz w:val="16"/>
                <w:szCs w:val="16"/>
              </w:rPr>
              <w:t>PS</w:t>
            </w:r>
          </w:p>
        </w:tc>
        <w:tc>
          <w:tcPr>
            <w:tcW w:type="dxa" w:w="4889"/>
          </w:tcPr>
          <w:p>
            <w:pPr>
              <w:pStyle w:val="TableContents"/>
              <w:spacing w:before="0" w:after="0" w:line="240" w:lineRule="atLeast"/>
            </w:pPr>
            <w:r>
              <w:rPr>
                <w:rFonts w:ascii="Arial" w:hAnsi="Arial" w:cs="Arial" w:eastAsia="Arial"/>
                <w:sz w:val="16"/>
                <w:szCs w:val="16"/>
              </w:rPr>
              <w:t>Performance Standard - a benchmark requirement defined by an external framework such as the IFC, against which project environmental and social management practices including land disturbance, rehabilitation and biodiversity offset are assessed.</w:t>
            </w:r>
          </w:p>
        </w:tc>
      </w:tr>
      <w:tr>
        <w:tc>
          <w:tcPr>
            <w:tcW w:type="dxa" w:w="4888"/>
          </w:tcPr>
          <w:p>
            <w:pPr>
              <w:pStyle w:val="TableContents"/>
              <w:spacing w:before="0" w:after="0" w:line="240" w:lineRule="atLeast"/>
            </w:pPr>
            <w:r>
              <w:rPr>
                <w:rFonts w:ascii="Arial" w:hAnsi="Arial" w:cs="Arial" w:eastAsia="Arial"/>
                <w:sz w:val="16"/>
                <w:szCs w:val="16"/>
              </w:rPr>
              <w:t>ICMM</w:t>
            </w:r>
          </w:p>
        </w:tc>
        <w:tc>
          <w:tcPr>
            <w:tcW w:type="dxa" w:w="4889"/>
          </w:tcPr>
          <w:p>
            <w:pPr>
              <w:pStyle w:val="TableContents"/>
              <w:spacing w:before="0" w:after="0" w:line="240" w:lineRule="atLeast"/>
            </w:pPr>
            <w:r>
              <w:rPr>
                <w:rFonts w:ascii="Arial" w:hAnsi="Arial" w:cs="Arial" w:eastAsia="Arial"/>
                <w:sz w:val="16"/>
                <w:szCs w:val="16"/>
              </w:rPr>
              <w:t>International Council on Mining and Metals - the industry body whose sustainable development framework and position statements on biodiversity and land stewardship inform Rio Tinto's approach to land disturbance minimisation and rehabilitation.</w:t>
            </w:r>
          </w:p>
        </w:tc>
      </w:tr>
      <w:tr>
        <w:tc>
          <w:tcPr>
            <w:tcW w:type="dxa" w:w="4888"/>
          </w:tcPr>
          <w:p>
            <w:pPr>
              <w:pStyle w:val="TableContents"/>
              <w:spacing w:before="0" w:after="0" w:line="240" w:lineRule="atLeast"/>
            </w:pPr>
            <w:r>
              <w:rPr>
                <w:rFonts w:ascii="Arial" w:hAnsi="Arial" w:cs="Arial" w:eastAsia="Arial"/>
                <w:sz w:val="16"/>
                <w:szCs w:val="16"/>
              </w:rPr>
              <w:t>WH</w:t>
            </w:r>
          </w:p>
        </w:tc>
        <w:tc>
          <w:tcPr>
            <w:tcW w:type="dxa" w:w="4889"/>
          </w:tcPr>
          <w:p>
            <w:pPr>
              <w:pStyle w:val="TableContents"/>
              <w:spacing w:before="0" w:after="0" w:line="240" w:lineRule="atLeast"/>
            </w:pPr>
            <w:r>
              <w:rPr>
                <w:rFonts w:ascii="Arial" w:hAnsi="Arial" w:cs="Arial" w:eastAsia="Arial"/>
                <w:sz w:val="16"/>
                <w:szCs w:val="16"/>
              </w:rPr>
              <w:t>World Heritage - referring to sites inscribed on the UNESCO World Heritage List, which represent matters of national environmental significance under the EPBC Act and require absolute avoidance of land disturbance within or adjacent to their boundaries.</w:t>
            </w:r>
          </w:p>
        </w:tc>
      </w:tr>
      <w:tr>
        <w:tc>
          <w:tcPr>
            <w:tcW w:type="dxa" w:w="4888"/>
          </w:tcPr>
          <w:p>
            <w:pPr>
              <w:pStyle w:val="TableContents"/>
              <w:spacing w:before="0" w:after="0" w:line="240" w:lineRule="atLeast"/>
            </w:pPr>
            <w:r>
              <w:rPr>
                <w:rFonts w:ascii="Arial" w:hAnsi="Arial" w:cs="Arial" w:eastAsia="Arial"/>
                <w:sz w:val="16"/>
                <w:szCs w:val="16"/>
              </w:rPr>
              <w:t>CRF</w:t>
            </w:r>
          </w:p>
        </w:tc>
        <w:tc>
          <w:tcPr>
            <w:tcW w:type="dxa" w:w="4889"/>
          </w:tcPr>
          <w:p>
            <w:pPr>
              <w:pStyle w:val="TableContents"/>
              <w:spacing w:before="0" w:after="0" w:line="240" w:lineRule="atLeast"/>
            </w:pPr>
            <w:r>
              <w:rPr>
                <w:rFonts w:ascii="Arial" w:hAnsi="Arial" w:cs="Arial" w:eastAsia="Arial"/>
                <w:sz w:val="16"/>
                <w:szCs w:val="16"/>
              </w:rPr>
              <w:t>Closure Rehabilitation Fund - a financial provision or bond established by the project to ensure sufficient funds are available to meet progressive and final rehabilitation obligations in the event of early project closure or company default.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Biodiversity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Water Quality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Reactive Waste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RMS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RMS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Biodiversity Strategy</w:t>
            </w:r>
          </w:p>
        </w:tc>
        <w:tc>
          <w:tcPr>
            <w:tcW w:type="dxa" w:w="3259"/>
          </w:tcPr>
          <w:p>
            <w:pPr>
              <w:pStyle w:val="TableContents"/>
              <w:spacing w:before="0" w:after="0" w:line="240" w:lineRule="atLeast"/>
            </w:pPr>
            <w:r>
              <w:rPr>
                <w:rFonts w:ascii="Arial" w:hAnsi="Arial" w:cs="Arial" w:eastAsia="Arial"/>
                <w:sz w:val="16"/>
                <w:szCs w:val="16"/>
              </w:rPr>
              <w:t>RT Biodiversity Strategy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Land Management Standard</w:t>
            </w:r>
          </w:p>
        </w:tc>
        <w:tc>
          <w:tcPr>
            <w:tcW w:type="dxa" w:w="3259"/>
          </w:tcPr>
          <w:p>
            <w:pPr>
              <w:pStyle w:val="TableContents"/>
              <w:spacing w:before="0" w:after="0" w:line="240" w:lineRule="atLeast"/>
            </w:pPr>
            <w:r>
              <w:rPr>
                <w:rFonts w:ascii="Arial" w:hAnsi="Arial" w:cs="Arial" w:eastAsia="Arial"/>
                <w:sz w:val="16"/>
                <w:szCs w:val="16"/>
              </w:rPr>
              <w:t>RT Land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Closure Standard</w:t>
            </w:r>
          </w:p>
        </w:tc>
        <w:tc>
          <w:tcPr>
            <w:tcW w:type="dxa" w:w="3259"/>
          </w:tcPr>
          <w:p>
            <w:pPr>
              <w:pStyle w:val="TableContents"/>
              <w:spacing w:before="0" w:after="0" w:line="240" w:lineRule="atLeast"/>
            </w:pPr>
            <w:r>
              <w:rPr>
                <w:rFonts w:ascii="Arial" w:hAnsi="Arial" w:cs="Arial" w:eastAsia="Arial"/>
                <w:sz w:val="16"/>
                <w:szCs w:val="16"/>
              </w:rPr>
              <w:t>RT Closure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HSE Management System Requirements</w:t>
            </w:r>
          </w:p>
        </w:tc>
        <w:tc>
          <w:tcPr>
            <w:tcW w:type="dxa" w:w="3259"/>
          </w:tcPr>
          <w:p>
            <w:pPr>
              <w:pStyle w:val="TableContents"/>
              <w:spacing w:before="0" w:after="0" w:line="240" w:lineRule="atLeast"/>
            </w:pPr>
            <w:r>
              <w:rPr>
                <w:rFonts w:ascii="Arial" w:hAnsi="Arial" w:cs="Arial" w:eastAsia="Arial"/>
                <w:sz w:val="16"/>
                <w:szCs w:val="16"/>
              </w:rPr>
              <w:t>RT HSEMS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IFC Performance Standard 3 - Resource Efficiency and Pollution Prevention</w:t>
            </w:r>
          </w:p>
        </w:tc>
        <w:tc>
          <w:tcPr>
            <w:tcW w:type="dxa" w:w="3259"/>
          </w:tcPr>
          <w:p>
            <w:pPr>
              <w:pStyle w:val="TableContents"/>
              <w:spacing w:before="0" w:after="0" w:line="240" w:lineRule="atLeast"/>
            </w:pPr>
            <w:r>
              <w:rPr>
                <w:rFonts w:ascii="Arial" w:hAnsi="Arial" w:cs="Arial" w:eastAsia="Arial"/>
                <w:sz w:val="16"/>
                <w:szCs w:val="16"/>
              </w:rPr>
              <w:t>IFC PS3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6 - Biodiversity Conservation and Sustainable Management of Living Natural Resources</w:t>
            </w:r>
          </w:p>
        </w:tc>
        <w:tc>
          <w:tcPr>
            <w:tcW w:type="dxa" w:w="3259"/>
          </w:tcPr>
          <w:p>
            <w:pPr>
              <w:pStyle w:val="TableContents"/>
              <w:spacing w:before="0" w:after="0" w:line="240" w:lineRule="atLeast"/>
            </w:pPr>
            <w:r>
              <w:rPr>
                <w:rFonts w:ascii="Arial" w:hAnsi="Arial" w:cs="Arial" w:eastAsia="Arial"/>
                <w:sz w:val="16"/>
                <w:szCs w:val="16"/>
              </w:rPr>
              <w:t>IFC PS6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Environment Protection and Biodiversity Conservation Act 1999 (Cth)</w:t>
            </w:r>
          </w:p>
        </w:tc>
        <w:tc>
          <w:tcPr>
            <w:tcW w:type="dxa" w:w="3259"/>
          </w:tcPr>
          <w:p>
            <w:pPr>
              <w:pStyle w:val="TableContents"/>
              <w:spacing w:before="0" w:after="0" w:line="240" w:lineRule="atLeast"/>
            </w:pPr>
            <w:r>
              <w:rPr>
                <w:rFonts w:ascii="Arial" w:hAnsi="Arial" w:cs="Arial" w:eastAsia="Arial"/>
                <w:sz w:val="16"/>
                <w:szCs w:val="16"/>
              </w:rPr>
              <w:t>EPBC Act 1999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ICMM Sustainable Development Framework - Mining and Biodiversity: A Guide to Integrating Biodiversity into the Mining and Metals Sector</w:t>
            </w:r>
          </w:p>
        </w:tc>
        <w:tc>
          <w:tcPr>
            <w:tcW w:type="dxa" w:w="3259"/>
          </w:tcPr>
          <w:p>
            <w:pPr>
              <w:pStyle w:val="TableContents"/>
              <w:spacing w:before="0" w:after="0" w:line="240" w:lineRule="atLeast"/>
            </w:pPr>
            <w:r>
              <w:rPr>
                <w:rFonts w:ascii="Arial" w:hAnsi="Arial" w:cs="Arial" w:eastAsia="Arial"/>
                <w:sz w:val="16"/>
                <w:szCs w:val="16"/>
              </w:rPr>
              <w:t>ICMM 2019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ICMM Good Practice Guidance for Mining and Biodiversity</w:t>
            </w:r>
          </w:p>
        </w:tc>
        <w:tc>
          <w:tcPr>
            <w:tcW w:type="dxa" w:w="3259"/>
          </w:tcPr>
          <w:p>
            <w:pPr>
              <w:pStyle w:val="TableContents"/>
              <w:spacing w:before="0" w:after="0" w:line="240" w:lineRule="atLeast"/>
            </w:pPr>
            <w:r>
              <w:rPr>
                <w:rFonts w:ascii="Arial" w:hAnsi="Arial" w:cs="Arial" w:eastAsia="Arial"/>
                <w:sz w:val="16"/>
                <w:szCs w:val="16"/>
              </w:rPr>
              <w:t>ICMM GPG Biodiversity</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Mitigation Hierarchy - Business and Biodiversity Offsets Programme (BBOP) Standard on Biodiversity Offsets</w:t>
            </w:r>
          </w:p>
        </w:tc>
        <w:tc>
          <w:tcPr>
            <w:tcW w:type="dxa" w:w="3259"/>
          </w:tcPr>
          <w:p>
            <w:pPr>
              <w:pStyle w:val="TableContents"/>
              <w:spacing w:before="0" w:after="0" w:line="240" w:lineRule="atLeast"/>
            </w:pPr>
            <w:r>
              <w:rPr>
                <w:rFonts w:ascii="Arial" w:hAnsi="Arial" w:cs="Arial" w:eastAsia="Arial"/>
                <w:sz w:val="16"/>
                <w:szCs w:val="16"/>
              </w:rPr>
              <w:t>BBOP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and New Zealand Guidelines for Fresh and Marine Water Quality</w:t>
            </w:r>
          </w:p>
        </w:tc>
        <w:tc>
          <w:tcPr>
            <w:tcW w:type="dxa" w:w="3259"/>
          </w:tcPr>
          <w:p>
            <w:pPr>
              <w:pStyle w:val="TableContents"/>
              <w:spacing w:before="0" w:after="0" w:line="240" w:lineRule="atLeast"/>
            </w:pPr>
            <w:r>
              <w:rPr>
                <w:rFonts w:ascii="Arial" w:hAnsi="Arial" w:cs="Arial" w:eastAsia="Arial"/>
                <w:sz w:val="16"/>
                <w:szCs w:val="16"/>
              </w:rPr>
              <w:t>ANZG 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Equator Principles - A Financial Industry Benchmark for Determining, Assessing and Managing Environmental and Social Risk in Project Finance Transactions</w:t>
            </w:r>
          </w:p>
        </w:tc>
        <w:tc>
          <w:tcPr>
            <w:tcW w:type="dxa" w:w="3259"/>
          </w:tcPr>
          <w:p>
            <w:pPr>
              <w:pStyle w:val="TableContents"/>
              <w:spacing w:before="0" w:after="0" w:line="240" w:lineRule="atLeast"/>
            </w:pPr>
            <w:r>
              <w:rPr>
                <w:rFonts w:ascii="Arial" w:hAnsi="Arial" w:cs="Arial" w:eastAsia="Arial"/>
                <w:sz w:val="16"/>
                <w:szCs w:val="16"/>
              </w:rPr>
              <w:t>Equator Principles IV</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Biodiversity Standard</w:t>
            </w:r>
          </w:p>
        </w:tc>
        <w:tc>
          <w:tcPr>
            <w:tcW w:type="dxa" w:w="2256"/>
          </w:tcPr>
          <w:p>
            <w:pPr>
              <w:pStyle w:val="TableContents"/>
              <w:spacing w:before="0" w:after="0" w:line="240" w:lineRule="atLeast"/>
            </w:pPr>
            <w:r>
              <w:rPr>
                <w:rFonts w:ascii="Arial" w:hAnsi="Arial" w:cs="Arial" w:eastAsia="Arial"/>
                <w:sz w:val="16"/>
                <w:szCs w:val="16"/>
              </w:rPr>
              <w:t>Requires compliance with disturbance approvals, pre-disturbance topsoil recovery, vegetation clearance controls, progressive rehabilitation, erosion monitoring, quantitative rehabilitation performance criteria, and demobilisation rehabilitation requirements.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PS6 IFC PS6 §14</w:t>
            </w:r>
          </w:p>
        </w:tc>
        <w:tc>
          <w:tcPr>
            <w:tcW w:type="dxa" w:w="2256"/>
          </w:tcPr>
          <w:p>
            <w:pPr>
              <w:pStyle w:val="TableContents"/>
              <w:spacing w:before="0" w:after="0" w:line="240" w:lineRule="atLeast"/>
            </w:pPr>
            <w:r>
              <w:rPr>
                <w:rFonts w:ascii="Arial" w:hAnsi="Arial" w:cs="Arial" w:eastAsia="Arial"/>
                <w:sz w:val="16"/>
                <w:szCs w:val="16"/>
              </w:rPr>
              <w:t>Requires identification and protection of areas of high biodiversity value and application of the mitigation hierarchy to minimise habitat disturbance and loss.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PS6 IFC PS6 §15</w:t>
            </w:r>
          </w:p>
        </w:tc>
        <w:tc>
          <w:tcPr>
            <w:tcW w:type="dxa" w:w="2256"/>
          </w:tcPr>
          <w:p>
            <w:pPr>
              <w:pStyle w:val="TableContents"/>
              <w:spacing w:before="0" w:after="0" w:line="240" w:lineRule="atLeast"/>
            </w:pPr>
            <w:r>
              <w:rPr>
                <w:rFonts w:ascii="Arial" w:hAnsi="Arial" w:cs="Arial" w:eastAsia="Arial"/>
                <w:sz w:val="16"/>
                <w:szCs w:val="16"/>
              </w:rPr>
              <w:t>Requires implementation of monitoring programmes to track rehabilitation success against defined performance criteria and adaptive management where criteria are not being met.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ICMM Principle 7 - Conservation of Biodiversity</w:t>
            </w:r>
          </w:p>
        </w:tc>
        <w:tc>
          <w:tcPr>
            <w:tcW w:type="dxa" w:w="2256"/>
          </w:tcPr>
          <w:p>
            <w:pPr>
              <w:pStyle w:val="TableContents"/>
              <w:spacing w:before="0" w:after="0" w:line="240" w:lineRule="atLeast"/>
            </w:pPr>
            <w:r>
              <w:rPr>
                <w:rFonts w:ascii="Arial" w:hAnsi="Arial" w:cs="Arial" w:eastAsia="Arial"/>
                <w:sz w:val="16"/>
                <w:szCs w:val="16"/>
              </w:rPr>
              <w:t>Requires contribution to conservation of biodiversity through integrated land-use planning and implementation of appropriate mine closure strategies.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ICMM Principle 6 - Environmental Performance</w:t>
            </w:r>
          </w:p>
        </w:tc>
        <w:tc>
          <w:tcPr>
            <w:tcW w:type="dxa" w:w="2256"/>
          </w:tcPr>
          <w:p>
            <w:pPr>
              <w:pStyle w:val="TableContents"/>
              <w:spacing w:before="0" w:after="0" w:line="240" w:lineRule="atLeast"/>
            </w:pPr>
            <w:r>
              <w:rPr>
                <w:rFonts w:ascii="Arial" w:hAnsi="Arial" w:cs="Arial" w:eastAsia="Arial"/>
                <w:sz w:val="16"/>
                <w:szCs w:val="16"/>
              </w:rPr>
              <w:t>Requires planning and designing for closure in consultation with relevant authorities and stakeholders, implementing closure measures, and making financial provision to realise agreed closure and post-closure commitments.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