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1F3864"/>
          <w:sz w:val="64"/>
          <w:szCs w:val="64"/>
        </w:rPr>
        <w:t xml:space="preserve">HSESC MANAGEMENT SYSTEM</w:t>
      </w:r>
    </w:p>
    <w:p>
      <w:pPr>
        <w:spacing w:after="120" w:before="0"/>
        <w:jc w:val="center"/>
      </w:pPr>
      <w:r>
        <w:rPr>
          <w:rFonts w:ascii="Arial" w:cs="Arial" w:eastAsia="Arial" w:hAnsi="Arial"/>
          <w:b/>
          <w:bCs/>
          <w:color w:val="2E75B6"/>
          <w:sz w:val="40"/>
          <w:szCs w:val="40"/>
        </w:rPr>
        <w:t xml:space="preserve">System Design Playbook</w:t>
      </w:r>
    </w:p>
    <w:p>
      <w:pPr>
        <w:pBdr>
          <w:top w:val="single" w:color="2E75B6" w:sz="6" w:space="4"/>
          <w:bottom w:val="single" w:color="2E75B6" w:sz="6" w:space="4"/>
        </w:pBdr>
        <w:spacing w:after="80" w:before="80"/>
        <w:jc w:val="center"/>
      </w:pPr>
      <w:r>
        <w:rPr>
          <w:rFonts w:ascii="Arial" w:cs="Arial" w:eastAsia="Arial" w:hAnsi="Arial"/>
          <w:i/>
          <w:iCs/>
          <w:color w:val="2D2D2D"/>
          <w:sz w:val="22"/>
          <w:szCs w:val="22"/>
        </w:rPr>
        <w:t xml:space="preserve">Owner-Led Projects  |  Rio Tinto Projects</w:t>
      </w:r>
    </w:p>
    <w:p>
      <w:pPr>
        <w:spacing w:after="800" w:before="200"/>
        <w:jc w:val="center"/>
      </w:pPr>
      <w:r>
        <w:rPr>
          <w:rFonts w:ascii="Arial" w:cs="Arial" w:eastAsia="Arial" w:hAnsi="Arial"/>
          <w:color w:val="666666"/>
          <w:sz w:val="18"/>
          <w:szCs w:val="18"/>
        </w:rPr>
        <w:t xml:space="preserve">47 Procedures  •  Cross-Reference Architecture  •  Project Completion Guidance</w:t>
      </w:r>
    </w:p>
    <w:p>
      <w:pPr>
        <w:spacing w:after="120" w:before="0"/>
      </w:pPr>
      <w:r>
        <w:rPr>
          <w:rFonts w:ascii="Arial" w:cs="Arial" w:eastAsia="Arial" w:hAnsi="Arial"/>
          <w:b/>
          <w:bCs/>
          <w:color w:val="2E75B6"/>
          <w:sz w:val="22"/>
          <w:szCs w:val="22"/>
        </w:rPr>
        <w:t xml:space="preserve">ABOUT THIS DOCUMENT</w:t>
      </w:r>
    </w:p>
    <w:p>
      <w:pPr>
        <w:spacing w:after="40" w:before="40"/>
      </w:pPr>
      <w:r>
        <w:rPr>
          <w:rFonts w:ascii="Arial" w:cs="Arial" w:eastAsia="Arial" w:hAnsi="Arial"/>
          <w:color w:val="2D2D2D"/>
          <w:sz w:val="19"/>
          <w:szCs w:val="19"/>
        </w:rPr>
        <w:t xml:space="preserve">This document is the master playbook for building the HSESC Management System for RT Owner-Led Projects. It serves three purposes:</w:t>
      </w:r>
    </w:p>
    <w:p>
      <w:pPr>
        <w:pStyle w:val="ListParagraph"/>
        <w:numPr>
          <w:ilvl w:val="0"/>
          <w:numId w:val="2"/>
        </w:numPr>
        <w:spacing w:after="40" w:before="40"/>
      </w:pPr>
      <w:r>
        <w:rPr>
          <w:rFonts w:ascii="Arial" w:cs="Arial" w:eastAsia="Arial" w:hAnsi="Arial"/>
          <w:b/>
          <w:bCs/>
          <w:color w:val="1F3864"/>
          <w:sz w:val="19"/>
          <w:szCs w:val="19"/>
        </w:rPr>
        <w:t xml:space="preserve">System architecture specification: </w:t>
      </w:r>
      <w:r>
        <w:rPr>
          <w:rFonts w:ascii="Arial" w:cs="Arial" w:eastAsia="Arial" w:hAnsi="Arial"/>
          <w:color w:val="2D2D2D"/>
          <w:sz w:val="19"/>
          <w:szCs w:val="19"/>
        </w:rPr>
        <w:t xml:space="preserve">defines the document hierarchy, information ownership rules, and cross-reference architecture that ensures the system is coherent, connected, and free of duplication.</w:t>
      </w:r>
    </w:p>
    <w:p>
      <w:pPr>
        <w:pStyle w:val="ListParagraph"/>
        <w:numPr>
          <w:ilvl w:val="0"/>
          <w:numId w:val="2"/>
        </w:numPr>
        <w:spacing w:after="40" w:before="40"/>
      </w:pPr>
      <w:r>
        <w:rPr>
          <w:rFonts w:ascii="Arial" w:cs="Arial" w:eastAsia="Arial" w:hAnsi="Arial"/>
          <w:b/>
          <w:bCs/>
          <w:color w:val="1F3864"/>
          <w:sz w:val="19"/>
          <w:szCs w:val="19"/>
        </w:rPr>
        <w:t xml:space="preserve">Technical writer briefs: </w:t>
      </w:r>
      <w:r>
        <w:rPr>
          <w:rFonts w:ascii="Arial" w:cs="Arial" w:eastAsia="Arial" w:hAnsi="Arial"/>
          <w:color w:val="2D2D2D"/>
          <w:sz w:val="19"/>
          <w:szCs w:val="19"/>
        </w:rPr>
        <w:t xml:space="preserve">each procedure section specifies exactly what content must be included and what must be referenced from elsewhere, with every requirement attributed to its source authority.</w:t>
      </w:r>
    </w:p>
    <w:p>
      <w:pPr>
        <w:pStyle w:val="ListParagraph"/>
        <w:numPr>
          <w:ilvl w:val="0"/>
          <w:numId w:val="2"/>
        </w:numPr>
        <w:spacing w:after="40" w:before="40"/>
      </w:pPr>
      <w:r>
        <w:rPr>
          <w:rFonts w:ascii="Arial" w:cs="Arial" w:eastAsia="Arial" w:hAnsi="Arial"/>
          <w:b/>
          <w:bCs/>
          <w:color w:val="1F3864"/>
          <w:sz w:val="19"/>
          <w:szCs w:val="19"/>
        </w:rPr>
        <w:t xml:space="preserve">Project completion guidance: </w:t>
      </w:r>
      <w:r>
        <w:rPr>
          <w:rFonts w:ascii="Arial" w:cs="Arial" w:eastAsia="Arial" w:hAnsi="Arial"/>
          <w:color w:val="2D2D2D"/>
          <w:sz w:val="19"/>
          <w:szCs w:val="19"/>
        </w:rPr>
        <w:t xml:space="preserve">each procedure section includes a structured amber block listing every project-specific decision, action, or piece of information the project team must complete to take the 90% draft to 100%.</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GOLDEN RULE — NO DUPLICATION</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1F3864"/>
                <w:sz w:val="18"/>
                <w:szCs w:val="18"/>
              </w:rPr>
              <w:t xml:space="preserve">Every piece of information in this management system lives in exactly ONE document.</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1F3864"/>
                <w:sz w:val="18"/>
                <w:szCs w:val="18"/>
              </w:rPr>
              <w:t xml:space="preserve">All other documents REFERENCE that document rather than repeating the content.</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1F3864"/>
                <w:sz w:val="18"/>
                <w:szCs w:val="18"/>
              </w:rPr>
              <w:t xml:space="preserve">If a technical writer finds themselves about to write something that is already defined</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1F3864"/>
                <w:sz w:val="18"/>
                <w:szCs w:val="18"/>
              </w:rPr>
              <w:t xml:space="preserve">in another procedure, they must stop and write a cross-reference instead.</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1F3864"/>
                <w:sz w:val="18"/>
                <w:szCs w:val="18"/>
              </w:rPr>
              <w:t xml:space="preserve">The Document Relationships block at the top of each procedure brief is the guide.</w:t>
            </w:r>
          </w:p>
        </w:tc>
      </w:tr>
    </w:tbl>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SECTION 1 — Document Architecture and Information Ownership</w:t>
      </w:r>
    </w:p>
    <w:p>
      <w:pPr>
        <w:spacing w:after="40" w:before="40"/>
      </w:pPr>
      <w:r>
        <w:rPr>
          <w:rFonts w:ascii="Arial" w:cs="Arial" w:eastAsia="Arial" w:hAnsi="Arial"/>
          <w:color w:val="2D2D2D"/>
          <w:sz w:val="19"/>
          <w:szCs w:val="19"/>
        </w:rPr>
        <w:t xml:space="preserve">The table below shows every tier of the management system, what each document or group of documents owns, and what it references. This is the master architecture map. Technical writers must consult this map before beginning any procedure to understand the information boundaries.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Tier / Document</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Owns (single source of truth)</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References / Note</w:t>
            </w:r>
          </w:p>
        </w:tc>
      </w:tr>
      <w:tr>
        <w:tc>
          <w:tcPr>
            <w:gridSpan w:val="3"/>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8"/>
                <w:szCs w:val="18"/>
              </w:rPr>
              <w:t xml:space="preserve">TIER 1 — Policies</w:t>
            </w:r>
          </w:p>
        </w:tc>
      </w:tr>
      <w:tr>
        <w:tc>
          <w:tcPr>
            <w:tcW w:type="dxa" w:w="2800"/>
            <w:tcBorders>
              <w:top w:val="single" w:color="CCCCCC" w:sz="1"/>
              <w:left w:val="single" w:color="CCCCCC" w:sz="1"/>
              <w:bottom w:val="single" w:color="CCCCCC" w:sz="1"/>
              <w:right w:val="single" w:color="CCCCCC" w:sz="1"/>
            </w:tcBorders>
            <w:shd w:fill="D6DCE4" w:val="clear"/>
            <w:tcMar>
              <w:top w:type="dxa" w:w="60"/>
              <w:left w:type="dxa" w:w="120"/>
              <w:bottom w:type="dxa" w:w="60"/>
              <w:right w:type="dxa" w:w="120"/>
            </w:tcMar>
          </w:tcPr>
          <w:p>
            <w:r>
              <w:rPr>
                <w:rFonts w:ascii="Arial" w:cs="Arial" w:eastAsia="Arial" w:hAnsi="Arial"/>
                <w:b/>
                <w:bCs/>
                <w:color w:val="1F3864"/>
                <w:sz w:val="17"/>
                <w:szCs w:val="17"/>
              </w:rPr>
              <w:t xml:space="preserve">POL-001 to POL-008</w:t>
            </w:r>
          </w:p>
          <w:p>
            <w:r>
              <w:rPr>
                <w:rFonts w:ascii="Arial" w:cs="Arial" w:eastAsia="Arial" w:hAnsi="Arial"/>
                <w:color w:val="444444"/>
                <w:sz w:val="16"/>
                <w:szCs w:val="16"/>
              </w:rPr>
              <w:t xml:space="preserve">HSESC Policies and Framework</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Non-negotiable organisational commitments. Sets the direction for all tiers below.</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Referenced by all Tier 2, 3, and 4 documents as the policy foundation.</w:t>
            </w:r>
          </w:p>
        </w:tc>
      </w:tr>
      <w:tr>
        <w:tc>
          <w:tcPr>
            <w:gridSpan w:val="3"/>
            <w:tcBorders>
              <w:top w:val="single" w:color="CCCCCC" w:sz="1"/>
              <w:left w:val="single" w:color="CCCCCC" w:sz="1"/>
              <w:bottom w:val="single" w:color="CCCCCC" w:sz="1"/>
              <w:right w:val="single" w:color="CCCCCC" w:sz="1"/>
            </w:tcBorders>
            <w:shd w:fill="0F5457" w:val="clear"/>
            <w:tcMar>
              <w:top w:type="dxa" w:w="60"/>
              <w:left w:type="dxa" w:w="120"/>
              <w:bottom w:type="dxa" w:w="60"/>
              <w:right w:type="dxa" w:w="120"/>
            </w:tcMar>
          </w:tcPr>
          <w:p>
            <w:r>
              <w:rPr>
                <w:rFonts w:ascii="Arial" w:cs="Arial" w:eastAsia="Arial" w:hAnsi="Arial"/>
                <w:b/>
                <w:bCs/>
                <w:color w:val="FFFFFF"/>
                <w:sz w:val="18"/>
                <w:szCs w:val="18"/>
              </w:rPr>
              <w:t xml:space="preserve">TIER 2 — Plans &amp; Standards</w:t>
            </w:r>
          </w:p>
        </w:tc>
      </w:tr>
      <w:tr>
        <w:tc>
          <w:tcPr>
            <w:tcW w:type="dxa" w:w="2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7"/>
                <w:szCs w:val="17"/>
              </w:rPr>
              <w:t xml:space="preserve">RTPR-HSE-PLA-0001</w:t>
            </w:r>
          </w:p>
          <w:p>
            <w:r>
              <w:rPr>
                <w:rFonts w:ascii="Arial" w:cs="Arial" w:eastAsia="Arial" w:hAnsi="Arial"/>
                <w:color w:val="444444"/>
                <w:sz w:val="16"/>
                <w:szCs w:val="16"/>
              </w:rPr>
              <w:t xml:space="preserve">HSESC Management Plan</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Project-level implementation commitments; delivery schedule; resource plan.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Parent document for all sub-plans.</w:t>
            </w:r>
          </w:p>
        </w:tc>
      </w:tr>
      <w:tr>
        <w:tc>
          <w:tcPr>
            <w:tcW w:type="dxa" w:w="2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7"/>
                <w:szCs w:val="17"/>
              </w:rPr>
              <w:t xml:space="preserve">RTPR-HSE-PLA-0004</w:t>
            </w:r>
          </w:p>
          <w:p>
            <w:r>
              <w:rPr>
                <w:rFonts w:ascii="Arial" w:cs="Arial" w:eastAsia="Arial" w:hAnsi="Arial"/>
                <w:color w:val="444444"/>
                <w:sz w:val="16"/>
                <w:szCs w:val="16"/>
              </w:rPr>
              <w:t xml:space="preserve">CRM Programme Plan</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Critical risk register; CRM verification framework; champion roles.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Referenced by RTPR-HSE-PRO-0002, RTPR-HSE-PRO-0042, RTPR-HSE-PRO-0044.</w:t>
            </w:r>
          </w:p>
        </w:tc>
      </w:tr>
      <w:tr>
        <w:tc>
          <w:tcPr>
            <w:tcW w:type="dxa" w:w="2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7"/>
                <w:szCs w:val="17"/>
              </w:rPr>
              <w:t xml:space="preserve">RTPR-HSE-PLA-0007</w:t>
            </w:r>
          </w:p>
          <w:p>
            <w:r>
              <w:rPr>
                <w:rFonts w:ascii="Arial" w:cs="Arial" w:eastAsia="Arial" w:hAnsi="Arial"/>
                <w:color w:val="444444"/>
                <w:sz w:val="16"/>
                <w:szCs w:val="16"/>
              </w:rPr>
              <w:t xml:space="preserve">Emergency Response Plan</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Scenario-specific emergency response instructions; ERP organisation; drill schedule.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Referenced by RTPR-HSE-PRO-0041 (which owns the ERP framework).</w:t>
            </w:r>
          </w:p>
        </w:tc>
      </w:tr>
      <w:tr>
        <w:tc>
          <w:tcPr>
            <w:tcW w:type="dxa" w:w="2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7"/>
                <w:szCs w:val="17"/>
              </w:rPr>
              <w:t xml:space="preserve">RTPR-HSE-PLA-0002 to 030</w:t>
            </w:r>
          </w:p>
          <w:p>
            <w:r>
              <w:rPr>
                <w:rFonts w:ascii="Arial" w:cs="Arial" w:eastAsia="Arial" w:hAnsi="Arial"/>
                <w:color w:val="444444"/>
                <w:sz w:val="16"/>
                <w:szCs w:val="16"/>
              </w:rPr>
              <w:t xml:space="preserve">All other Tier 2 Plans</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Topic-specific planning commitments.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Reference the relevant Tier 3 procedures for operational detail.</w:t>
            </w:r>
          </w:p>
        </w:tc>
      </w:tr>
      <w:tr>
        <w:tc>
          <w:tcPr>
            <w:gridSpan w:val="3"/>
            <w:tcBorders>
              <w:top w:val="single" w:color="CCCCCC" w:sz="1"/>
              <w:left w:val="single" w:color="CCCCCC" w:sz="1"/>
              <w:bottom w:val="single" w:color="CCCCCC" w:sz="1"/>
              <w:right w:val="single" w:color="CCCCCC" w:sz="1"/>
            </w:tcBorders>
            <w:shd w:fill="7F6000" w:val="clear"/>
            <w:tcMar>
              <w:top w:type="dxa" w:w="60"/>
              <w:left w:type="dxa" w:w="120"/>
              <w:bottom w:type="dxa" w:w="60"/>
              <w:right w:type="dxa" w:w="120"/>
            </w:tcMar>
          </w:tcPr>
          <w:p>
            <w:r>
              <w:rPr>
                <w:rFonts w:ascii="Arial" w:cs="Arial" w:eastAsia="Arial" w:hAnsi="Arial"/>
                <w:b/>
                <w:bCs/>
                <w:color w:val="FFFFFF"/>
                <w:sz w:val="18"/>
                <w:szCs w:val="18"/>
              </w:rPr>
              <w:t xml:space="preserve">TIER 3 — Procedures (System Foundation)</w:t>
            </w:r>
          </w:p>
        </w:tc>
      </w:tr>
      <w:tr>
        <w:tc>
          <w:tcPr>
            <w:tcW w:type="dxa" w:w="2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1F3864"/>
                <w:sz w:val="17"/>
                <w:szCs w:val="17"/>
              </w:rPr>
              <w:t xml:space="preserve">RTPR-HSE-PRO-0002</w:t>
            </w:r>
          </w:p>
          <w:p>
            <w:r>
              <w:rPr>
                <w:rFonts w:ascii="Arial" w:cs="Arial" w:eastAsia="Arial" w:hAnsi="Arial"/>
                <w:color w:val="444444"/>
                <w:sz w:val="16"/>
                <w:szCs w:val="16"/>
              </w:rPr>
              <w:t xml:space="preserve">HSESC Risk Management</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5×5 risk matrix; hierarchy of controls; risk register format; HAZID process; JHA process.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ALL other procedures reference RTPR-HSE-PRO-0002 for the risk framework — never re-state the matrix.</w:t>
            </w:r>
          </w:p>
        </w:tc>
      </w:tr>
      <w:tr>
        <w:tc>
          <w:tcPr>
            <w:tcW w:type="dxa" w:w="2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1F3864"/>
                <w:sz w:val="17"/>
                <w:szCs w:val="17"/>
              </w:rPr>
              <w:t xml:space="preserve">RTPR-HSE-PRO-0009</w:t>
            </w:r>
          </w:p>
          <w:p>
            <w:r>
              <w:rPr>
                <w:rFonts w:ascii="Arial" w:cs="Arial" w:eastAsia="Arial" w:hAnsi="Arial"/>
                <w:color w:val="444444"/>
                <w:sz w:val="16"/>
                <w:szCs w:val="16"/>
              </w:rPr>
              <w:t xml:space="preserve">Incident &amp; Action Management</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Incident classification matrix; notification timelines; investigation methodology; just culture process.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ALL other procedures reference RTPR-HSE-PRO-0009 for reporting — never re-state the 1-hour rule elsewhere.</w:t>
            </w:r>
          </w:p>
        </w:tc>
      </w:tr>
      <w:tr>
        <w:tc>
          <w:tcPr>
            <w:tcW w:type="dxa" w:w="2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1F3864"/>
                <w:sz w:val="17"/>
                <w:szCs w:val="17"/>
              </w:rPr>
              <w:t xml:space="preserve">RTPR-HSE-PRO-0004</w:t>
            </w:r>
          </w:p>
          <w:p>
            <w:r>
              <w:rPr>
                <w:rFonts w:ascii="Arial" w:cs="Arial" w:eastAsia="Arial" w:hAnsi="Arial"/>
                <w:color w:val="444444"/>
                <w:sz w:val="16"/>
                <w:szCs w:val="16"/>
              </w:rPr>
              <w:t xml:space="preserve">Training, Competency &amp; Awareness</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Training Matrix (RTPR-HSE-REG-0003); VOC process; induction programme; competency record requirements.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ALL procedures reference RTPR-HSE-PRO-0004 for competency documentation — never define training records elsewhere.</w:t>
            </w:r>
          </w:p>
        </w:tc>
      </w:tr>
      <w:tr>
        <w:tc>
          <w:tcPr>
            <w:tcW w:type="dxa" w:w="2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1F3864"/>
                <w:sz w:val="17"/>
                <w:szCs w:val="17"/>
              </w:rPr>
              <w:t xml:space="preserve">RTPR-HSE-PRO-0021</w:t>
            </w:r>
          </w:p>
          <w:p>
            <w:r>
              <w:rPr>
                <w:rFonts w:ascii="Arial" w:cs="Arial" w:eastAsia="Arial" w:hAnsi="Arial"/>
                <w:color w:val="444444"/>
                <w:sz w:val="16"/>
                <w:szCs w:val="16"/>
              </w:rPr>
              <w:t xml:space="preserve">Permit to Work</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PTW system structure; all permit types; permit roles; permit lifecycle; PTW status display.</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RTPR-HSE-PRO-0008, 014, 015, 016, 024, 025, 029, 046, 047 all reference RTPR-HSE-PRO-0021 — never re-state permit content.</w:t>
            </w:r>
          </w:p>
        </w:tc>
      </w:tr>
      <w:tr>
        <w:tc>
          <w:tcPr>
            <w:tcW w:type="dxa" w:w="280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b/>
                <w:bCs/>
                <w:color w:val="1F3864"/>
                <w:sz w:val="17"/>
                <w:szCs w:val="17"/>
              </w:rPr>
              <w:t xml:space="preserve">RTPR-HSE-PRO-0010</w:t>
            </w:r>
          </w:p>
          <w:p>
            <w:r>
              <w:rPr>
                <w:rFonts w:ascii="Arial" w:cs="Arial" w:eastAsia="Arial" w:hAnsi="Arial"/>
                <w:color w:val="444444"/>
                <w:sz w:val="16"/>
                <w:szCs w:val="16"/>
              </w:rPr>
              <w:t xml:space="preserve">Documentation &amp; Document Control</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Document hierarchy; numbering convention; approval authorities; version control; deliverables schedule.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ALL documents are subject to RTPR-HSE-PRO-0010 — each procedure header references this.</w:t>
            </w:r>
          </w:p>
        </w:tc>
      </w:tr>
      <w:tr>
        <w:tc>
          <w:tcPr>
            <w:gridSpan w:val="3"/>
            <w:tcBorders>
              <w:top w:val="single" w:color="CCCCCC" w:sz="1"/>
              <w:left w:val="single" w:color="CCCCCC" w:sz="1"/>
              <w:bottom w:val="single" w:color="CCCCCC" w:sz="1"/>
              <w:right w:val="single" w:color="CCCCCC" w:sz="1"/>
            </w:tcBorders>
            <w:shd w:fill="993C1D" w:val="clear"/>
            <w:tcMar>
              <w:top w:type="dxa" w:w="60"/>
              <w:left w:type="dxa" w:w="120"/>
              <w:bottom w:type="dxa" w:w="60"/>
              <w:right w:type="dxa" w:w="120"/>
            </w:tcMar>
          </w:tcPr>
          <w:p>
            <w:r>
              <w:rPr>
                <w:rFonts w:ascii="Arial" w:cs="Arial" w:eastAsia="Arial" w:hAnsi="Arial"/>
                <w:b/>
                <w:bCs/>
                <w:color w:val="FFFFFF"/>
                <w:sz w:val="18"/>
                <w:szCs w:val="18"/>
              </w:rPr>
              <w:t xml:space="preserve">TIER 3 — Procedures (Operational Hazard Controls)</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7"/>
                <w:szCs w:val="17"/>
              </w:rPr>
              <w:t xml:space="preserve">RTPR-HSE-PRO-0008</w:t>
            </w:r>
          </w:p>
          <w:p>
            <w:r>
              <w:rPr>
                <w:rFonts w:ascii="Arial" w:cs="Arial" w:eastAsia="Arial" w:hAnsi="Arial"/>
                <w:color w:val="444444"/>
                <w:sz w:val="16"/>
                <w:szCs w:val="16"/>
              </w:rPr>
              <w:t xml:space="preserve">Working at Heights</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Height controls; anchor point requirements; DROPS programme.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RTPR-HSE-PRO-0002 (risk), RTPR-HSE-PRO-0021 (permits), RTPR-HSE-PRO-0004 (competency), RTPR-HSE-PRO-0046 (scaffolding).</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7"/>
                <w:szCs w:val="17"/>
              </w:rPr>
              <w:t xml:space="preserve">RTPR-HSE-PRO-0014</w:t>
            </w:r>
          </w:p>
          <w:p>
            <w:r>
              <w:rPr>
                <w:rFonts w:ascii="Arial" w:cs="Arial" w:eastAsia="Arial" w:hAnsi="Arial"/>
                <w:color w:val="444444"/>
                <w:sz w:val="16"/>
                <w:szCs w:val="16"/>
              </w:rPr>
              <w:t xml:space="preserve">Confined Spaces</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Space classification; safe atmosphere parameters; atmospheric monitoring; rescue planning.</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RTPR-HSE-PRO-0002, RTPR-HSE-PRO-0021, RTPR-HSE-PRO-0024 (isolation before entry), RTPR-HSE-PRO-0004.</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7"/>
                <w:szCs w:val="17"/>
              </w:rPr>
              <w:t xml:space="preserve">RTPR-HSE-PRO-0015</w:t>
            </w:r>
          </w:p>
          <w:p>
            <w:r>
              <w:rPr>
                <w:rFonts w:ascii="Arial" w:cs="Arial" w:eastAsia="Arial" w:hAnsi="Arial"/>
                <w:color w:val="444444"/>
                <w:sz w:val="16"/>
                <w:szCs w:val="16"/>
              </w:rPr>
              <w:t xml:space="preserve">Cranes &amp; Lifting</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Lifting Equipment Register; critical lift classification; pre-ops check requirements.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RTPR-HSE-PRO-0002, RTPR-HSE-PRO-0021, RTPR-HSE-PRO-0004, RTPR-HSE-PRO-0024 (isolation for lifts near plant).</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7"/>
                <w:szCs w:val="17"/>
              </w:rPr>
              <w:t xml:space="preserve">RTPR-HSE-PRO-0024</w:t>
            </w:r>
          </w:p>
          <w:p>
            <w:r>
              <w:rPr>
                <w:rFonts w:ascii="Arial" w:cs="Arial" w:eastAsia="Arial" w:hAnsi="Arial"/>
                <w:color w:val="444444"/>
                <w:sz w:val="16"/>
                <w:szCs w:val="16"/>
              </w:rPr>
              <w:t xml:space="preserve">Isolation</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Isolation process; LOTO requirements; Isolation Officer role; mechanical blocking; guarding.</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RTPR-HSE-PRO-0021 (permits), RTPR-HSE-PRO-0004, RTPR-HSE-PRO-0025 (electrical isolation is there, not here).</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7"/>
                <w:szCs w:val="17"/>
              </w:rPr>
              <w:t xml:space="preserve">RTPR-HSE-PRO-0025</w:t>
            </w:r>
          </w:p>
          <w:p>
            <w:r>
              <w:rPr>
                <w:rFonts w:ascii="Arial" w:cs="Arial" w:eastAsia="Arial" w:hAnsi="Arial"/>
                <w:color w:val="444444"/>
                <w:sz w:val="16"/>
                <w:szCs w:val="16"/>
              </w:rPr>
              <w:t xml:space="preserve">Electrical Safety</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Arc flash assessment; energised work authorisation; SLD maintenance; electrical competency.</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RTPR-HSE-PRO-0021 (permits), RTPR-HSE-PRO-0024 (for non-electrical isolation), RTPR-HSE-PRO-0004.</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7"/>
                <w:szCs w:val="17"/>
              </w:rPr>
              <w:t xml:space="preserve">RTPR-HSE-PRO-0046</w:t>
            </w:r>
          </w:p>
          <w:p>
            <w:r>
              <w:rPr>
                <w:rFonts w:ascii="Arial" w:cs="Arial" w:eastAsia="Arial" w:hAnsi="Arial"/>
                <w:color w:val="444444"/>
                <w:sz w:val="16"/>
                <w:szCs w:val="16"/>
              </w:rPr>
              <w:t xml:space="preserve">Scaffolding</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Scaffold SSoW; design requirements; erection sequencing; tagging system; Scaffold Register.</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RTPR-HSE-PRO-0008 (users on scaffold), RTPR-HSE-PRO-0021 (permits), RTPR-HSE-PRO-0025 (proximity to electrics), RTPR-HSE-PRO-0030 (over water).</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7"/>
                <w:szCs w:val="17"/>
              </w:rPr>
              <w:t xml:space="preserve">RTPR-HSE-PRO-0047</w:t>
            </w:r>
          </w:p>
          <w:p>
            <w:r>
              <w:rPr>
                <w:rFonts w:ascii="Arial" w:cs="Arial" w:eastAsia="Arial" w:hAnsi="Arial"/>
                <w:color w:val="444444"/>
                <w:sz w:val="16"/>
                <w:szCs w:val="16"/>
              </w:rPr>
              <w:t xml:space="preserve">Commissioning Safety</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Commissioning risk workshop; pre-commissioning plans; demarcation system; handover process.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RTPR-HSE-PRO-0019, RTPR-HSE-PRO-0020, RTPR-HSE-PRO-0021, RTPR-HSE-PRO-0024, RTPR-HSE-PRO-0025, RTPR-HSE-PRO-0008, RTPR-HSE-PRO-0014.</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7"/>
                <w:szCs w:val="17"/>
              </w:rPr>
              <w:t xml:space="preserve">RTPR-HSE-PRO-0048</w:t>
            </w:r>
          </w:p>
          <w:p>
            <w:r>
              <w:rPr>
                <w:rFonts w:ascii="Arial" w:cs="Arial" w:eastAsia="Arial" w:hAnsi="Arial"/>
                <w:color w:val="444444"/>
                <w:sz w:val="16"/>
                <w:szCs w:val="16"/>
              </w:rPr>
              <w:t xml:space="preserve">SIMOPS</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SIMOPS Plan; SIMOPS Matrix; Task Definitions; Restriction Tables; coordination meeting schedule; work stoppage conditions; revalidation triggers.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RTPR-HSE-PRO-0002, RTPR-HSE-PRO-0021, RTPR-HSE-PRO-0040, RTPR-HSE-PRO-0047.</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7"/>
                <w:szCs w:val="17"/>
              </w:rPr>
              <w:t xml:space="preserve">RTPR-HSE-PRO-0049</w:t>
            </w:r>
          </w:p>
          <w:p>
            <w:r>
              <w:rPr>
                <w:rFonts w:ascii="Arial" w:cs="Arial" w:eastAsia="Arial" w:hAnsi="Arial"/>
                <w:color w:val="444444"/>
                <w:sz w:val="16"/>
                <w:szCs w:val="16"/>
              </w:rPr>
              <w:t xml:space="preserve">Communities and Social Performance</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CSP risk and impact process; engagement protocols; land access; community H&amp;S; CSP incident reporting; human rights due diligence; cultural heritage; Indigenous participation; social investment policy.</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RTPR-HSE-PRO-0001, RTPR-HSE-PRO-0002, RTPR-HSE-PRO-0009, RTPR-HSE-PRO-0033, RTPR-HSE-PRO-0037, RTPR-HSE-PRO-0041.</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7"/>
                <w:szCs w:val="17"/>
              </w:rPr>
              <w:t xml:space="preserve">RTPR-HSE-PRO-0050</w:t>
            </w:r>
          </w:p>
          <w:p>
            <w:r>
              <w:rPr>
                <w:rFonts w:ascii="Arial" w:cs="Arial" w:eastAsia="Arial" w:hAnsi="Arial"/>
                <w:color w:val="444444"/>
                <w:sz w:val="16"/>
                <w:szCs w:val="16"/>
              </w:rPr>
              <w:t xml:space="preserve">Leadership Development Programme</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Leadership Development Implementation Plan; Contractor Leadership Team charter; cultural assessment methodology; leadership activities by phase; internal coaching capability; programme budget and schedule.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RTPR-HSE-PRO-0003, RTPR-HSE-PRO-0004, RTPR-HSE-PRO-0011.</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7"/>
                <w:szCs w:val="17"/>
              </w:rPr>
              <w:t xml:space="preserve">RTPR-HSE-PRO-0051</w:t>
            </w:r>
          </w:p>
          <w:p>
            <w:r>
              <w:rPr>
                <w:rFonts w:ascii="Arial" w:cs="Arial" w:eastAsia="Arial" w:hAnsi="Arial"/>
                <w:color w:val="444444"/>
                <w:sz w:val="16"/>
                <w:szCs w:val="16"/>
              </w:rPr>
              <w:t xml:space="preserve">Explosives Management</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Explosives Management Plan; transport and storage requirements; on-site manufacture controls; misfire management; reconciliation and record-keeping; explosives ERP requirements.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RTPR-HSE-PRO-0001, RTPR-HSE-PRO-0002, RTPR-HSE-PRO-0004, RTPR-HSE-PRO-0009, RTPR-HSE-PRO-0021, RTPR-HSE-PRO-0028, RTPR-HSE-PRO-0041.</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7"/>
                <w:szCs w:val="17"/>
              </w:rPr>
              <w:t xml:space="preserve">RTPR-HSE-PRO-0026, 031</w:t>
            </w:r>
          </w:p>
          <w:p>
            <w:r>
              <w:rPr>
                <w:rFonts w:ascii="Arial" w:cs="Arial" w:eastAsia="Arial" w:hAnsi="Arial"/>
                <w:color w:val="444444"/>
                <w:sz w:val="16"/>
                <w:szCs w:val="16"/>
              </w:rPr>
              <w:t xml:space="preserve">Vehicles &amp; Traffic Management</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Vehicle specs; driver authorisation; positive comms; JMP triggers; road design; segregation.</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RTPR-HSE-PRO-0002, RTPR-HSE-PRO-0004, RTPR-HSE-PRO-0006 (driver fitness), RTPR-HSE-PRO-0009.</w:t>
            </w:r>
          </w:p>
        </w:tc>
      </w:tr>
      <w:tr>
        <w:tc>
          <w:tcPr>
            <w:tcW w:type="dxa" w:w="2800"/>
            <w:tcBorders>
              <w:top w:val="single" w:color="CCCCCC" w:sz="1"/>
              <w:left w:val="single" w:color="CCCCCC" w:sz="1"/>
              <w:bottom w:val="single" w:color="CCCCCC" w:sz="1"/>
              <w:right w:val="single" w:color="CCCCCC" w:sz="1"/>
            </w:tcBorders>
            <w:shd w:fill="FCE4D6" w:val="clear"/>
            <w:tcMar>
              <w:top w:type="dxa" w:w="60"/>
              <w:left w:type="dxa" w:w="120"/>
              <w:bottom w:type="dxa" w:w="60"/>
              <w:right w:type="dxa" w:w="120"/>
            </w:tcMar>
          </w:tcPr>
          <w:p>
            <w:r>
              <w:rPr>
                <w:rFonts w:ascii="Arial" w:cs="Arial" w:eastAsia="Arial" w:hAnsi="Arial"/>
                <w:b/>
                <w:bCs/>
                <w:color w:val="1F3864"/>
                <w:sz w:val="17"/>
                <w:szCs w:val="17"/>
              </w:rPr>
              <w:t xml:space="preserve">Others RTPR-HSE-PRO-0006 to RTPR-HSE-PRO-0033</w:t>
            </w:r>
          </w:p>
          <w:p>
            <w:r>
              <w:rPr>
                <w:rFonts w:ascii="Arial" w:cs="Arial" w:eastAsia="Arial" w:hAnsi="Arial"/>
                <w:color w:val="444444"/>
                <w:sz w:val="16"/>
                <w:szCs w:val="16"/>
              </w:rPr>
              <w:t xml:space="preserve">All other operational procedures</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Topic-specific hazard controls.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RTPR-HSE-PRO-0002, RTPR-HSE-PRO-0021, RTPR-HSE-PRO-0004, RTPR-HSE-PRO-0009, RTPR-HSE-PRO-0027 (PPE) as applicable.</w:t>
            </w:r>
          </w:p>
        </w:tc>
      </w:tr>
      <w:tr>
        <w:tc>
          <w:tcPr>
            <w:gridSpan w:val="3"/>
            <w:tcBorders>
              <w:top w:val="single" w:color="CCCCCC" w:sz="1"/>
              <w:left w:val="single" w:color="CCCCCC" w:sz="1"/>
              <w:bottom w:val="single" w:color="CCCCCC" w:sz="1"/>
              <w:right w:val="single" w:color="CCCCCC" w:sz="1"/>
            </w:tcBorders>
            <w:shd w:fill="0F5457" w:val="clear"/>
            <w:tcMar>
              <w:top w:type="dxa" w:w="60"/>
              <w:left w:type="dxa" w:w="120"/>
              <w:bottom w:type="dxa" w:w="60"/>
              <w:right w:type="dxa" w:w="120"/>
            </w:tcMar>
          </w:tcPr>
          <w:p>
            <w:r>
              <w:rPr>
                <w:rFonts w:ascii="Arial" w:cs="Arial" w:eastAsia="Arial" w:hAnsi="Arial"/>
                <w:b/>
                <w:bCs/>
                <w:color w:val="FFFFFF"/>
                <w:sz w:val="18"/>
                <w:szCs w:val="18"/>
              </w:rPr>
              <w:t xml:space="preserve">TIER 3 — Procedures (Environment &amp; Community)</w:t>
            </w:r>
          </w:p>
        </w:tc>
      </w:tr>
      <w:tr>
        <w:tc>
          <w:tcPr>
            <w:tcW w:type="dxa" w:w="28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1F3864"/>
                <w:sz w:val="17"/>
                <w:szCs w:val="17"/>
              </w:rPr>
              <w:t xml:space="preserve">RTPR-HSE-PRO-0034 to RTPR-HSE-PRO-0039</w:t>
            </w:r>
          </w:p>
          <w:p>
            <w:r>
              <w:rPr>
                <w:rFonts w:ascii="Arial" w:cs="Arial" w:eastAsia="Arial" w:hAnsi="Arial"/>
                <w:color w:val="444444"/>
                <w:sz w:val="16"/>
                <w:szCs w:val="16"/>
              </w:rPr>
              <w:t xml:space="preserve">Environment procedures</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Environmental monitoring; mitigation controls; closure planning for each topic.</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RTPR-HSE-PRO-0002, RTPR-HSE-PRO-0001, RTPR-HSE-PRO-0042 (monitoring), RTPR-HSE-PRO-0010.</w:t>
            </w:r>
          </w:p>
        </w:tc>
      </w:tr>
      <w:tr>
        <w:tc>
          <w:tcPr>
            <w:gridSpan w:val="3"/>
            <w:tcBorders>
              <w:top w:val="single" w:color="CCCCCC" w:sz="1"/>
              <w:left w:val="single" w:color="CCCCCC" w:sz="1"/>
              <w:bottom w:val="single" w:color="CCCCCC" w:sz="1"/>
              <w:right w:val="single" w:color="CCCCCC" w:sz="1"/>
            </w:tcBorders>
            <w:shd w:fill="3E1F6B" w:val="clear"/>
            <w:tcMar>
              <w:top w:type="dxa" w:w="60"/>
              <w:left w:type="dxa" w:w="120"/>
              <w:bottom w:type="dxa" w:w="60"/>
              <w:right w:type="dxa" w:w="120"/>
            </w:tcMar>
          </w:tcPr>
          <w:p>
            <w:r>
              <w:rPr>
                <w:rFonts w:ascii="Arial" w:cs="Arial" w:eastAsia="Arial" w:hAnsi="Arial"/>
                <w:b/>
                <w:bCs/>
                <w:color w:val="FFFFFF"/>
                <w:sz w:val="18"/>
                <w:szCs w:val="18"/>
              </w:rPr>
              <w:t xml:space="preserve">TIER 3 — Procedures (Management System)</w:t>
            </w:r>
          </w:p>
        </w:tc>
      </w:tr>
      <w:tr>
        <w:tc>
          <w:tcPr>
            <w:tcW w:type="dxa" w:w="2800"/>
            <w:tcBorders>
              <w:top w:val="single" w:color="CCCCCC" w:sz="1"/>
              <w:left w:val="single" w:color="CCCCCC" w:sz="1"/>
              <w:bottom w:val="single" w:color="CCCCCC" w:sz="1"/>
              <w:right w:val="single" w:color="CCCCCC" w:sz="1"/>
            </w:tcBorders>
            <w:shd w:fill="EAE0F4" w:val="clear"/>
            <w:tcMar>
              <w:top w:type="dxa" w:w="60"/>
              <w:left w:type="dxa" w:w="120"/>
              <w:bottom w:type="dxa" w:w="60"/>
              <w:right w:type="dxa" w:w="120"/>
            </w:tcMar>
          </w:tcPr>
          <w:p>
            <w:r>
              <w:rPr>
                <w:rFonts w:ascii="Arial" w:cs="Arial" w:eastAsia="Arial" w:hAnsi="Arial"/>
                <w:b/>
                <w:bCs/>
                <w:color w:val="1F3864"/>
                <w:sz w:val="17"/>
                <w:szCs w:val="17"/>
              </w:rPr>
              <w:t xml:space="preserve">RTPR-HSE-PRO-0040</w:t>
            </w:r>
          </w:p>
          <w:p>
            <w:r>
              <w:rPr>
                <w:rFonts w:ascii="Arial" w:cs="Arial" w:eastAsia="Arial" w:hAnsi="Arial"/>
                <w:color w:val="444444"/>
                <w:sz w:val="16"/>
                <w:szCs w:val="16"/>
              </w:rPr>
              <w:t xml:space="preserve">Management of Change</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MoC triggers; assessment process; approval authority matrix.</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RTPR-HSE-PRO-0002, RTPR-HSE-PRO-0004, RTPR-HSE-PRO-0010.</w:t>
            </w:r>
          </w:p>
        </w:tc>
      </w:tr>
      <w:tr>
        <w:tc>
          <w:tcPr>
            <w:tcW w:type="dxa" w:w="2800"/>
            <w:tcBorders>
              <w:top w:val="single" w:color="CCCCCC" w:sz="1"/>
              <w:left w:val="single" w:color="CCCCCC" w:sz="1"/>
              <w:bottom w:val="single" w:color="CCCCCC" w:sz="1"/>
              <w:right w:val="single" w:color="CCCCCC" w:sz="1"/>
            </w:tcBorders>
            <w:shd w:fill="EAE0F4" w:val="clear"/>
            <w:tcMar>
              <w:top w:type="dxa" w:w="60"/>
              <w:left w:type="dxa" w:w="120"/>
              <w:bottom w:type="dxa" w:w="60"/>
              <w:right w:type="dxa" w:w="120"/>
            </w:tcMar>
          </w:tcPr>
          <w:p>
            <w:r>
              <w:rPr>
                <w:rFonts w:ascii="Arial" w:cs="Arial" w:eastAsia="Arial" w:hAnsi="Arial"/>
                <w:b/>
                <w:bCs/>
                <w:color w:val="1F3864"/>
                <w:sz w:val="17"/>
                <w:szCs w:val="17"/>
              </w:rPr>
              <w:t xml:space="preserve">RTPR-HSE-PRO-0041</w:t>
            </w:r>
          </w:p>
          <w:p>
            <w:r>
              <w:rPr>
                <w:rFonts w:ascii="Arial" w:cs="Arial" w:eastAsia="Arial" w:hAnsi="Arial"/>
                <w:color w:val="444444"/>
                <w:sz w:val="16"/>
                <w:szCs w:val="16"/>
              </w:rPr>
              <w:t xml:space="preserve">Business Resilience &amp; Recovery</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ERP framework; MEP requirements; drill programme; BRT structure.</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RTPR-HSE-PRO-0002, RTPR-HSE-PRO-0006, RTPR-HSE-PRO-0009, RTPR-HSE-PRO-0004.</w:t>
            </w:r>
          </w:p>
        </w:tc>
      </w:tr>
      <w:tr>
        <w:tc>
          <w:tcPr>
            <w:tcW w:type="dxa" w:w="2800"/>
            <w:tcBorders>
              <w:top w:val="single" w:color="CCCCCC" w:sz="1"/>
              <w:left w:val="single" w:color="CCCCCC" w:sz="1"/>
              <w:bottom w:val="single" w:color="CCCCCC" w:sz="1"/>
              <w:right w:val="single" w:color="CCCCCC" w:sz="1"/>
            </w:tcBorders>
            <w:shd w:fill="EAE0F4" w:val="clear"/>
            <w:tcMar>
              <w:top w:type="dxa" w:w="60"/>
              <w:left w:type="dxa" w:w="120"/>
              <w:bottom w:type="dxa" w:w="60"/>
              <w:right w:type="dxa" w:w="120"/>
            </w:tcMar>
          </w:tcPr>
          <w:p>
            <w:r>
              <w:rPr>
                <w:rFonts w:ascii="Arial" w:cs="Arial" w:eastAsia="Arial" w:hAnsi="Arial"/>
                <w:b/>
                <w:bCs/>
                <w:color w:val="1F3864"/>
                <w:sz w:val="17"/>
                <w:szCs w:val="17"/>
              </w:rPr>
              <w:t xml:space="preserve">RTPR-HSE-PRO-0042</w:t>
            </w:r>
          </w:p>
          <w:p>
            <w:r>
              <w:rPr>
                <w:rFonts w:ascii="Arial" w:cs="Arial" w:eastAsia="Arial" w:hAnsi="Arial"/>
                <w:color w:val="444444"/>
                <w:sz w:val="16"/>
                <w:szCs w:val="16"/>
              </w:rPr>
              <w:t xml:space="preserve">Monitoring &amp; Measuring</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HSESC monitoring programme; inspection programme; TARP framework; monthly report content.</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RTPR-HSE-PRO-0002, RTPR-HSE-PRO-0009, RTPR-HSE-PRO-0007.</w:t>
            </w:r>
          </w:p>
        </w:tc>
      </w:tr>
      <w:tr>
        <w:tc>
          <w:tcPr>
            <w:tcW w:type="dxa" w:w="2800"/>
            <w:tcBorders>
              <w:top w:val="single" w:color="CCCCCC" w:sz="1"/>
              <w:left w:val="single" w:color="CCCCCC" w:sz="1"/>
              <w:bottom w:val="single" w:color="CCCCCC" w:sz="1"/>
              <w:right w:val="single" w:color="CCCCCC" w:sz="1"/>
            </w:tcBorders>
            <w:shd w:fill="EAE0F4" w:val="clear"/>
            <w:tcMar>
              <w:top w:type="dxa" w:w="60"/>
              <w:left w:type="dxa" w:w="120"/>
              <w:bottom w:type="dxa" w:w="60"/>
              <w:right w:type="dxa" w:w="120"/>
            </w:tcMar>
          </w:tcPr>
          <w:p>
            <w:r>
              <w:rPr>
                <w:rFonts w:ascii="Arial" w:cs="Arial" w:eastAsia="Arial" w:hAnsi="Arial"/>
                <w:b/>
                <w:bCs/>
                <w:color w:val="1F3864"/>
                <w:sz w:val="17"/>
                <w:szCs w:val="17"/>
              </w:rPr>
              <w:t xml:space="preserve">RTPR-HSE-PRO-0043</w:t>
            </w:r>
          </w:p>
          <w:p>
            <w:r>
              <w:rPr>
                <w:rFonts w:ascii="Arial" w:cs="Arial" w:eastAsia="Arial" w:hAnsi="Arial"/>
                <w:color w:val="444444"/>
                <w:sz w:val="16"/>
                <w:szCs w:val="16"/>
              </w:rPr>
              <w:t xml:space="preserve">Data &amp; Records Management</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Data ownership; retention schedule; records disposal process.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RTPR-HSE-PRO-0010, RTPR-HSE-PRO-0001.</w:t>
            </w:r>
          </w:p>
        </w:tc>
      </w:tr>
      <w:tr>
        <w:tc>
          <w:tcPr>
            <w:tcW w:type="dxa" w:w="2800"/>
            <w:tcBorders>
              <w:top w:val="single" w:color="CCCCCC" w:sz="1"/>
              <w:left w:val="single" w:color="CCCCCC" w:sz="1"/>
              <w:bottom w:val="single" w:color="CCCCCC" w:sz="1"/>
              <w:right w:val="single" w:color="CCCCCC" w:sz="1"/>
            </w:tcBorders>
            <w:shd w:fill="EAE0F4" w:val="clear"/>
            <w:tcMar>
              <w:top w:type="dxa" w:w="60"/>
              <w:left w:type="dxa" w:w="120"/>
              <w:bottom w:type="dxa" w:w="60"/>
              <w:right w:type="dxa" w:w="120"/>
            </w:tcMar>
          </w:tcPr>
          <w:p>
            <w:r>
              <w:rPr>
                <w:rFonts w:ascii="Arial" w:cs="Arial" w:eastAsia="Arial" w:hAnsi="Arial"/>
                <w:b/>
                <w:bCs/>
                <w:color w:val="1F3864"/>
                <w:sz w:val="17"/>
                <w:szCs w:val="17"/>
              </w:rPr>
              <w:t xml:space="preserve">RTPR-HSE-PRO-0044</w:t>
            </w:r>
          </w:p>
          <w:p>
            <w:r>
              <w:rPr>
                <w:rFonts w:ascii="Arial" w:cs="Arial" w:eastAsia="Arial" w:hAnsi="Arial"/>
                <w:color w:val="444444"/>
                <w:sz w:val="16"/>
                <w:szCs w:val="16"/>
              </w:rPr>
              <w:t xml:space="preserve">Performance Assessment &amp; Auditing</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Audit programme; audit conduct and reporting; CRM verification reporting.</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RTPR-HSE-PRO-0002, RTPR-HSE-PRO-0042, RTPR-HSE-PRO-0045.</w:t>
            </w:r>
          </w:p>
        </w:tc>
      </w:tr>
      <w:tr>
        <w:tc>
          <w:tcPr>
            <w:tcW w:type="dxa" w:w="2800"/>
            <w:tcBorders>
              <w:top w:val="single" w:color="CCCCCC" w:sz="1"/>
              <w:left w:val="single" w:color="CCCCCC" w:sz="1"/>
              <w:bottom w:val="single" w:color="CCCCCC" w:sz="1"/>
              <w:right w:val="single" w:color="CCCCCC" w:sz="1"/>
            </w:tcBorders>
            <w:shd w:fill="EAE0F4" w:val="clear"/>
            <w:tcMar>
              <w:top w:type="dxa" w:w="60"/>
              <w:left w:type="dxa" w:w="120"/>
              <w:bottom w:type="dxa" w:w="60"/>
              <w:right w:type="dxa" w:w="120"/>
            </w:tcMar>
          </w:tcPr>
          <w:p>
            <w:r>
              <w:rPr>
                <w:rFonts w:ascii="Arial" w:cs="Arial" w:eastAsia="Arial" w:hAnsi="Arial"/>
                <w:b/>
                <w:bCs/>
                <w:color w:val="1F3864"/>
                <w:sz w:val="17"/>
                <w:szCs w:val="17"/>
              </w:rPr>
              <w:t xml:space="preserve">RTPR-HSE-PRO-0045</w:t>
            </w:r>
          </w:p>
          <w:p>
            <w:r>
              <w:rPr>
                <w:rFonts w:ascii="Arial" w:cs="Arial" w:eastAsia="Arial" w:hAnsi="Arial"/>
                <w:color w:val="444444"/>
                <w:sz w:val="16"/>
                <w:szCs w:val="16"/>
              </w:rPr>
              <w:t xml:space="preserve">Management Review</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Management review schedule; input requirements; output requirements.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RTPR-HSE-PRO-0007, RTPR-HSE-PRO-0042, RTPR-HSE-PRO-0044.</w:t>
            </w:r>
          </w:p>
        </w:tc>
      </w:tr>
      <w:tr>
        <w:tc>
          <w:tcPr>
            <w:gridSpan w:val="3"/>
            <w:tcBorders>
              <w:top w:val="single" w:color="CCCCCC" w:sz="1"/>
              <w:left w:val="single" w:color="CCCCCC" w:sz="1"/>
              <w:bottom w:val="single" w:color="CCCCCC" w:sz="1"/>
              <w:right w:val="single" w:color="CCCCCC" w:sz="1"/>
            </w:tcBorders>
            <w:shd w:fill="993556" w:val="clear"/>
            <w:tcMar>
              <w:top w:type="dxa" w:w="60"/>
              <w:left w:type="dxa" w:w="120"/>
              <w:bottom w:type="dxa" w:w="60"/>
              <w:right w:type="dxa" w:w="120"/>
            </w:tcMar>
          </w:tcPr>
          <w:p>
            <w:r>
              <w:rPr>
                <w:rFonts w:ascii="Arial" w:cs="Arial" w:eastAsia="Arial" w:hAnsi="Arial"/>
                <w:b/>
                <w:bCs/>
                <w:color w:val="FFFFFF"/>
                <w:sz w:val="18"/>
                <w:szCs w:val="18"/>
              </w:rPr>
              <w:t xml:space="preserve">TIER 4 — Registers, Forms &amp; Records</w:t>
            </w:r>
          </w:p>
        </w:tc>
      </w:tr>
      <w:tr>
        <w:tc>
          <w:tcPr>
            <w:tcW w:type="dxa" w:w="2800"/>
            <w:tcBorders>
              <w:top w:val="single" w:color="CCCCCC" w:sz="1"/>
              <w:left w:val="single" w:color="CCCCCC" w:sz="1"/>
              <w:bottom w:val="single" w:color="CCCCCC" w:sz="1"/>
              <w:right w:val="single" w:color="CCCCCC" w:sz="1"/>
            </w:tcBorders>
            <w:shd w:fill="EAD1DC" w:val="clear"/>
            <w:tcMar>
              <w:top w:type="dxa" w:w="60"/>
              <w:left w:type="dxa" w:w="120"/>
              <w:bottom w:type="dxa" w:w="60"/>
              <w:right w:type="dxa" w:w="120"/>
            </w:tcMar>
          </w:tcPr>
          <w:p>
            <w:r>
              <w:rPr>
                <w:rFonts w:ascii="Arial" w:cs="Arial" w:eastAsia="Arial" w:hAnsi="Arial"/>
                <w:b/>
                <w:bCs/>
                <w:color w:val="1F3864"/>
                <w:sz w:val="17"/>
                <w:szCs w:val="17"/>
              </w:rPr>
              <w:t xml:space="preserve">RTPR-HSE-REG-0001 to RTPR-HSE-REG-0029</w:t>
            </w:r>
          </w:p>
          <w:p>
            <w:r>
              <w:rPr>
                <w:rFonts w:ascii="Arial" w:cs="Arial" w:eastAsia="Arial" w:hAnsi="Arial"/>
                <w:color w:val="444444"/>
                <w:sz w:val="16"/>
                <w:szCs w:val="16"/>
              </w:rPr>
              <w:t xml:space="preserve">All Tier 4 documents</w:t>
            </w:r>
          </w:p>
        </w:tc>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6"/>
                <w:szCs w:val="16"/>
              </w:rPr>
              <w:t xml:space="preserve">The evidence layer — data and records generated by implementing Tier 3 procedures.</w:t>
            </w:r>
          </w:p>
        </w:tc>
        <w:tc>
          <w:tcPr>
            <w:tcW w:type="dxa" w:w="2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555555"/>
                <w:sz w:val="16"/>
                <w:szCs w:val="16"/>
              </w:rPr>
              <w:t xml:space="preserve">Defined in the procedures that own them. Never duplicate field definitions between a register and a procedure.</w:t>
            </w:r>
          </w:p>
        </w:tc>
      </w:tr>
    </w:tbl>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SECTION 2 — The No-Duplication Rules</w:t>
      </w:r>
    </w:p>
    <w:p>
      <w:pPr>
        <w:spacing w:after="40" w:before="40"/>
      </w:pPr>
      <w:r>
        <w:rPr>
          <w:rFonts w:ascii="Arial" w:cs="Arial" w:eastAsia="Arial" w:hAnsi="Arial"/>
          <w:color w:val="2D2D2D"/>
          <w:sz w:val="19"/>
          <w:szCs w:val="19"/>
        </w:rPr>
        <w:t xml:space="preserve">The ten rules below define the non-negotiable information ownership boundaries across the management system. These are the most common places where duplication occurs in practice. Every technical writer must memorise these before drafting a procedure.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Information Type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Single Owner</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How all other procedures handle this</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The risk matrix (5×5 consequence/likelihood)</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7"/>
                <w:szCs w:val="17"/>
              </w:rPr>
              <w:t xml:space="preserve">RTPR-HSE-PRO-0002</w:t>
            </w:r>
          </w:p>
        </w:tc>
        <w:tc>
          <w:tcPr>
            <w:tcW w:type="dxa" w:w="5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All other procedures say 'complete a risk assessment using the risk matrix (refer RTPR-HSE-PRO-0002)'. They do not describe the matrix.</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Incident classification, notification timelines, investigation methodology</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7"/>
                <w:szCs w:val="17"/>
              </w:rPr>
              <w:t xml:space="preserve">RTPR-HSE-PRO-0009</w:t>
            </w:r>
          </w:p>
        </w:tc>
        <w:tc>
          <w:tcPr>
            <w:tcW w:type="dxa" w:w="5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All procedures say 'report incidents per RTPR-HSE-PRO-0009'. No procedure re-states the 1-hour verbal notification rule or the classification matrix.</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Competency requirements, training matrix, VOC process, training records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7"/>
                <w:szCs w:val="17"/>
              </w:rPr>
              <w:t xml:space="preserve">RTPR-HSE-PRO-0004</w:t>
            </w:r>
          </w:p>
        </w:tc>
        <w:tc>
          <w:tcPr>
            <w:tcW w:type="dxa" w:w="5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All procedures list the competency required for their roles, then say 'document and verify in the Training Matrix (refer RTPR-HSE-PRO-0004)'. No procedure re-states what records look like.</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PTW system, permit types, permit roles, permit lifecycle, PTW status display</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7"/>
                <w:szCs w:val="17"/>
              </w:rPr>
              <w:t xml:space="preserve">RTPR-HSE-PRO-0021</w:t>
            </w:r>
          </w:p>
        </w:tc>
        <w:tc>
          <w:tcPr>
            <w:tcW w:type="dxa" w:w="5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All procedures requiring a permit say 'raise a permit via the site PTW system (refer RTPR-HSE-PRO-0021)'. No procedure re-states permit content.</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Document numbering, approval authorities, version control, deliverables schedule</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7"/>
                <w:szCs w:val="17"/>
              </w:rPr>
              <w:t xml:space="preserve">RTPR-HSE-PRO-0010</w:t>
            </w:r>
          </w:p>
        </w:tc>
        <w:tc>
          <w:tcPr>
            <w:tcW w:type="dxa" w:w="5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All procedures state 'this document is subject to the project Document Control Procedure (refer RTPR-HSE-PRO-0010)'. No procedure re-states revision numbering.</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PPE minimum standards, PPE selection by hazard, PPE inspection requirements</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7"/>
                <w:szCs w:val="17"/>
              </w:rPr>
              <w:t xml:space="preserve">RTPR-HSE-PRO-0027</w:t>
            </w:r>
          </w:p>
        </w:tc>
        <w:tc>
          <w:tcPr>
            <w:tcW w:type="dxa" w:w="5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All operational procedures say 'wear appropriate PPE as defined in RTPR-HSE-PRO-0027'. No procedure specifies PPE in isolation except where unique (arc flash in RTPR-HSE-PRO-0025, fall arrest in RTPR-HSE-PRO-0008).</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Legal register, regulatory requirements, non-compliance escalation</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7"/>
                <w:szCs w:val="17"/>
              </w:rPr>
              <w:t xml:space="preserve">RTPR-HSE-PRO-0001</w:t>
            </w:r>
          </w:p>
        </w:tc>
        <w:tc>
          <w:tcPr>
            <w:tcW w:type="dxa" w:w="5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All procedures say 'comply with applicable legislation — refer to the Legal Register (RTPR-HSE-REG-0001, RTPR-HSE-PRO-0001)'. No procedure lists legislation.</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Environmental monitoring programme, TARP framework, monthly reporting</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7"/>
                <w:szCs w:val="17"/>
              </w:rPr>
              <w:t xml:space="preserve">RTPR-HSE-PRO-0042</w:t>
            </w:r>
          </w:p>
        </w:tc>
        <w:tc>
          <w:tcPr>
            <w:tcW w:type="dxa" w:w="5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Environmental procedures define their topic-specific monitoring parameters. RTPR-HSE-PRO-0042 owns the overall programme, frequency schedule, and reporting framework.</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Emergency response scenarios, ERP structure, drill programme</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7"/>
                <w:szCs w:val="17"/>
              </w:rPr>
              <w:t xml:space="preserve">RTPR-HSE-PRO-0041</w:t>
            </w:r>
          </w:p>
        </w:tc>
        <w:tc>
          <w:tcPr>
            <w:tcW w:type="dxa" w:w="5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All operational procedures say 'refer to the project Emergency Response Plan' for emergency actions. They do not contain their own emergency response instructions.</w:t>
            </w:r>
          </w:p>
        </w:tc>
      </w:tr>
      <w:tr>
        <w:tc>
          <w:tcPr>
            <w:tcW w:type="dxa" w:w="28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MoC triggers, MoC assessment process, MoC approval authority</w:t>
            </w:r>
          </w:p>
        </w:tc>
        <w:tc>
          <w:tcPr>
            <w:tcW w:type="dxa" w:w="140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120"/>
            </w:tcMar>
          </w:tcPr>
          <w:p>
            <w:r>
              <w:rPr>
                <w:rFonts w:ascii="Arial" w:cs="Arial" w:eastAsia="Arial" w:hAnsi="Arial"/>
                <w:b/>
                <w:bCs/>
                <w:color w:val="375623"/>
                <w:sz w:val="17"/>
                <w:szCs w:val="17"/>
              </w:rPr>
              <w:t xml:space="preserve">RTPR-HSE-PRO-0040</w:t>
            </w:r>
          </w:p>
        </w:tc>
        <w:tc>
          <w:tcPr>
            <w:tcW w:type="dxa" w:w="5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When a procedure's section applies MoC (e.g., NM-A change in RTPR-HSE-PRO-0018; SIS change in RTPR-HSE-PRO-0020), it says 'via the MoC process (refer RTPR-HSE-PRO-0040)'. It does not re-state the process.</w:t>
            </w:r>
          </w:p>
        </w:tc>
      </w:tr>
    </w:tbl>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SECTION 3 — Content Types in This Playbook</w:t>
      </w:r>
    </w:p>
    <w:p>
      <w:pPr>
        <w:spacing w:after="40" w:before="40"/>
      </w:pPr>
      <w:r>
        <w:rPr>
          <w:rFonts w:ascii="Arial" w:cs="Arial" w:eastAsia="Arial" w:hAnsi="Arial"/>
          <w:color w:val="2D2D2D"/>
          <w:sz w:val="19"/>
          <w:szCs w:val="19"/>
        </w:rPr>
        <w:t xml:space="preserve">Each procedure brief in this playbook contains several types of content, and each finished document uses a set of colour-coded content types so the author and the project team can see at a glance what is fixed, what is suggested, and what the project must define. The table below explains how to identify and handle each type.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Content Type</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What it means and how to handle it</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7"/>
                <w:szCs w:val="17"/>
              </w:rPr>
              <w:t xml:space="preserve">FIXED STANDARD CONTENT</w:t>
            </w:r>
          </w:p>
        </w:tc>
        <w:tc>
          <w:tcPr>
            <w:tcW w:type="dxa" w:w="7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2D2D2D"/>
                <w:sz w:val="17"/>
                <w:szCs w:val="17"/>
              </w:rPr>
              <w:t xml:space="preserve">Black text. Text that is part of the standard. Do not change this content. It applies to all owner-led projects. This includes all source-tagged requirements (RT, Appendix C, ICMM, IFC, TSM, OSHA, Objective), and all technical detail that relates to the documents and frameworks named in this playbook.</w:t>
            </w:r>
          </w:p>
        </w:tc>
      </w:tr>
      <w:tr>
        <w:tc>
          <w:tcPr>
            <w:tcW w:type="dxa" w:w="2200"/>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7"/>
                <w:szCs w:val="17"/>
              </w:rPr>
              <w:t xml:space="preserve">PROJECT COMPLETION GUIDANCE</w:t>
            </w:r>
          </w:p>
        </w:tc>
        <w:tc>
          <w:tcPr>
            <w:tcW w:type="dxa" w:w="7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2D2D2D"/>
                <w:sz w:val="17"/>
                <w:szCs w:val="17"/>
              </w:rPr>
              <w:t xml:space="preserve">Content in amber tables at the end of each procedure brief. These are prompts to the project team for what must be completed, decided, or inserted to make this procedure 100% applicable to the specific project.</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7"/>
                <w:szCs w:val="17"/>
              </w:rPr>
              <w:t xml:space="preserve">DOCUMENT RELATIONSHIPS</w:t>
            </w:r>
          </w:p>
        </w:tc>
        <w:tc>
          <w:tcPr>
            <w:tcW w:type="dxa" w:w="71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2D2D2D"/>
                <w:sz w:val="17"/>
                <w:szCs w:val="17"/>
              </w:rPr>
              <w:t xml:space="preserve">Content in the blue table at the top of each procedure brief. This defines what information this procedure owns, what it references, and who references it. Use this to maintain the no-duplication rule across the system.</w:t>
            </w:r>
          </w:p>
        </w:tc>
      </w:tr>
      <w:tr>
        <w:tc>
          <w:tcPr>
            <w:tcW w:type="dxa" w:w="22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17"/>
                <w:szCs w:val="17"/>
              </w:rPr>
              <w:t xml:space="preserve">CROSS-REFERENCE</w:t>
            </w:r>
          </w:p>
        </w:tc>
        <w:tc>
          <w:tcPr>
            <w:tcW w:type="dxa" w:w="7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color w:val="2D2D2D"/>
                <w:sz w:val="17"/>
                <w:szCs w:val="17"/>
              </w:rPr>
              <w:t xml:space="preserve">Appears as 'refer to PRO-XXX' within requirement text. This is an instruction to the technical writer: do not re-state this content in this procedure. Write a sentence that points the reader to the other document instead.</w:t>
            </w:r>
          </w:p>
        </w:tc>
      </w:tr>
      <w:tr>
        <w:tc>
          <w:tcPr>
            <w:tcW w:type="dxa" w:w="22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r>
              <w:rPr>
                <w:rFonts w:ascii="Arial" w:cs="Arial" w:eastAsia="Arial" w:hAnsi="Arial"/>
                <w:b/>
                <w:bCs/>
                <w:color w:val="FFFFFF"/>
                <w:sz w:val="17"/>
                <w:szCs w:val="17"/>
              </w:rPr>
              <w:t xml:space="preserve">OBJECTIVE REQUIREMENT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7"/>
                <w:szCs w:val="17"/>
              </w:rPr>
              <w:t xml:space="preserve">Tagged [Objective Requirement] in the requirements. No standard exists. The procedure must be written in performance language: the project must identify, assess, manage, and monitor this risk. The project must also define and document its own measurable standard.</w:t>
            </w:r>
          </w:p>
        </w:tc>
      </w:tr>
      <w:tr>
        <w:tc>
          <w:tcPr>
            <w:tcW w:type="dxa" w:w="2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7"/>
                <w:szCs w:val="17"/>
              </w:rPr>
              <w:t xml:space="preserve">SUGGESTED CONTENT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7"/>
                <w:szCs w:val="17"/>
              </w:rPr>
              <w:t xml:space="preserve">Non-bold dark orange text, colour code C55A11. Pre-filled operational detail that is objective best practice rather than a defined standard from an RT document or framework. The project may keep it as written and convert it to black text, or edit it where the project takes a different approach.</w:t>
            </w:r>
          </w:p>
        </w:tc>
      </w:tr>
      <w:tr>
        <w:tc>
          <w:tcPr>
            <w:tcW w:type="dxa" w:w="2200"/>
            <w:tcBorders>
              <w:top w:val="single" w:color="CCCCCC" w:sz="1"/>
              <w:left w:val="single" w:color="CCCCCC" w:sz="1"/>
              <w:bottom w:val="single" w:color="CCCCCC" w:sz="1"/>
              <w:right w:val="single" w:color="CCCCCC" w:sz="1"/>
            </w:tcBorders>
            <w:shd w:fill="0059D1" w:val="clear"/>
            <w:tcMar>
              <w:top w:type="dxa" w:w="80"/>
              <w:left w:type="dxa" w:w="120"/>
              <w:bottom w:type="dxa" w:w="80"/>
              <w:right w:type="dxa" w:w="120"/>
            </w:tcMar>
          </w:tcPr>
          <w:p>
            <w:r>
              <w:rPr>
                <w:rFonts w:ascii="Arial" w:cs="Arial" w:eastAsia="Arial" w:hAnsi="Arial"/>
                <w:b/>
                <w:bCs/>
                <w:color w:val="FFFFFF"/>
                <w:sz w:val="17"/>
                <w:szCs w:val="17"/>
              </w:rPr>
              <w:t xml:space="preserve">PROJECT-DEFINED CONTENT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D2D2D"/>
                <w:sz w:val="17"/>
                <w:szCs w:val="17"/>
              </w:rPr>
              <w:t xml:space="preserve">Bold blue placeholder text, colour code #0059D1. A prompt for the limited detail only the project can set, such as who is responsible, the timeframes that apply, and the exact process flow for a defined activity. Keep each placeholder short and embed it inside the surrounding sentence.</w:t>
            </w:r>
          </w:p>
        </w:tc>
      </w:tr>
    </w:tbl>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SECTION 4 — Source Authority Tags</w:t>
      </w:r>
    </w:p>
    <w:p>
      <w:pPr>
        <w:spacing w:after="40" w:before="40"/>
      </w:pPr>
      <w:r>
        <w:rPr>
          <w:rFonts w:ascii="Arial" w:cs="Arial" w:eastAsia="Arial" w:hAnsi="Arial"/>
          <w:color w:val="2D2D2D"/>
          <w:sz w:val="19"/>
          <w:szCs w:val="19"/>
        </w:rPr>
        <w:t xml:space="preserve">Every requirement bullet point in the procedure briefs is tagged with its source authority. The tag tells the technical writer the binding nature of the requirement and allows the project to trace requirements back to their source for further detail. The hierarchy is: RT Global Standards → Appendix C → ICMM → IFC → TSM → OSHA → Objective Requirement.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Source Tag</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Meaning and Authority Level</w:t>
            </w:r>
          </w:p>
        </w:tc>
      </w:tr>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[RT – Standard Name]</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D2D2D"/>
                <w:sz w:val="17"/>
                <w:szCs w:val="17"/>
              </w:rPr>
              <w:t xml:space="preserve">Mandatory Rio Tinto Global Standard. The procedure MUST address this — it is a corporate mandatory requirement.</w:t>
            </w:r>
          </w:p>
        </w:tc>
      </w:tr>
      <w:tr>
        <w:tc>
          <w:tcPr>
            <w:tcW w:type="dxa" w:w="220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18"/>
                <w:szCs w:val="18"/>
              </w:rPr>
              <w:t xml:space="preserve">[Appendix C]</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D2D2D"/>
                <w:sz w:val="17"/>
                <w:szCs w:val="17"/>
              </w:rPr>
              <w:t xml:space="preserve">Minimum EPCM benchmark. RT's own management system must meet this standard to be consistent with what RT requires of EPCM contractors.</w:t>
            </w:r>
          </w:p>
        </w:tc>
      </w:tr>
      <w:tr>
        <w:tc>
          <w:tcPr>
            <w:tcW w:type="dxa" w:w="2200"/>
            <w:tcBorders>
              <w:top w:val="single" w:color="CCCCCC" w:sz="1"/>
              <w:left w:val="single" w:color="CCCCCC" w:sz="1"/>
              <w:bottom w:val="single" w:color="CCCCCC" w:sz="1"/>
              <w:right w:val="single" w:color="CCCCCC" w:sz="1"/>
            </w:tcBorders>
            <w:shd w:fill="7030A0" w:val="clear"/>
            <w:tcMar>
              <w:top w:type="dxa" w:w="80"/>
              <w:left w:type="dxa" w:w="120"/>
              <w:bottom w:type="dxa" w:w="80"/>
              <w:right w:type="dxa" w:w="120"/>
            </w:tcMar>
          </w:tcPr>
          <w:p>
            <w:r>
              <w:rPr>
                <w:rFonts w:ascii="Arial" w:cs="Arial" w:eastAsia="Arial" w:hAnsi="Arial"/>
                <w:b/>
                <w:bCs/>
                <w:color w:val="FFFFFF"/>
                <w:sz w:val="18"/>
                <w:szCs w:val="18"/>
              </w:rPr>
              <w:t xml:space="preserve">[ICMM – Principle X]</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D2D2D"/>
                <w:sz w:val="17"/>
                <w:szCs w:val="17"/>
              </w:rPr>
              <w:t xml:space="preserve">ICMM Mining Principles performance expectation. No equivalent RT standard was found. Applies as RT is an ICMM member company.</w:t>
            </w:r>
          </w:p>
        </w:tc>
      </w:tr>
      <w:tr>
        <w:tc>
          <w:tcPr>
            <w:tcW w:type="dxa" w:w="2200"/>
            <w:tcBorders>
              <w:top w:val="single" w:color="CCCCCC" w:sz="1"/>
              <w:left w:val="single" w:color="CCCCCC" w:sz="1"/>
              <w:bottom w:val="single" w:color="CCCCCC" w:sz="1"/>
              <w:right w:val="single" w:color="CCCCCC" w:sz="1"/>
            </w:tcBorders>
            <w:shd w:fill="C55A11" w:val="clear"/>
            <w:tcMar>
              <w:top w:type="dxa" w:w="80"/>
              <w:left w:type="dxa" w:w="120"/>
              <w:bottom w:type="dxa" w:w="80"/>
              <w:right w:type="dxa" w:w="120"/>
            </w:tcMar>
          </w:tcPr>
          <w:p>
            <w:r>
              <w:rPr>
                <w:rFonts w:ascii="Arial" w:cs="Arial" w:eastAsia="Arial" w:hAnsi="Arial"/>
                <w:b/>
                <w:bCs/>
                <w:color w:val="FFFFFF"/>
                <w:sz w:val="18"/>
                <w:szCs w:val="18"/>
              </w:rPr>
              <w:t xml:space="preserve">[IFC PS X / EHS Guidelines]</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D2D2D"/>
                <w:sz w:val="17"/>
                <w:szCs w:val="17"/>
              </w:rPr>
              <w:t xml:space="preserve">IFC Performance Standard or World Bank EHS Guidelines. Primary gap-filler — no equivalent RT or ICMM standard was found.</w:t>
            </w:r>
          </w:p>
        </w:tc>
      </w:tr>
      <w:tr>
        <w:tc>
          <w:tcPr>
            <w:tcW w:type="dxa" w:w="2200"/>
            <w:tcBorders>
              <w:top w:val="single" w:color="CCCCCC" w:sz="1"/>
              <w:left w:val="single" w:color="CCCCCC" w:sz="1"/>
              <w:bottom w:val="single" w:color="CCCCCC" w:sz="1"/>
              <w:right w:val="single" w:color="CCCCCC" w:sz="1"/>
            </w:tcBorders>
            <w:shd w:fill="2F5496" w:val="clear"/>
            <w:tcMar>
              <w:top w:type="dxa" w:w="80"/>
              <w:left w:type="dxa" w:w="120"/>
              <w:bottom w:type="dxa" w:w="80"/>
              <w:right w:type="dxa" w:w="120"/>
            </w:tcMar>
          </w:tcPr>
          <w:p>
            <w:r>
              <w:rPr>
                <w:rFonts w:ascii="Arial" w:cs="Arial" w:eastAsia="Arial" w:hAnsi="Arial"/>
                <w:b/>
                <w:bCs/>
                <w:color w:val="FFFFFF"/>
                <w:sz w:val="18"/>
                <w:szCs w:val="18"/>
              </w:rPr>
              <w:t xml:space="preserve">[TSM – Protocol Name]</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D2D2D"/>
                <w:sz w:val="17"/>
                <w:szCs w:val="17"/>
              </w:rPr>
              <w:t xml:space="preserve">Towards Sustainable Mining (MAC) protocol indicator. Used where no RT, ICMM, or IFC standard covers the topic.</w:t>
            </w:r>
          </w:p>
        </w:tc>
      </w:tr>
      <w:tr>
        <w:tc>
          <w:tcPr>
            <w:tcW w:type="dxa" w:w="2200"/>
            <w:tcBorders>
              <w:top w:val="single" w:color="CCCCCC" w:sz="1"/>
              <w:left w:val="single" w:color="CCCCCC" w:sz="1"/>
              <w:bottom w:val="single" w:color="CCCCCC" w:sz="1"/>
              <w:right w:val="single" w:color="CCCCCC" w:sz="1"/>
            </w:tcBorders>
            <w:shd w:fill="BF9000" w:val="clear"/>
            <w:tcMar>
              <w:top w:type="dxa" w:w="80"/>
              <w:left w:type="dxa" w:w="120"/>
              <w:bottom w:type="dxa" w:w="80"/>
              <w:right w:type="dxa" w:w="120"/>
            </w:tcMar>
          </w:tcPr>
          <w:p>
            <w:r>
              <w:rPr>
                <w:rFonts w:ascii="Arial" w:cs="Arial" w:eastAsia="Arial" w:hAnsi="Arial"/>
                <w:b/>
                <w:bCs/>
                <w:color w:val="FFFFFF"/>
                <w:sz w:val="18"/>
                <w:szCs w:val="18"/>
              </w:rPr>
              <w:t xml:space="preserve">[OSHA RP 2016]</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D2D2D"/>
                <w:sz w:val="17"/>
                <w:szCs w:val="17"/>
              </w:rPr>
              <w:t xml:space="preserve">OSHA Recommended Practices for Safety and Health Programs (2016). Bottom of hierarchy — used where nothing above covers the topic.</w:t>
            </w:r>
          </w:p>
        </w:tc>
      </w:tr>
      <w:tr>
        <w:tc>
          <w:tcPr>
            <w:tcW w:type="dxa" w:w="2200"/>
            <w:tcBorders>
              <w:top w:val="single" w:color="CCCCCC" w:sz="1"/>
              <w:left w:val="single" w:color="CCCCCC" w:sz="1"/>
              <w:bottom w:val="single" w:color="CCCCCC" w:sz="1"/>
              <w:right w:val="single" w:color="CCCCCC" w:sz="1"/>
            </w:tcBorders>
            <w:shd w:fill="595959" w:val="clear"/>
            <w:tcMar>
              <w:top w:type="dxa" w:w="80"/>
              <w:left w:type="dxa" w:w="120"/>
              <w:bottom w:type="dxa" w:w="80"/>
              <w:right w:type="dxa" w:w="120"/>
            </w:tcMar>
          </w:tcPr>
          <w:p>
            <w:r>
              <w:rPr>
                <w:rFonts w:ascii="Arial" w:cs="Arial" w:eastAsia="Arial" w:hAnsi="Arial"/>
                <w:b/>
                <w:bCs/>
                <w:color w:val="FFFFFF"/>
                <w:sz w:val="18"/>
                <w:szCs w:val="18"/>
              </w:rPr>
              <w:t xml:space="preserve">[Objective Requirement]</w:t>
            </w:r>
          </w:p>
        </w:tc>
        <w:tc>
          <w:tcPr>
            <w:tcW w:type="dxa" w:w="7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2D2D2D"/>
                <w:sz w:val="17"/>
                <w:szCs w:val="17"/>
              </w:rPr>
              <w:t xml:space="preserve">No documented standard exists anywhere in the hierarchy. The procedure must establish a project-defined process. The project sets its own measurable standard.</w:t>
            </w:r>
          </w:p>
        </w:tc>
      </w:tr>
    </w:tbl>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SECTION 5 — How to Build Each Procedure</w:t>
      </w:r>
    </w:p>
    <w:p>
      <w:pPr>
        <w:spacing w:after="40" w:before="40"/>
      </w:pPr>
      <w:r>
        <w:rPr>
          <w:rFonts w:ascii="Arial" w:cs="Arial" w:eastAsia="Arial" w:hAnsi="Arial"/>
          <w:color w:val="2D2D2D"/>
          <w:sz w:val="19"/>
          <w:szCs w:val="19"/>
        </w:rPr>
        <w:t xml:space="preserve">Each procedure brief in this playbook is structured the same way. Follow the six steps below to convert a brief into a complete, compliant, project-specific procedure.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00"/>
        <w:gridCol w:w="6680"/>
      </w:tblGrid>
      <w:tr>
        <w:tc>
          <w:tcPr>
            <w:tcW w:type="dxa" w:w="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Step</w:t>
            </w:r>
          </w:p>
        </w:tc>
        <w:tc>
          <w:tcPr>
            <w:tcW w:type="dxa" w:w="6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What to do</w:t>
            </w:r>
          </w:p>
        </w:tc>
      </w:tr>
      <w:tr>
        <w:tc>
          <w:tcPr>
            <w:tcW w:type="dxa" w:w="48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1</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Read the document relationships block</w:t>
            </w:r>
          </w:p>
        </w:tc>
        <w:tc>
          <w:tcPr>
            <w:tcW w:type="dxa" w:w="6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The blue table at the top of the procedure brief tells you what this procedure OWNS, what it must REFERENCE (not repeat), and who points back to it. Understand this before writing.</w:t>
            </w:r>
          </w:p>
        </w:tc>
      </w:tr>
      <w:tr>
        <w:tc>
          <w:tcPr>
            <w:tcW w:type="dxa" w:w="48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2</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Write fixed standard content</w:t>
            </w:r>
          </w:p>
        </w:tc>
        <w:tc>
          <w:tcPr>
            <w:tcW w:type="dxa" w:w="6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Write each requirement from the brief as procedure content. Where the brief says 'refer PRO-XXX', write a sentence pointing the reader to that document. Do not copy that document's content.</w:t>
            </w:r>
          </w:p>
        </w:tc>
      </w:tr>
      <w:tr>
        <w:tc>
          <w:tcPr>
            <w:tcW w:type="dxa" w:w="48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3</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Mark project-completion placeholders</w:t>
            </w:r>
          </w:p>
        </w:tc>
        <w:tc>
          <w:tcPr>
            <w:tcW w:type="dxa" w:w="6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Where the brief has an [Objective Requirement], write the procedure in performance language: 'The project must identify, assess, manage, monitor, and review [topic]. The project shall document the specific [threshold/criteria/approach] applicable to this project.' Leave a clearly marked placeholder table or text box for the project team to complete.</w:t>
            </w:r>
          </w:p>
        </w:tc>
      </w:tr>
      <w:tr>
        <w:tc>
          <w:tcPr>
            <w:tcW w:type="dxa" w:w="48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4</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Work through the completion guidance block</w:t>
            </w:r>
          </w:p>
        </w:tc>
        <w:tc>
          <w:tcPr>
            <w:tcW w:type="dxa" w:w="6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The amber table at the end of each brief lists every project-specific item that must be completed. Work through these items systematically. Items marked CRITICAL must be completed before mobilisation.</w:t>
            </w:r>
          </w:p>
        </w:tc>
      </w:tr>
      <w:tr>
        <w:tc>
          <w:tcPr>
            <w:tcW w:type="dxa" w:w="48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5</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Validate cross-references</w:t>
            </w:r>
          </w:p>
        </w:tc>
        <w:tc>
          <w:tcPr>
            <w:tcW w:type="dxa" w:w="6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After drafting, check every 'refer to PRO-XXX' in your document against the Document Relationships block. If you find yourself about to describe content that belongs to another procedure, stop and replace with a cross-reference.</w:t>
            </w:r>
          </w:p>
        </w:tc>
      </w:tr>
      <w:tr>
        <w:tc>
          <w:tcPr>
            <w:tcW w:type="dxa" w:w="48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6</w:t>
            </w:r>
          </w:p>
        </w:tc>
        <w:tc>
          <w:tcPr>
            <w:tcW w:type="dxa" w:w="220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120"/>
            </w:tcMar>
          </w:tcPr>
          <w:p>
            <w:r>
              <w:rPr>
                <w:rFonts w:ascii="Arial" w:cs="Arial" w:eastAsia="Arial" w:hAnsi="Arial"/>
                <w:b/>
                <w:bCs/>
                <w:color w:val="1F3864"/>
                <w:sz w:val="17"/>
                <w:szCs w:val="17"/>
              </w:rPr>
              <w:t xml:space="preserve">Submit for project owner review</w:t>
            </w:r>
          </w:p>
        </w:tc>
        <w:tc>
          <w:tcPr>
            <w:tcW w:type="dxa" w:w="668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r>
              <w:rPr>
                <w:rFonts w:ascii="Arial" w:cs="Arial" w:eastAsia="Arial" w:hAnsi="Arial"/>
                <w:color w:val="2D2D2D"/>
                <w:sz w:val="17"/>
                <w:szCs w:val="17"/>
              </w:rPr>
              <w:t xml:space="preserve">Issue the 90% draft to the project owner for review before project mobilisation. The project owner confirms that all project-specific sections have been completed appropriately for the project context.</w:t>
            </w:r>
          </w:p>
        </w:tc>
      </w:tr>
    </w:tbl>
    <w:p>
      <w:pPr>
        <w:spacing w:after="0" w:before="120"/>
      </w:pPr>
      <w:r>
        <w:t xml:space="preserve"/>
      </w:r>
    </w:p>
    <w:p>
      <w:pPr>
        <w:pStyle w:val="Heading2"/>
        <w:spacing w:after="60" w:before="240"/>
      </w:pPr>
      <w:r>
        <w:rPr>
          <w:rFonts w:ascii="Arial" w:cs="Arial" w:eastAsia="Arial" w:hAnsi="Arial"/>
          <w:b/>
          <w:bCs/>
          <w:color w:val="2E75B6"/>
          <w:sz w:val="22"/>
          <w:szCs w:val="22"/>
        </w:rPr>
        <w:t xml:space="preserve">The 90/10 principle</w:t>
      </w:r>
    </w:p>
    <w:p>
      <w:pPr>
        <w:spacing w:after="40" w:before="40"/>
      </w:pPr>
      <w:r>
        <w:rPr>
          <w:rFonts w:ascii="Arial" w:cs="Arial" w:eastAsia="Arial" w:hAnsi="Arial"/>
          <w:color w:val="2D2D2D"/>
          <w:sz w:val="19"/>
          <w:szCs w:val="19"/>
        </w:rPr>
        <w:t xml:space="preserve">Every procedure in this system is delivered as a genuine 90% draft. The project reads a document that is already substantially written, not a template it fills out. The 90% is pre-defined in black standard content and dark orange suggested content. Black standard content carries the source-attributed requirements, the cross-references, the information ownership boundaries, the performance language for objective requirements, and all technical detail tied to the documents and frameworks named in this playbook. Dark orange suggested content carries objective best-practice operational detail the project may keep or edit. The remaining 10% is the limited set of items only the project can set: who is responsible, the timeframes that apply, and the exact process flow for defined activities.</w:t>
      </w:r>
    </w:p>
    <w:p>
      <w:pPr>
        <w:spacing w:after="0" w:before="40"/>
      </w:pPr>
      <w:r>
        <w:t xml:space="preserve"/>
      </w:r>
    </w:p>
    <w:p>
      <w:pPr>
        <w:spacing w:after="40" w:before="40"/>
      </w:pPr>
      <w:r>
        <w:rPr>
          <w:rFonts w:ascii="Arial" w:cs="Arial" w:eastAsia="Arial" w:hAnsi="Arial"/>
          <w:color w:val="2D2D2D"/>
          <w:sz w:val="19"/>
          <w:szCs w:val="19"/>
        </w:rPr>
        <w:t xml:space="preserve">The blue placeholders mark the 10% that the project must define. The amber instruction boxes record what the project must complete, decide or confirm before issue. A procedure is not complete and must not be issued as a controlled document until every blue placeholder is resolved and every amber instruction is actioned. Where the playbook would otherwise prompt the project to write detail itself, the author pre-fills that detail as black standard content or dark orange suggested content, so the project is prompted only for responsibilities, timeframes and process flows.</w:t>
      </w:r>
    </w:p>
    <w:p>
      <w:pPr>
        <w:spacing w:after="0" w:before="120"/>
      </w:pPr>
      <w:r>
        <w:t xml:space="preserve"/>
      </w:r>
    </w:p>
    <w:p>
      <w:pPr>
        <w:pStyle w:val="Heading2"/>
        <w:spacing w:after="60" w:before="240"/>
      </w:pPr>
      <w:r>
        <w:rPr>
          <w:rFonts w:ascii="Arial" w:cs="Arial" w:eastAsia="Arial" w:hAnsi="Arial"/>
          <w:b/>
          <w:bCs/>
          <w:color w:val="2E75B6"/>
          <w:sz w:val="22"/>
          <w:szCs w:val="22"/>
        </w:rPr>
        <w:t xml:space="preserve">Writing objective requirements</w:t>
      </w:r>
    </w:p>
    <w:p>
      <w:pPr>
        <w:spacing w:after="40" w:before="40"/>
      </w:pPr>
      <w:r>
        <w:rPr>
          <w:rFonts w:ascii="Arial" w:cs="Arial" w:eastAsia="Arial" w:hAnsi="Arial"/>
          <w:color w:val="2D2D2D"/>
          <w:sz w:val="19"/>
          <w:szCs w:val="19"/>
        </w:rPr>
        <w:t xml:space="preserve">Where a requirement is tagged [Objective Requirement], no documented standard exists anywhere in the RT–ICMM–IFC–TSM–OSHA hierarchy. The procedure must be written in performance language. The structure should be: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95959" w:val="clear"/>
            <w:tcMar>
              <w:top w:type="dxa" w:w="60"/>
              <w:left w:type="dxa" w:w="120"/>
              <w:bottom w:type="dxa" w:w="60"/>
              <w:right w:type="dxa" w:w="120"/>
            </w:tcMar>
          </w:tcPr>
          <w:p>
            <w:r>
              <w:rPr>
                <w:rFonts w:ascii="Arial" w:cs="Arial" w:eastAsia="Arial" w:hAnsi="Arial"/>
                <w:b/>
                <w:bCs/>
                <w:color w:val="FFFFFF"/>
                <w:sz w:val="18"/>
                <w:szCs w:val="18"/>
              </w:rPr>
              <w:t xml:space="preserve">OBJECTIVE REQUIREMENT WRITING TEMPLATE</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2D2D2D"/>
                <w:sz w:val="18"/>
                <w:szCs w:val="18"/>
              </w:rPr>
              <w:t xml:space="preserve">The project must identify [the risk or topic].</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2D2D2D"/>
                <w:sz w:val="18"/>
                <w:szCs w:val="18"/>
              </w:rPr>
              <w:t xml:space="preserve">The project must assess [the risk] using [a defined methodology / the risk matrix in RTPR-HSE-PRO-0002].</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2D2D2D"/>
                <w:sz w:val="18"/>
                <w:szCs w:val="18"/>
              </w:rPr>
              <w:t xml:space="preserve">The project must implement and document controls to manage [the risk] to ALARP.</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2D2D2D"/>
                <w:sz w:val="18"/>
                <w:szCs w:val="18"/>
              </w:rPr>
              <w:t xml:space="preserve">The project must define and document [the specific threshold / criteria / standard] applicable</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2D2D2D"/>
                <w:sz w:val="18"/>
                <w:szCs w:val="18"/>
              </w:rPr>
              <w:t xml:space="preserve">   to this project, based on [site conditions / regulatory context / workforce characteristics].</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2D2D2D"/>
                <w:sz w:val="18"/>
                <w:szCs w:val="18"/>
              </w:rPr>
              <w:t xml:space="preserve">The project must monitor [the risk or control effectiveness] at [a defined frequency].</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2D2D2D"/>
                <w:sz w:val="18"/>
                <w:szCs w:val="18"/>
              </w:rPr>
              <w:t xml:space="preserve">The project must review [this assessment / these thresholds] when [a defined trigger occurs].</w:t>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2D2D2D"/>
                <w:sz w:val="18"/>
                <w:szCs w:val="18"/>
              </w:rPr>
              <w:t xml:space="preserve"/>
            </w:r>
          </w:p>
        </w:tc>
      </w:tr>
      <w:tr>
        <w:tc>
          <w:tcPr>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20"/>
            </w:tcMar>
          </w:tcPr>
          <w:p>
            <w:r>
              <w:rPr>
                <w:rFonts w:ascii="Arial" w:cs="Arial" w:eastAsia="Arial" w:hAnsi="Arial"/>
                <w:color w:val="2D2D2D"/>
                <w:sz w:val="18"/>
                <w:szCs w:val="18"/>
              </w:rPr>
              <w:t xml:space="preserve">&gt;&gt;&gt; PROJECT COMPLETION REQUIRED: Insert the project-specific [threshold/criteria] here &lt;&lt;&lt;</w:t>
            </w:r>
          </w:p>
        </w:tc>
      </w:tr>
    </w:tbl>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SECTION 5A — General Document Development Instructions</w:t>
      </w:r>
    </w:p>
    <w:p>
      <w:pPr>
        <w:spacing w:after="40" w:before="40"/>
      </w:pPr>
      <w:r>
        <w:rPr>
          <w:rFonts w:ascii="Arial" w:cs="Arial" w:eastAsia="Arial" w:hAnsi="Arial"/>
          <w:color w:val="2D2D2D"/>
          <w:sz w:val="19"/>
          <w:szCs w:val="19"/>
        </w:rPr>
        <w:t xml:space="preserve">This section sets the mandatory authoring rules for every document produced under this playbook. The rules apply to all procedures, plans, guidance notes and registers without exception, and they govern structure, language, formatting and styling.</w:t>
      </w:r>
    </w:p>
    <w:p>
      <w:pPr>
        <w:pStyle w:val="Heading2"/>
        <w:spacing w:after="60" w:before="240"/>
      </w:pPr>
      <w:r>
        <w:rPr>
          <w:rFonts w:ascii="Arial" w:cs="Arial" w:eastAsia="Arial" w:hAnsi="Arial"/>
          <w:b/>
          <w:bCs/>
          <w:color w:val="2E75B6"/>
          <w:sz w:val="22"/>
          <w:szCs w:val="22"/>
        </w:rPr>
        <w:t xml:space="preserve">Mandatory Document Structure</w:t>
      </w:r>
    </w:p>
    <w:p>
      <w:pPr>
        <w:spacing w:after="40" w:before="40"/>
      </w:pPr>
      <w:r>
        <w:rPr>
          <w:rFonts w:ascii="Arial" w:cs="Arial" w:eastAsia="Arial" w:hAnsi="Arial"/>
          <w:color w:val="2D2D2D"/>
          <w:sz w:val="19"/>
          <w:szCs w:val="19"/>
        </w:rPr>
        <w:t xml:space="preserve">Every document follows the same structure so the system reads consistently and each document carries the context a reviewer needs from front to back.</w:t>
      </w:r>
    </w:p>
    <w:p>
      <w:pPr>
        <w:spacing w:after="40" w:before="120"/>
      </w:pPr>
      <w:r>
        <w:rPr>
          <w:rFonts w:ascii="Arial" w:cs="Arial" w:eastAsia="Arial" w:hAnsi="Arial"/>
          <w:color w:val="2D2D2D"/>
          <w:sz w:val="19"/>
          <w:szCs w:val="19"/>
        </w:rPr>
        <w:t xml:space="preserve">Every document includes the following sections in this order:</w:t>
      </w:r>
    </w:p>
    <w:p>
      <w:pPr>
        <w:pStyle w:val="ListParagraph"/>
        <w:numPr>
          <w:ilvl w:val="0"/>
          <w:numId w:val="2"/>
        </w:numPr>
        <w:spacing w:after="40" w:before="40"/>
      </w:pPr>
      <w:r>
        <w:rPr>
          <w:rFonts w:ascii="Arial" w:cs="Arial" w:eastAsia="Arial" w:hAnsi="Arial"/>
          <w:b/>
          <w:bCs/>
          <w:color w:val="1F3864"/>
          <w:sz w:val="19"/>
          <w:szCs w:val="19"/>
        </w:rPr>
        <w:t xml:space="preserve">How to Use This Document: </w:t>
      </w:r>
      <w:r>
        <w:rPr>
          <w:rFonts w:ascii="Arial" w:cs="Arial" w:eastAsia="Arial" w:hAnsi="Arial"/>
          <w:color w:val="2D2D2D"/>
          <w:sz w:val="19"/>
          <w:szCs w:val="19"/>
        </w:rPr>
        <w:t xml:space="preserve">the opening section that explains the document purpose, structure and completion steps. This section is removable and is deleted in its entirety before the document is issued for approval. Section 0 must contain the following four items: (a) Purpose of This Template: one paragraph explaining that the document is a 90% draft, that fixed content reflects minimum RT requirements and must not be reduced, and that the remaining 10% covers project-specific information the project team must complete before issue. (b) How This Document is Structured: a brief description of the four content types in the document, identifying fixed black text, blue bold INSERT placeholders, and orange suggested content, with one sentence defining each. (c) Pre-Issue Checklist: a formatted table with one row per mandatory pre-issue check, a plain-language description of each check, and a checkbox in the second column. The checklist must include as minimum: cover page complete; all INSERT placeholders replaced; all instruction boxes read, actioned and deleted; project risk matrix confirmed as current approved version; all role titles verified against the project organisational structure; register and system locations confirmed; workshop dates confirmed against the project programme; JHA trigger list reviewed and project-specific triggers added; observation targets set; related procedures confirmed as issued or being issued concurrently; and Section 0 deleted. (d) Instruction to delete: a shaded instruction box stating that Section 0 must be deleted in its entirety before this document is submitted for review or approval, and that it must not appear in any approved version.</w:t>
      </w:r>
    </w:p>
    <w:p>
      <w:pPr>
        <w:pStyle w:val="ListParagraph"/>
        <w:numPr>
          <w:ilvl w:val="0"/>
          <w:numId w:val="2"/>
        </w:numPr>
        <w:spacing w:after="40" w:before="40"/>
      </w:pPr>
      <w:r>
        <w:rPr>
          <w:rFonts w:ascii="Arial" w:cs="Arial" w:eastAsia="Arial" w:hAnsi="Arial"/>
          <w:b/>
          <w:bCs/>
          <w:color w:val="1F3864"/>
          <w:sz w:val="19"/>
          <w:szCs w:val="19"/>
        </w:rPr>
        <w:t xml:space="preserve">Body sections: </w:t>
      </w:r>
      <w:r>
        <w:rPr>
          <w:rFonts w:ascii="Arial" w:cs="Arial" w:eastAsia="Arial" w:hAnsi="Arial"/>
          <w:color w:val="2D2D2D"/>
          <w:sz w:val="19"/>
          <w:szCs w:val="19"/>
        </w:rPr>
        <w:t xml:space="preserve">the numbered content sections specific to the document topic, built from the relevant procedure brief.</w:t>
      </w:r>
    </w:p>
    <w:p>
      <w:pPr>
        <w:pStyle w:val="ListParagraph"/>
        <w:numPr>
          <w:ilvl w:val="0"/>
          <w:numId w:val="2"/>
        </w:numPr>
        <w:spacing w:after="40" w:before="40"/>
      </w:pPr>
      <w:r>
        <w:rPr>
          <w:rFonts w:ascii="Arial" w:cs="Arial" w:eastAsia="Arial" w:hAnsi="Arial"/>
          <w:b/>
          <w:bCs/>
          <w:color w:val="1F3864"/>
          <w:sz w:val="19"/>
          <w:szCs w:val="19"/>
        </w:rPr>
        <w:t xml:space="preserve">References: </w:t>
      </w:r>
      <w:r>
        <w:rPr>
          <w:rFonts w:ascii="Arial" w:cs="Arial" w:eastAsia="Arial" w:hAnsi="Arial"/>
          <w:color w:val="2D2D2D"/>
          <w:sz w:val="19"/>
          <w:szCs w:val="19"/>
        </w:rPr>
        <w:t xml:space="preserve">a standing section near the end that lists every internal and external document the document relies on. This section stays in the document once published.</w:t>
      </w:r>
    </w:p>
    <w:p>
      <w:pPr>
        <w:pStyle w:val="ListParagraph"/>
        <w:numPr>
          <w:ilvl w:val="0"/>
          <w:numId w:val="2"/>
        </w:numPr>
        <w:spacing w:after="40" w:before="40"/>
      </w:pPr>
      <w:r>
        <w:rPr>
          <w:rFonts w:ascii="Arial" w:cs="Arial" w:eastAsia="Arial" w:hAnsi="Arial"/>
          <w:b/>
          <w:bCs/>
          <w:color w:val="1F3864"/>
          <w:sz w:val="19"/>
          <w:szCs w:val="19"/>
        </w:rPr>
        <w:t xml:space="preserve">Definitions: </w:t>
      </w:r>
      <w:r>
        <w:rPr>
          <w:rFonts w:ascii="Arial" w:cs="Arial" w:eastAsia="Arial" w:hAnsi="Arial"/>
          <w:color w:val="2D2D2D"/>
          <w:sz w:val="19"/>
          <w:szCs w:val="19"/>
        </w:rPr>
        <w:t xml:space="preserve">a standing section near the end that defines the terms and acronyms used in the document. This section stays in the document once published.</w:t>
      </w:r>
    </w:p>
    <w:p>
      <w:pPr>
        <w:pStyle w:val="ListParagraph"/>
        <w:numPr>
          <w:ilvl w:val="0"/>
          <w:numId w:val="2"/>
        </w:numPr>
        <w:spacing w:after="40" w:before="40"/>
      </w:pPr>
      <w:r>
        <w:rPr>
          <w:rFonts w:ascii="Arial" w:cs="Arial" w:eastAsia="Arial" w:hAnsi="Arial"/>
          <w:b/>
          <w:bCs/>
          <w:color w:val="1F3864"/>
          <w:sz w:val="19"/>
          <w:szCs w:val="19"/>
        </w:rPr>
        <w:t xml:space="preserve">Framework Compliance Mapping: </w:t>
      </w:r>
      <w:r>
        <w:rPr>
          <w:rFonts w:ascii="Arial" w:cs="Arial" w:eastAsia="Arial" w:hAnsi="Arial"/>
          <w:color w:val="2D2D2D"/>
          <w:sz w:val="19"/>
          <w:szCs w:val="19"/>
        </w:rPr>
        <w:t xml:space="preserve">a removable section at the back, presented as a table, that records how the document meets each framework requirement. This section is deleted before the document is issued for approval.</w:t>
      </w:r>
    </w:p>
    <w:p>
      <w:pPr>
        <w:pStyle w:val="Normal"/>
        <w:spacing w:after="40" w:before="40"/>
      </w:pPr>
      <w:r>
        <w:rPr>
          <w:rFonts w:ascii="Arial" w:cs="Arial" w:eastAsia="Arial" w:hAnsi="Arial"/>
          <w:b/>
          <w:bCs/>
          <w:color w:val="1F3864"/>
          <w:sz w:val="19"/>
          <w:szCs w:val="19"/>
        </w:rPr>
        <w:t xml:space="preserve">Project Localisation Edits: </w:t>
      </w:r>
      <w:r>
        <w:rPr>
          <w:rFonts w:ascii="Arial" w:cs="Arial" w:eastAsia="Arial" w:hAnsi="Arial"/>
          <w:color w:val="2D2D2D"/>
          <w:sz w:val="19"/>
          <w:szCs w:val="19"/>
        </w:rPr>
        <w:t xml:space="preserve">a standing section near the end of the document that records all changes made to the template during project-specific preparation. This section stays in the document once published and serves as the formal change record for every approved revision. It contains three sub-tables: (a) wording changes that retain the original intent; (b) new content additions; and (c) content removals. Each row records a description of the change and the section it affects. The section is populated during document preparation and updated at each document revision. It must not be deleted.</w:t>
      </w:r>
    </w:p>
    <w:p>
      <w:pPr>
        <w:pStyle w:val="Heading2"/>
        <w:spacing w:after="60" w:before="240"/>
      </w:pPr>
      <w:r>
        <w:rPr>
          <w:rFonts w:ascii="Arial" w:cs="Arial" w:eastAsia="Arial" w:hAnsi="Arial"/>
          <w:b/>
          <w:bCs/>
          <w:color w:val="2E75B6"/>
          <w:sz w:val="22"/>
          <w:szCs w:val="22"/>
        </w:rPr>
        <w:t xml:space="preserve">Operational Document Style</w:t>
      </w:r>
    </w:p>
    <w:p>
      <w:pPr>
        <w:spacing w:after="40" w:before="40"/>
      </w:pPr>
      <w:r>
        <w:rPr>
          <w:rFonts w:ascii="Arial" w:cs="Arial" w:eastAsia="Arial" w:hAnsi="Arial"/>
          <w:color w:val="2D2D2D"/>
          <w:sz w:val="19"/>
          <w:szCs w:val="19"/>
        </w:rPr>
        <w:t xml:space="preserve">These documents are operational documents that people use to do work, so they read as clear working instructions rather than presentation material or marketing copy.</w:t>
      </w:r>
    </w:p>
    <w:p>
      <w:pPr>
        <w:spacing w:after="40" w:before="120"/>
      </w:pPr>
      <w:r>
        <w:rPr>
          <w:rFonts w:ascii="Arial" w:cs="Arial" w:eastAsia="Arial" w:hAnsi="Arial"/>
          <w:color w:val="2D2D2D"/>
          <w:sz w:val="19"/>
          <w:szCs w:val="19"/>
        </w:rPr>
        <w:t xml:space="preserve">Apply the following when writing any content:</w:t>
      </w:r>
    </w:p>
    <w:p>
      <w:pPr>
        <w:pStyle w:val="ListParagraph"/>
        <w:numPr>
          <w:ilvl w:val="0"/>
          <w:numId w:val="2"/>
        </w:numPr>
        <w:spacing w:after="40" w:before="40"/>
      </w:pPr>
      <w:r>
        <w:rPr>
          <w:rFonts w:ascii="Arial" w:cs="Arial" w:eastAsia="Arial" w:hAnsi="Arial"/>
          <w:color w:val="2D2D2D"/>
          <w:sz w:val="19"/>
          <w:szCs w:val="19"/>
        </w:rPr>
        <w:t xml:space="preserve">Write plain, direct working language that a supervisor or worker can act on in the field.</w:t>
      </w:r>
    </w:p>
    <w:p>
      <w:pPr>
        <w:pStyle w:val="ListParagraph"/>
        <w:numPr>
          <w:ilvl w:val="0"/>
          <w:numId w:val="2"/>
        </w:numPr>
        <w:spacing w:after="40" w:before="40"/>
      </w:pPr>
      <w:r>
        <w:rPr>
          <w:rFonts w:ascii="Arial" w:cs="Arial" w:eastAsia="Arial" w:hAnsi="Arial"/>
          <w:color w:val="2D2D2D"/>
          <w:sz w:val="19"/>
          <w:szCs w:val="19"/>
        </w:rPr>
        <w:t xml:space="preserve">Do not write in a keynote or presentation voice, and do not use slogans, taglines or promotional phrasing.</w:t>
      </w:r>
    </w:p>
    <w:p>
      <w:pPr>
        <w:pStyle w:val="ListParagraph"/>
        <w:numPr>
          <w:ilvl w:val="0"/>
          <w:numId w:val="2"/>
        </w:numPr>
        <w:spacing w:after="40" w:before="40"/>
      </w:pPr>
      <w:r>
        <w:rPr>
          <w:rFonts w:ascii="Arial" w:cs="Arial" w:eastAsia="Arial" w:hAnsi="Arial"/>
          <w:color w:val="2D2D2D"/>
          <w:sz w:val="19"/>
          <w:szCs w:val="19"/>
        </w:rPr>
        <w:t xml:space="preserve">Build dynamic content into each section by pre-filling detail as black standard content or dark orange suggested content, and reserve blue placeholders for the responsibilities, timeframes and process flows that only the project can set.</w:t>
      </w:r>
    </w:p>
    <w:p>
      <w:pPr>
        <w:pStyle w:val="Heading2"/>
        <w:spacing w:after="60" w:before="240"/>
      </w:pPr>
      <w:r>
        <w:rPr>
          <w:rFonts w:ascii="Arial" w:cs="Arial" w:eastAsia="Arial" w:hAnsi="Arial"/>
          <w:b/>
          <w:bCs/>
          <w:color w:val="2E75B6"/>
          <w:sz w:val="22"/>
          <w:szCs w:val="22"/>
        </w:rPr>
        <w:t xml:space="preserve">Language Rules</w:t>
      </w:r>
    </w:p>
    <w:p>
      <w:pPr>
        <w:spacing w:after="40" w:before="40"/>
      </w:pPr>
      <w:r>
        <w:rPr>
          <w:rFonts w:ascii="Arial" w:cs="Arial" w:eastAsia="Arial" w:hAnsi="Arial"/>
          <w:color w:val="2D2D2D"/>
          <w:sz w:val="19"/>
          <w:szCs w:val="19"/>
        </w:rPr>
        <w:t xml:space="preserve">Consistent language keeps the documents professional and removes the stylistic habits that make content harder to read or sound like sales copy.</w:t>
      </w:r>
    </w:p>
    <w:p>
      <w:pPr>
        <w:spacing w:after="40" w:before="120"/>
      </w:pPr>
      <w:r>
        <w:rPr>
          <w:rFonts w:ascii="Arial" w:cs="Arial" w:eastAsia="Arial" w:hAnsi="Arial"/>
          <w:color w:val="2D2D2D"/>
          <w:sz w:val="19"/>
          <w:szCs w:val="19"/>
        </w:rPr>
        <w:t xml:space="preserve">Apply the following language rules to all content:</w:t>
      </w:r>
    </w:p>
    <w:p>
      <w:pPr>
        <w:pStyle w:val="ListParagraph"/>
        <w:numPr>
          <w:ilvl w:val="0"/>
          <w:numId w:val="2"/>
        </w:numPr>
        <w:spacing w:after="40" w:before="40"/>
      </w:pPr>
      <w:r>
        <w:rPr>
          <w:rFonts w:ascii="Arial" w:cs="Arial" w:eastAsia="Arial" w:hAnsi="Arial"/>
          <w:b/>
          <w:bCs/>
          <w:color w:val="1F3864"/>
          <w:sz w:val="19"/>
          <w:szCs w:val="19"/>
        </w:rPr>
        <w:t xml:space="preserve">No mid-sentence dashes: </w:t>
      </w:r>
      <w:r>
        <w:rPr>
          <w:rFonts w:ascii="Arial" w:cs="Arial" w:eastAsia="Arial" w:hAnsi="Arial"/>
          <w:color w:val="2D2D2D"/>
          <w:sz w:val="19"/>
          <w:szCs w:val="19"/>
        </w:rPr>
        <w:t xml:space="preserve">never use a dash within a sentence to join or separate clauses. Rewrite the sentence into two sentences, or use a comma. Dashes inside document numbers are allowed, and a dash used to mean a field is not applicable is allowed.</w:t>
      </w:r>
    </w:p>
    <w:p>
      <w:pPr>
        <w:pStyle w:val="ListParagraph"/>
        <w:numPr>
          <w:ilvl w:val="0"/>
          <w:numId w:val="2"/>
        </w:numPr>
        <w:spacing w:after="40" w:before="40"/>
      </w:pPr>
      <w:r>
        <w:rPr>
          <w:rFonts w:ascii="Arial" w:cs="Arial" w:eastAsia="Arial" w:hAnsi="Arial"/>
          <w:b/>
          <w:bCs/>
          <w:color w:val="1F3864"/>
          <w:sz w:val="19"/>
          <w:szCs w:val="19"/>
        </w:rPr>
        <w:t xml:space="preserve">No contrastive sentence structures: </w:t>
      </w:r>
      <w:r>
        <w:rPr>
          <w:rFonts w:ascii="Arial" w:cs="Arial" w:eastAsia="Arial" w:hAnsi="Arial"/>
          <w:color w:val="2D2D2D"/>
          <w:sz w:val="19"/>
          <w:szCs w:val="19"/>
        </w:rPr>
        <w:t xml:space="preserve">do not use “not only this but also that”, “it is not x, it is y”, or similar setups that lean on contrast. State the point plainly.</w:t>
      </w:r>
    </w:p>
    <w:p>
      <w:pPr>
        <w:pStyle w:val="ListParagraph"/>
        <w:numPr>
          <w:ilvl w:val="0"/>
          <w:numId w:val="2"/>
        </w:numPr>
        <w:spacing w:after="40" w:before="40"/>
      </w:pPr>
      <w:r>
        <w:rPr>
          <w:rFonts w:ascii="Arial" w:cs="Arial" w:eastAsia="Arial" w:hAnsi="Arial"/>
          <w:b/>
          <w:bCs/>
          <w:color w:val="1F3864"/>
          <w:sz w:val="19"/>
          <w:szCs w:val="19"/>
        </w:rPr>
        <w:t xml:space="preserve">Plain operational tone: </w:t>
      </w:r>
      <w:r>
        <w:rPr>
          <w:rFonts w:ascii="Arial" w:cs="Arial" w:eastAsia="Arial" w:hAnsi="Arial"/>
          <w:color w:val="2D2D2D"/>
          <w:sz w:val="19"/>
          <w:szCs w:val="19"/>
        </w:rPr>
        <w:t xml:space="preserve">keep sentences short and factual. Avoid rhetorical framing, emphasis for effect, and persuasive phrasing.</w:t>
      </w:r>
    </w:p>
    <w:p>
      <w:pPr>
        <w:pStyle w:val="Heading2"/>
        <w:spacing w:after="60" w:before="240"/>
      </w:pPr>
      <w:r>
        <w:rPr>
          <w:rFonts w:ascii="Arial" w:cs="Arial" w:eastAsia="Arial" w:hAnsi="Arial"/>
          <w:b/>
          <w:bCs/>
          <w:color w:val="2E75B6"/>
          <w:sz w:val="22"/>
          <w:szCs w:val="22"/>
        </w:rPr>
        <w:t xml:space="preserve">Tone and Sentence Structure</w:t>
      </w:r>
    </w:p>
    <w:p>
      <w:pPr>
        <w:spacing w:after="40" w:before="40"/>
      </w:pPr>
      <w:r>
        <w:rPr>
          <w:rFonts w:ascii="Arial" w:cs="Arial" w:eastAsia="Arial" w:hAnsi="Arial"/>
          <w:color w:val="2D2D2D"/>
          <w:sz w:val="19"/>
          <w:szCs w:val="19"/>
        </w:rPr>
        <w:t xml:space="preserve">Every sentence in these documents is technical, professional, informative and neutral. The client reads filler content as padding, so each sentence carries verifiable information and nothing that exists only to add flavour or weight.</w:t>
      </w:r>
    </w:p>
    <w:p>
      <w:pPr>
        <w:spacing w:after="40" w:before="120"/>
      </w:pPr>
      <w:r>
        <w:rPr>
          <w:rFonts w:ascii="Arial" w:cs="Arial" w:eastAsia="Arial" w:hAnsi="Arial"/>
          <w:color w:val="2D2D2D"/>
          <w:sz w:val="19"/>
          <w:szCs w:val="19"/>
        </w:rPr>
        <w:t xml:space="preserve">Write every sentence to meet the following standards:</w:t>
      </w:r>
    </w:p>
    <w:p>
      <w:pPr>
        <w:pStyle w:val="ListParagraph"/>
        <w:numPr>
          <w:ilvl w:val="0"/>
          <w:numId w:val="2"/>
        </w:numPr>
        <w:spacing w:after="40" w:before="40"/>
      </w:pPr>
      <w:r>
        <w:rPr>
          <w:rFonts w:ascii="Arial" w:cs="Arial" w:eastAsia="Arial" w:hAnsi="Arial"/>
          <w:b/>
          <w:bCs/>
          <w:color w:val="1F3864"/>
          <w:sz w:val="19"/>
          <w:szCs w:val="19"/>
        </w:rPr>
        <w:t xml:space="preserve">Technical and specific: </w:t>
      </w:r>
      <w:r>
        <w:rPr>
          <w:rFonts w:ascii="Arial" w:cs="Arial" w:eastAsia="Arial" w:hAnsi="Arial"/>
          <w:color w:val="2D2D2D"/>
          <w:sz w:val="19"/>
          <w:szCs w:val="19"/>
        </w:rPr>
        <w:t xml:space="preserve">state named systems, documents, roles, thresholds and activities. Replace general descriptions with the specific item the sentence refers to.</w:t>
      </w:r>
    </w:p>
    <w:p>
      <w:pPr>
        <w:pStyle w:val="ListParagraph"/>
        <w:numPr>
          <w:ilvl w:val="0"/>
          <w:numId w:val="2"/>
        </w:numPr>
        <w:spacing w:after="40" w:before="40"/>
      </w:pPr>
      <w:r>
        <w:rPr>
          <w:rFonts w:ascii="Arial" w:cs="Arial" w:eastAsia="Arial" w:hAnsi="Arial"/>
          <w:b/>
          <w:bCs/>
          <w:color w:val="1F3864"/>
          <w:sz w:val="19"/>
          <w:szCs w:val="19"/>
        </w:rPr>
        <w:t xml:space="preserve">Informative: </w:t>
      </w:r>
      <w:r>
        <w:rPr>
          <w:rFonts w:ascii="Arial" w:cs="Arial" w:eastAsia="Arial" w:hAnsi="Arial"/>
          <w:color w:val="2D2D2D"/>
          <w:sz w:val="19"/>
          <w:szCs w:val="19"/>
        </w:rPr>
        <w:t xml:space="preserve">every sentence adds information the reader can act on or verify. Remove any sentence that would not change what the reader does.</w:t>
      </w:r>
    </w:p>
    <w:p>
      <w:pPr>
        <w:pStyle w:val="ListParagraph"/>
        <w:numPr>
          <w:ilvl w:val="0"/>
          <w:numId w:val="2"/>
        </w:numPr>
        <w:spacing w:after="40" w:before="40"/>
      </w:pPr>
      <w:r>
        <w:rPr>
          <w:rFonts w:ascii="Arial" w:cs="Arial" w:eastAsia="Arial" w:hAnsi="Arial"/>
          <w:b/>
          <w:bCs/>
          <w:color w:val="1F3864"/>
          <w:sz w:val="19"/>
          <w:szCs w:val="19"/>
        </w:rPr>
        <w:t xml:space="preserve">Neutral: </w:t>
      </w:r>
      <w:r>
        <w:rPr>
          <w:rFonts w:ascii="Arial" w:cs="Arial" w:eastAsia="Arial" w:hAnsi="Arial"/>
          <w:color w:val="2D2D2D"/>
          <w:sz w:val="19"/>
          <w:szCs w:val="19"/>
        </w:rPr>
        <w:t xml:space="preserve">describe what happens without persuasion, emphasis or self-promotion. The document records requirements, it does not advocate for them.</w:t>
      </w:r>
    </w:p>
    <w:p>
      <w:pPr>
        <w:pStyle w:val="ListParagraph"/>
        <w:numPr>
          <w:ilvl w:val="0"/>
          <w:numId w:val="2"/>
        </w:numPr>
        <w:spacing w:after="40" w:before="40"/>
      </w:pPr>
      <w:r>
        <w:rPr>
          <w:rFonts w:ascii="Arial" w:cs="Arial" w:eastAsia="Arial" w:hAnsi="Arial"/>
          <w:b/>
          <w:bCs/>
          <w:color w:val="1F3864"/>
          <w:sz w:val="19"/>
          <w:szCs w:val="19"/>
        </w:rPr>
        <w:t xml:space="preserve">Within word count: </w:t>
      </w:r>
      <w:r>
        <w:rPr>
          <w:rFonts w:ascii="Arial" w:cs="Arial" w:eastAsia="Arial" w:hAnsi="Arial"/>
          <w:color w:val="2D2D2D"/>
          <w:sz w:val="19"/>
          <w:szCs w:val="19"/>
        </w:rPr>
        <w:t xml:space="preserve">respect the introduction word counts set for each heading level while meeting these standards. Brevity does not justify vague content.</w:t>
      </w:r>
    </w:p>
    <w:p>
      <w:pPr>
        <w:spacing w:after="40" w:before="120"/>
      </w:pPr>
      <w:r>
        <w:rPr>
          <w:rFonts w:ascii="Arial" w:cs="Arial" w:eastAsia="Arial" w:hAnsi="Arial"/>
          <w:color w:val="2D2D2D"/>
          <w:sz w:val="19"/>
          <w:szCs w:val="19"/>
        </w:rPr>
        <w:t xml:space="preserve">Do not use the following sentence patterns:</w:t>
      </w:r>
    </w:p>
    <w:p>
      <w:pPr>
        <w:pStyle w:val="ListParagraph"/>
        <w:numPr>
          <w:ilvl w:val="0"/>
          <w:numId w:val="2"/>
        </w:numPr>
        <w:spacing w:after="40" w:before="40"/>
      </w:pPr>
      <w:r>
        <w:rPr>
          <w:rFonts w:ascii="Arial" w:cs="Arial" w:eastAsia="Arial" w:hAnsi="Arial"/>
          <w:b/>
          <w:bCs/>
          <w:color w:val="1F3864"/>
          <w:sz w:val="19"/>
          <w:szCs w:val="19"/>
        </w:rPr>
        <w:t xml:space="preserve">Aspirational or value-laden modifiers: </w:t>
      </w:r>
      <w:r>
        <w:rPr>
          <w:rFonts w:ascii="Arial" w:cs="Arial" w:eastAsia="Arial" w:hAnsi="Arial"/>
          <w:color w:val="2D2D2D"/>
          <w:sz w:val="19"/>
          <w:szCs w:val="19"/>
        </w:rPr>
        <w:t xml:space="preserve">terms such as “sound science”, “best-in-class”, “robust”, “world-class” or “effective” assert a quality without evidence. Name the standard, method or threshold that makes the statement testable.</w:t>
      </w:r>
    </w:p>
    <w:p>
      <w:pPr>
        <w:pStyle w:val="ListParagraph"/>
        <w:numPr>
          <w:ilvl w:val="0"/>
          <w:numId w:val="2"/>
        </w:numPr>
        <w:spacing w:after="40" w:before="40"/>
      </w:pPr>
      <w:r>
        <w:rPr>
          <w:rFonts w:ascii="Arial" w:cs="Arial" w:eastAsia="Arial" w:hAnsi="Arial"/>
          <w:b/>
          <w:bCs/>
          <w:color w:val="1F3864"/>
          <w:sz w:val="19"/>
          <w:szCs w:val="19"/>
        </w:rPr>
        <w:t xml:space="preserve">Triads and rhythmic lists in prose: </w:t>
      </w:r>
      <w:r>
        <w:rPr>
          <w:rFonts w:ascii="Arial" w:cs="Arial" w:eastAsia="Arial" w:hAnsi="Arial"/>
          <w:color w:val="2D2D2D"/>
          <w:sz w:val="19"/>
          <w:szCs w:val="19"/>
        </w:rPr>
        <w:t xml:space="preserve">stacking three parallel phrases onto one subject performs comprehensiveness and reads as a mission statement. State each requirement as its own sentence or as a bullet.</w:t>
      </w:r>
    </w:p>
    <w:p>
      <w:pPr>
        <w:pStyle w:val="ListParagraph"/>
        <w:numPr>
          <w:ilvl w:val="0"/>
          <w:numId w:val="2"/>
        </w:numPr>
        <w:spacing w:after="40" w:before="40"/>
      </w:pPr>
      <w:r>
        <w:rPr>
          <w:rFonts w:ascii="Arial" w:cs="Arial" w:eastAsia="Arial" w:hAnsi="Arial"/>
          <w:b/>
          <w:bCs/>
          <w:color w:val="1F3864"/>
          <w:sz w:val="19"/>
          <w:szCs w:val="19"/>
        </w:rPr>
        <w:t xml:space="preserve">Glittering generalities: </w:t>
      </w:r>
      <w:r>
        <w:rPr>
          <w:rFonts w:ascii="Arial" w:cs="Arial" w:eastAsia="Arial" w:hAnsi="Arial"/>
          <w:color w:val="2D2D2D"/>
          <w:sz w:val="19"/>
          <w:szCs w:val="19"/>
        </w:rPr>
        <w:t xml:space="preserve">phrases such as “stakeholder perceptions of risk” or “recognised international standards” sound authoritative and commit to nothing. Name the stakeholders, the mechanism and the specific standard.</w:t>
      </w:r>
    </w:p>
    <w:p>
      <w:pPr>
        <w:pStyle w:val="ListParagraph"/>
        <w:numPr>
          <w:ilvl w:val="0"/>
          <w:numId w:val="2"/>
        </w:numPr>
        <w:spacing w:after="40" w:before="40"/>
      </w:pPr>
      <w:r>
        <w:rPr>
          <w:rFonts w:ascii="Arial" w:cs="Arial" w:eastAsia="Arial" w:hAnsi="Arial"/>
          <w:b/>
          <w:bCs/>
          <w:color w:val="1F3864"/>
          <w:sz w:val="19"/>
          <w:szCs w:val="19"/>
        </w:rPr>
        <w:t xml:space="preserve">Filler qualifiers: </w:t>
      </w:r>
      <w:r>
        <w:rPr>
          <w:rFonts w:ascii="Arial" w:cs="Arial" w:eastAsia="Arial" w:hAnsi="Arial"/>
          <w:color w:val="2D2D2D"/>
          <w:sz w:val="19"/>
          <w:szCs w:val="19"/>
        </w:rPr>
        <w:t xml:space="preserve">words such as “comprehensive”, “holistic”, “fully” and “seamless” add tone without content. Delete them or replace them with the specific scope they imply.</w:t>
      </w:r>
    </w:p>
    <w:p>
      <w:pPr>
        <w:spacing w:after="40" w:before="120"/>
      </w:pPr>
      <w:r>
        <w:rPr>
          <w:rFonts w:ascii="Arial" w:cs="Arial" w:eastAsia="Arial" w:hAnsi="Arial"/>
          <w:color w:val="2D2D2D"/>
          <w:sz w:val="19"/>
          <w:szCs w:val="19"/>
        </w:rPr>
        <w:t xml:space="preserve">The example below shows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w="9360" w:type="dxa"/>
            <w:tcBorders>
              <w:top w:val="single" w:color="CCCCCC" w:sz="1"/>
              <w:left w:val="single" w:color="CCCCCC" w:sz="1"/>
              <w:bottom w:val="single" w:color="CCCCCC" w:sz="1"/>
              <w:right w:val="single" w:color="CCCCCC" w:sz="1"/>
            </w:tcBorders>
            <w:shd w:val="clear" w:color="auto" w:fill="FCE4E4"/>
            <w:tcMar>
              <w:top w:w="60" w:type="dxa"/>
              <w:left w:w="120" w:type="dxa"/>
              <w:bottom w:w="60" w:type="dxa"/>
              <w:right w:w="120" w:type="dxa"/>
            </w:tcMar>
          </w:tcPr>
          <w:p>
            <w:pPr>
              <w:spacing w:after="20" w:before="20"/>
            </w:pPr>
            <w:r>
              <w:rPr>
                <w:rFonts w:ascii="Arial" w:cs="Arial" w:eastAsia="Arial" w:hAnsi="Arial"/>
                <w:b/>
                <w:bCs/>
                <w:color w:val="B00000"/>
                <w:sz w:val="16"/>
                <w:szCs w:val="16"/>
              </w:rPr>
              <w:t xml:space="preserve">Avoid: </w:t>
            </w:r>
            <w:r>
              <w:rPr>
                <w:rFonts w:ascii="Arial" w:cs="Arial" w:eastAsia="Arial" w:hAnsi="Arial"/>
                <w:color w:val="2D2D2D"/>
                <w:sz w:val="16"/>
                <w:szCs w:val="16"/>
              </w:rPr>
              <w:t xml:space="preserve">This procedure implements effective risk management based on sound science, accounts for stakeholder perceptions of risk, and stays consistent with recognised international standards.</w:t>
            </w:r>
          </w:p>
        </w:tc>
      </w:tr>
      <w:tr>
        <w:tc>
          <w:tcPr>
            <w:tcW w:w="9360" w:type="dxa"/>
            <w:tcBorders>
              <w:top w:val="single" w:color="CCCCCC" w:sz="1"/>
              <w:left w:val="single" w:color="CCCCCC" w:sz="1"/>
              <w:bottom w:val="single" w:color="CCCCCC" w:sz="1"/>
              <w:right w:val="single" w:color="CCCCCC" w:sz="1"/>
            </w:tcBorders>
            <w:shd w:val="clear" w:color="auto" w:fill="E2EFDA"/>
            <w:tcMar>
              <w:top w:w="60" w:type="dxa"/>
              <w:left w:w="120" w:type="dxa"/>
              <w:bottom w:w="60" w:type="dxa"/>
              <w:right w:w="120" w:type="dxa"/>
            </w:tcMar>
          </w:tcPr>
          <w:p>
            <w:pPr>
              <w:spacing w:after="20" w:before="20"/>
            </w:pPr>
            <w:r>
              <w:rPr>
                <w:rFonts w:ascii="Arial" w:cs="Arial" w:eastAsia="Arial" w:hAnsi="Arial"/>
                <w:b/>
                <w:bCs/>
                <w:color w:val="375623"/>
                <w:sz w:val="16"/>
                <w:szCs w:val="16"/>
              </w:rPr>
              <w:t xml:space="preserve">Use: </w:t>
            </w:r>
            <w:r>
              <w:rPr>
                <w:rFonts w:ascii="Arial" w:cs="Arial" w:eastAsia="Arial" w:hAnsi="Arial"/>
                <w:color w:val="2D2D2D"/>
                <w:sz w:val="16"/>
                <w:szCs w:val="16"/>
              </w:rPr>
              <w:t xml:space="preserve">This procedure applies the risk assessment methodology defined in RTPR-HSE-PRO-0002. It aligns to [INSERT: applicable risk management standard]. Risk perception input from affected communities is captured through the consultation process in [INSERT: relevant CSP procedure].</w:t>
            </w:r>
          </w:p>
        </w:tc>
      </w:tr>
    </w:tbl>
    <w:p>
      <w:pPr>
        <w:pStyle w:val="Heading2"/>
        <w:spacing w:after="60" w:before="240"/>
      </w:pPr>
      <w:r>
        <w:rPr>
          <w:rFonts w:ascii="Arial" w:cs="Arial" w:eastAsia="Arial" w:hAnsi="Arial"/>
          <w:b/>
          <w:bCs/>
          <w:color w:val="2E75B6"/>
          <w:sz w:val="22"/>
          <w:szCs w:val="22"/>
        </w:rPr>
        <w:t xml:space="preserve">Impersonal Voice</w:t>
      </w:r>
    </w:p>
    <w:p>
      <w:pPr>
        <w:spacing w:after="40" w:before="40"/>
      </w:pPr>
      <w:r>
        <w:rPr>
          <w:rFonts w:ascii="Arial" w:cs="Arial" w:eastAsia="Arial" w:hAnsi="Arial"/>
          <w:color w:val="2D2D2D"/>
          <w:sz w:val="19"/>
          <w:szCs w:val="19"/>
        </w:rPr>
        <w:t xml:space="preserve">The documents are written as though a project employee is reading them, so the text describes what happens and what is required rather than addressing the reader as “you” or describing the reader in the third person.</w:t>
      </w:r>
    </w:p>
    <w:p>
      <w:pPr>
        <w:spacing w:after="40" w:before="120"/>
      </w:pPr>
      <w:r>
        <w:rPr>
          <w:rFonts w:ascii="Arial" w:cs="Arial" w:eastAsia="Arial" w:hAnsi="Arial"/>
          <w:color w:val="2D2D2D"/>
          <w:sz w:val="19"/>
          <w:szCs w:val="19"/>
        </w:rPr>
        <w:t xml:space="preserve">Apply the following to every sentence:</w:t>
      </w:r>
    </w:p>
    <w:p>
      <w:pPr>
        <w:pStyle w:val="ListParagraph"/>
        <w:numPr>
          <w:ilvl w:val="0"/>
          <w:numId w:val="2"/>
        </w:numPr>
        <w:spacing w:after="40" w:before="40"/>
      </w:pPr>
      <w:r>
        <w:rPr>
          <w:rFonts w:ascii="Arial" w:cs="Arial" w:eastAsia="Arial" w:hAnsi="Arial"/>
          <w:b/>
          <w:bCs/>
          <w:color w:val="1F3864"/>
          <w:sz w:val="19"/>
          <w:szCs w:val="19"/>
        </w:rPr>
        <w:t xml:space="preserve">Do not address the reader: </w:t>
      </w:r>
      <w:r>
        <w:rPr>
          <w:rFonts w:ascii="Arial" w:cs="Arial" w:eastAsia="Arial" w:hAnsi="Arial"/>
          <w:color w:val="2D2D2D"/>
          <w:sz w:val="19"/>
          <w:szCs w:val="19"/>
        </w:rPr>
        <w:t xml:space="preserve">do not write “you”, “this section guides you”, or any instruction aimed directly at the reader.</w:t>
      </w:r>
    </w:p>
    <w:p>
      <w:pPr>
        <w:pStyle w:val="ListParagraph"/>
        <w:numPr>
          <w:ilvl w:val="0"/>
          <w:numId w:val="2"/>
        </w:numPr>
        <w:spacing w:after="40" w:before="40"/>
      </w:pPr>
      <w:r>
        <w:rPr>
          <w:rFonts w:ascii="Arial" w:cs="Arial" w:eastAsia="Arial" w:hAnsi="Arial"/>
          <w:b/>
          <w:bCs/>
          <w:color w:val="1F3864"/>
          <w:sz w:val="19"/>
          <w:szCs w:val="19"/>
        </w:rPr>
        <w:t xml:space="preserve">Do not describe the reader: </w:t>
      </w:r>
      <w:r>
        <w:rPr>
          <w:rFonts w:ascii="Arial" w:cs="Arial" w:eastAsia="Arial" w:hAnsi="Arial"/>
          <w:color w:val="2D2D2D"/>
          <w:sz w:val="19"/>
          <w:szCs w:val="19"/>
        </w:rPr>
        <w:t xml:space="preserve">do not write about “the reader” or what the reader is told or shown. The document is not about the reader.</w:t>
      </w:r>
    </w:p>
    <w:p>
      <w:pPr>
        <w:pStyle w:val="ListParagraph"/>
        <w:numPr>
          <w:ilvl w:val="0"/>
          <w:numId w:val="2"/>
        </w:numPr>
        <w:spacing w:after="40" w:before="40"/>
      </w:pPr>
      <w:r>
        <w:rPr>
          <w:rFonts w:ascii="Arial" w:cs="Arial" w:eastAsia="Arial" w:hAnsi="Arial"/>
          <w:b/>
          <w:bCs/>
          <w:color w:val="1F3864"/>
          <w:sz w:val="19"/>
          <w:szCs w:val="19"/>
        </w:rPr>
        <w:t xml:space="preserve">State what is required: </w:t>
      </w:r>
      <w:r>
        <w:rPr>
          <w:rFonts w:ascii="Arial" w:cs="Arial" w:eastAsia="Arial" w:hAnsi="Arial"/>
          <w:color w:val="2D2D2D"/>
          <w:sz w:val="19"/>
          <w:szCs w:val="19"/>
        </w:rPr>
        <w:t xml:space="preserve">write the requirement or the activity in an impersonal voice, using “shall” for obligations and present tense for descriptions.</w:t>
      </w:r>
    </w:p>
    <w:p>
      <w:pPr>
        <w:pStyle w:val="ListParagraph"/>
        <w:numPr>
          <w:ilvl w:val="0"/>
          <w:numId w:val="2"/>
        </w:numPr>
        <w:spacing w:after="40" w:before="40"/>
      </w:pPr>
      <w:r>
        <w:rPr>
          <w:rFonts w:ascii="Arial" w:cs="Arial" w:eastAsia="Arial" w:hAnsi="Arial"/>
          <w:b/>
          <w:bCs/>
          <w:color w:val="1F3864"/>
          <w:sz w:val="19"/>
          <w:szCs w:val="19"/>
        </w:rPr>
        <w:t xml:space="preserve">Keep introductions impersonal: </w:t>
      </w:r>
      <w:r>
        <w:rPr>
          <w:rFonts w:ascii="Arial" w:cs="Arial" w:eastAsia="Arial" w:hAnsi="Arial"/>
          <w:color w:val="2D2D2D"/>
          <w:sz w:val="19"/>
          <w:szCs w:val="19"/>
        </w:rPr>
        <w:t xml:space="preserve">write heading introductions to state what the section sets out or specifies, not what it guides or shows the reader.</w:t>
      </w:r>
    </w:p>
    <w:p>
      <w:pPr>
        <w:spacing w:after="40" w:before="120"/>
      </w:pPr>
      <w:r>
        <w:rPr>
          <w:rFonts w:ascii="Arial" w:cs="Arial" w:eastAsia="Arial" w:hAnsi="Arial"/>
          <w:color w:val="2D2D2D"/>
          <w:sz w:val="19"/>
          <w:szCs w:val="19"/>
        </w:rPr>
        <w:t xml:space="preserve">The example below shows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w="9360" w:type="dxa"/>
            <w:tcBorders>
              <w:top w:val="single" w:color="CCCCCC" w:sz="1"/>
              <w:left w:val="single" w:color="CCCCCC" w:sz="1"/>
              <w:bottom w:val="single" w:color="CCCCCC" w:sz="1"/>
              <w:right w:val="single" w:color="CCCCCC" w:sz="1"/>
            </w:tcBorders>
            <w:shd w:val="clear" w:color="auto" w:fill="FCE4E4"/>
            <w:tcMar>
              <w:top w:w="60" w:type="dxa"/>
              <w:left w:w="120" w:type="dxa"/>
              <w:bottom w:w="60" w:type="dxa"/>
              <w:right w:w="120" w:type="dxa"/>
            </w:tcMar>
          </w:tcPr>
          <w:p>
            <w:pPr>
              <w:spacing w:after="20" w:before="20"/>
            </w:pPr>
            <w:r>
              <w:rPr>
                <w:rFonts w:ascii="Arial" w:cs="Arial" w:eastAsia="Arial" w:hAnsi="Arial"/>
                <w:b/>
                <w:bCs/>
                <w:color w:val="B00000"/>
                <w:sz w:val="16"/>
                <w:szCs w:val="16"/>
              </w:rPr>
              <w:t xml:space="preserve">Avoid: </w:t>
            </w:r>
            <w:r>
              <w:rPr>
                <w:rFonts w:ascii="Arial" w:cs="Arial" w:eastAsia="Arial" w:hAnsi="Arial"/>
                <w:color w:val="2D2D2D"/>
                <w:sz w:val="16"/>
                <w:szCs w:val="16"/>
              </w:rPr>
              <w:t xml:space="preserve">This section guides the reader on which risk assessment tool to use in each scenario and removes uncertainty where the choice is not obvious.</w:t>
            </w:r>
          </w:p>
        </w:tc>
      </w:tr>
      <w:tr>
        <w:tc>
          <w:tcPr>
            <w:tcW w:w="9360" w:type="dxa"/>
            <w:tcBorders>
              <w:top w:val="single" w:color="CCCCCC" w:sz="1"/>
              <w:left w:val="single" w:color="CCCCCC" w:sz="1"/>
              <w:bottom w:val="single" w:color="CCCCCC" w:sz="1"/>
              <w:right w:val="single" w:color="CCCCCC" w:sz="1"/>
            </w:tcBorders>
            <w:shd w:val="clear" w:color="auto" w:fill="E2EFDA"/>
            <w:tcMar>
              <w:top w:w="60" w:type="dxa"/>
              <w:left w:w="120" w:type="dxa"/>
              <w:bottom w:w="60" w:type="dxa"/>
              <w:right w:w="120" w:type="dxa"/>
            </w:tcMar>
          </w:tcPr>
          <w:p>
            <w:pPr>
              <w:spacing w:after="20" w:before="20"/>
            </w:pPr>
            <w:r>
              <w:rPr>
                <w:rFonts w:ascii="Arial" w:cs="Arial" w:eastAsia="Arial" w:hAnsi="Arial"/>
                <w:b/>
                <w:bCs/>
                <w:color w:val="375623"/>
                <w:sz w:val="16"/>
                <w:szCs w:val="16"/>
              </w:rPr>
              <w:t xml:space="preserve">Use: </w:t>
            </w:r>
            <w:r>
              <w:rPr>
                <w:rFonts w:ascii="Arial" w:cs="Arial" w:eastAsia="Arial" w:hAnsi="Arial"/>
                <w:color w:val="2D2D2D"/>
                <w:sz w:val="16"/>
                <w:szCs w:val="16"/>
              </w:rPr>
              <w:t xml:space="preserve">This section specifies which risk assessment tool shall be used in each scenario.</w:t>
            </w:r>
          </w:p>
        </w:tc>
      </w:tr>
    </w:tbl>
    <w:p>
      <w:pPr>
        <w:pStyle w:val="Heading2"/>
        <w:spacing w:after="60" w:before="240"/>
      </w:pPr>
      <w:r>
        <w:rPr>
          <w:rFonts w:ascii="Arial" w:cs="Arial" w:eastAsia="Arial" w:hAnsi="Arial"/>
          <w:b/>
          <w:bCs/>
          <w:color w:val="2E75B6"/>
          <w:sz w:val="22"/>
          <w:szCs w:val="22"/>
        </w:rPr>
        <w:t xml:space="preserve">Integrating Project-Specific Content</w:t>
      </w:r>
    </w:p>
    <w:p>
      <w:pPr>
        <w:spacing w:after="40" w:before="40"/>
      </w:pPr>
      <w:r>
        <w:rPr>
          <w:rFonts w:ascii="Arial" w:cs="Arial" w:eastAsia="Arial" w:hAnsi="Arial"/>
          <w:color w:val="2D2D2D"/>
          <w:sz w:val="19"/>
          <w:szCs w:val="19"/>
        </w:rPr>
        <w:t xml:space="preserve">Project-specific content is written so the finished document reads as though it was always written for that project. Placeholders are positioned inside the sentence structure, not appended as a separate statement that announces a value is being inserted.</w:t>
      </w:r>
    </w:p>
    <w:p>
      <w:pPr>
        <w:spacing w:after="40" w:before="120"/>
      </w:pPr>
      <w:r>
        <w:rPr>
          <w:rFonts w:ascii="Arial" w:cs="Arial" w:eastAsia="Arial" w:hAnsi="Arial"/>
          <w:color w:val="2D2D2D"/>
          <w:sz w:val="19"/>
          <w:szCs w:val="19"/>
        </w:rPr>
        <w:t xml:space="preserve">Apply the following so project content reads as native to the document:</w:t>
      </w:r>
    </w:p>
    <w:p>
      <w:pPr>
        <w:pStyle w:val="ListParagraph"/>
        <w:numPr>
          <w:ilvl w:val="0"/>
          <w:numId w:val="2"/>
        </w:numPr>
        <w:spacing w:after="40" w:before="40"/>
      </w:pPr>
      <w:r>
        <w:rPr>
          <w:rFonts w:ascii="Arial" w:cs="Arial" w:eastAsia="Arial" w:hAnsi="Arial"/>
          <w:b/>
          <w:bCs/>
          <w:color w:val="1F3864"/>
          <w:sz w:val="19"/>
          <w:szCs w:val="19"/>
        </w:rPr>
        <w:t xml:space="preserve">Embed placeholders in sentences: </w:t>
      </w:r>
      <w:r>
        <w:rPr>
          <w:rFonts w:ascii="Arial" w:cs="Arial" w:eastAsia="Arial" w:hAnsi="Arial"/>
          <w:color w:val="2D2D2D"/>
          <w:sz w:val="19"/>
          <w:szCs w:val="19"/>
        </w:rPr>
        <w:t xml:space="preserve">place the blue placeholder inside a sentence that already carries the surrounding context, so the completed sentence reads as ordinary prose.</w:t>
      </w:r>
    </w:p>
    <w:p>
      <w:pPr>
        <w:pStyle w:val="ListParagraph"/>
        <w:numPr>
          <w:ilvl w:val="0"/>
          <w:numId w:val="2"/>
        </w:numPr>
        <w:spacing w:after="40" w:before="40"/>
      </w:pPr>
      <w:r>
        <w:rPr>
          <w:rFonts w:ascii="Arial" w:cs="Arial" w:eastAsia="Arial" w:hAnsi="Arial"/>
          <w:b/>
          <w:bCs/>
          <w:color w:val="1F3864"/>
          <w:sz w:val="19"/>
          <w:szCs w:val="19"/>
        </w:rPr>
        <w:t xml:space="preserve">Do not announce the insertion: </w:t>
      </w:r>
      <w:r>
        <w:rPr>
          <w:rFonts w:ascii="Arial" w:cs="Arial" w:eastAsia="Arial" w:hAnsi="Arial"/>
          <w:color w:val="2D2D2D"/>
          <w:sz w:val="19"/>
          <w:szCs w:val="19"/>
        </w:rPr>
        <w:t xml:space="preserve">never use lead-in phrasing such as “The project-specific purpose statement is as follows:” followed by a placeholder. That structure exposes the template and reads as a form being filled in.</w:t>
      </w:r>
    </w:p>
    <w:p>
      <w:pPr>
        <w:pStyle w:val="ListParagraph"/>
        <w:numPr>
          <w:ilvl w:val="0"/>
          <w:numId w:val="2"/>
        </w:numPr>
        <w:spacing w:after="40" w:before="40"/>
      </w:pPr>
      <w:r>
        <w:rPr>
          <w:rFonts w:ascii="Arial" w:cs="Arial" w:eastAsia="Arial" w:hAnsi="Arial"/>
          <w:b/>
          <w:bCs/>
          <w:color w:val="1F3864"/>
          <w:sz w:val="19"/>
          <w:szCs w:val="19"/>
        </w:rPr>
        <w:t xml:space="preserve">Write the fixed content to hold the placeholder: </w:t>
      </w:r>
      <w:r>
        <w:rPr>
          <w:rFonts w:ascii="Arial" w:cs="Arial" w:eastAsia="Arial" w:hAnsi="Arial"/>
          <w:color w:val="2D2D2D"/>
          <w:sz w:val="19"/>
          <w:szCs w:val="19"/>
        </w:rPr>
        <w:t xml:space="preserve">construct the standard sentence so the project detail completes it. The reader cannot tell which words were fixed and which were added for the project.</w:t>
      </w:r>
    </w:p>
    <w:p>
      <w:pPr>
        <w:pStyle w:val="ListParagraph"/>
        <w:numPr>
          <w:ilvl w:val="0"/>
          <w:numId w:val="2"/>
        </w:numPr>
        <w:spacing w:after="40" w:before="40"/>
      </w:pPr>
      <w:r>
        <w:rPr>
          <w:rFonts w:ascii="Arial" w:cs="Arial" w:eastAsia="Arial" w:hAnsi="Arial"/>
          <w:b/>
          <w:bCs/>
          <w:color w:val="1F3864"/>
          <w:sz w:val="19"/>
          <w:szCs w:val="19"/>
        </w:rPr>
        <w:t xml:space="preserve">Match the surrounding tone: </w:t>
      </w:r>
      <w:r>
        <w:rPr>
          <w:rFonts w:ascii="Arial" w:cs="Arial" w:eastAsia="Arial" w:hAnsi="Arial"/>
          <w:color w:val="2D2D2D"/>
          <w:sz w:val="19"/>
          <w:szCs w:val="19"/>
        </w:rPr>
        <w:t xml:space="preserve">the placeholder instruction tells the author to write in the same technical and neutral style as the rest of the section, so the inserted content does not shift register.</w:t>
      </w:r>
    </w:p>
    <w:p>
      <w:pPr>
        <w:spacing w:after="40" w:before="120"/>
      </w:pPr>
      <w:r>
        <w:rPr>
          <w:rFonts w:ascii="Arial" w:cs="Arial" w:eastAsia="Arial" w:hAnsi="Arial"/>
          <w:color w:val="2D2D2D"/>
          <w:sz w:val="19"/>
          <w:szCs w:val="19"/>
        </w:rPr>
        <w:t xml:space="preserve">The example below shows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w="9360" w:type="dxa"/>
            <w:tcBorders>
              <w:top w:val="single" w:color="CCCCCC" w:sz="1"/>
              <w:left w:val="single" w:color="CCCCCC" w:sz="1"/>
              <w:bottom w:val="single" w:color="CCCCCC" w:sz="1"/>
              <w:right w:val="single" w:color="CCCCCC" w:sz="1"/>
            </w:tcBorders>
            <w:shd w:val="clear" w:color="auto" w:fill="FCE4E4"/>
            <w:tcMar>
              <w:top w:w="60" w:type="dxa"/>
              <w:left w:w="120" w:type="dxa"/>
              <w:bottom w:w="60" w:type="dxa"/>
              <w:right w:w="120" w:type="dxa"/>
            </w:tcMar>
          </w:tcPr>
          <w:p>
            <w:pPr>
              <w:spacing w:after="20" w:before="20"/>
            </w:pPr>
            <w:r>
              <w:rPr>
                <w:rFonts w:ascii="Arial" w:cs="Arial" w:eastAsia="Arial" w:hAnsi="Arial"/>
                <w:b/>
                <w:bCs/>
                <w:color w:val="B00000"/>
                <w:sz w:val="16"/>
                <w:szCs w:val="16"/>
              </w:rPr>
              <w:t xml:space="preserve">Avoid: </w:t>
            </w:r>
            <w:r>
              <w:rPr>
                <w:rFonts w:ascii="Arial" w:cs="Arial" w:eastAsia="Arial" w:hAnsi="Arial"/>
                <w:color w:val="2D2D2D"/>
                <w:sz w:val="16"/>
                <w:szCs w:val="16"/>
              </w:rPr>
              <w:t xml:space="preserve">The project-specific purpose statement is as follows: [INSERT: how this procedure supports the specific project objectives and risk profile].</w:t>
            </w:r>
          </w:p>
        </w:tc>
      </w:tr>
      <w:tr>
        <w:tc>
          <w:tcPr>
            <w:tcW w:w="9360" w:type="dxa"/>
            <w:tcBorders>
              <w:top w:val="single" w:color="CCCCCC" w:sz="1"/>
              <w:left w:val="single" w:color="CCCCCC" w:sz="1"/>
              <w:bottom w:val="single" w:color="CCCCCC" w:sz="1"/>
              <w:right w:val="single" w:color="CCCCCC" w:sz="1"/>
            </w:tcBorders>
            <w:shd w:val="clear" w:color="auto" w:fill="E2EFDA"/>
            <w:tcMar>
              <w:top w:w="60" w:type="dxa"/>
              <w:left w:w="120" w:type="dxa"/>
              <w:bottom w:w="60" w:type="dxa"/>
              <w:right w:w="120" w:type="dxa"/>
            </w:tcMar>
          </w:tcPr>
          <w:p>
            <w:pPr>
              <w:spacing w:after="20" w:before="20"/>
            </w:pPr>
            <w:r>
              <w:rPr>
                <w:rFonts w:ascii="Arial" w:cs="Arial" w:eastAsia="Arial" w:hAnsi="Arial"/>
                <w:b/>
                <w:bCs/>
                <w:color w:val="375623"/>
                <w:sz w:val="16"/>
                <w:szCs w:val="16"/>
              </w:rPr>
              <w:t xml:space="preserve">Use: </w:t>
            </w:r>
            <w:r>
              <w:rPr>
                <w:rFonts w:ascii="Arial" w:cs="Arial" w:eastAsia="Arial" w:hAnsi="Arial"/>
                <w:color w:val="2D2D2D"/>
                <w:sz w:val="16"/>
                <w:szCs w:val="16"/>
              </w:rPr>
              <w:t xml:space="preserve">This procedure supports [INSERT: project name] by managing the risks associated with [INSERT: principal project activities], including [INSERT: the dominant risk exposures for this project].</w:t>
            </w:r>
          </w:p>
        </w:tc>
      </w:tr>
    </w:tbl>
    <w:p>
      <w:pPr>
        <w:pStyle w:val="Heading2"/>
        <w:spacing w:after="60" w:before="240"/>
      </w:pPr>
      <w:r>
        <w:rPr>
          <w:rFonts w:ascii="Arial" w:cs="Arial" w:eastAsia="Arial" w:hAnsi="Arial"/>
          <w:b/>
          <w:bCs/>
          <w:color w:val="2E75B6"/>
          <w:sz w:val="22"/>
          <w:szCs w:val="22"/>
        </w:rPr>
        <w:t xml:space="preserve">Lifecycle Phase and Execution-Facing Content</w:t>
      </w:r>
    </w:p>
    <w:p>
      <w:pPr>
        <w:spacing w:after="40" w:before="40"/>
      </w:pPr>
      <w:r>
        <w:rPr>
          <w:rFonts w:ascii="Arial" w:cs="Arial" w:eastAsia="Arial" w:hAnsi="Arial"/>
          <w:color w:val="2D2D2D"/>
          <w:sz w:val="19"/>
          <w:szCs w:val="19"/>
        </w:rPr>
        <w:t xml:space="preserve">These procedures take effect during the Execution phase. Project personnel develop them during pre-feasibility and the studies phases, then finalise them for use when the project enters Execution.</w:t>
      </w:r>
    </w:p>
    <w:p>
      <w:pPr>
        <w:spacing w:after="40" w:before="120"/>
      </w:pPr>
      <w:r>
        <w:rPr>
          <w:rFonts w:ascii="Arial" w:cs="Arial" w:eastAsia="Arial" w:hAnsi="Arial"/>
          <w:color w:val="2D2D2D"/>
          <w:sz w:val="19"/>
          <w:szCs w:val="19"/>
        </w:rPr>
        <w:t xml:space="preserve">Apply the following so the content is written for the Execution phase:</w:t>
      </w:r>
    </w:p>
    <w:p>
      <w:pPr>
        <w:pStyle w:val="ListParagraph"/>
        <w:numPr>
          <w:ilvl w:val="0"/>
          <w:numId w:val="2"/>
        </w:numPr>
        <w:spacing w:after="40" w:before="40"/>
      </w:pPr>
      <w:r>
        <w:rPr>
          <w:rFonts w:ascii="Arial" w:cs="Arial" w:eastAsia="Arial" w:hAnsi="Arial"/>
          <w:b/>
          <w:bCs/>
          <w:color w:val="1F3864"/>
          <w:sz w:val="19"/>
          <w:szCs w:val="19"/>
        </w:rPr>
        <w:t xml:space="preserve">Reserve lifecycle context for Section 0: </w:t>
      </w:r>
      <w:r>
        <w:rPr>
          <w:rFonts w:ascii="Arial" w:cs="Arial" w:eastAsia="Arial" w:hAnsi="Arial"/>
          <w:color w:val="2D2D2D"/>
          <w:sz w:val="19"/>
          <w:szCs w:val="19"/>
        </w:rPr>
        <w:t xml:space="preserve">state in the How to Use This Document section that the procedure is developed during studies and takes effect in Execution. Do not repeat this framing in the body sections.</w:t>
      </w:r>
    </w:p>
    <w:p>
      <w:pPr>
        <w:pStyle w:val="ListParagraph"/>
        <w:numPr>
          <w:ilvl w:val="0"/>
          <w:numId w:val="2"/>
        </w:numPr>
        <w:spacing w:after="40" w:before="40"/>
      </w:pPr>
      <w:r>
        <w:rPr>
          <w:rFonts w:ascii="Arial" w:cs="Arial" w:eastAsia="Arial" w:hAnsi="Arial"/>
          <w:b/>
          <w:bCs/>
          <w:color w:val="1F3864"/>
          <w:sz w:val="19"/>
          <w:szCs w:val="19"/>
        </w:rPr>
        <w:t xml:space="preserve">Write Section 1 onwards as execution-facing: </w:t>
      </w:r>
      <w:r>
        <w:rPr>
          <w:rFonts w:ascii="Arial" w:cs="Arial" w:eastAsia="Arial" w:hAnsi="Arial"/>
          <w:color w:val="2D2D2D"/>
          <w:sz w:val="19"/>
          <w:szCs w:val="19"/>
        </w:rPr>
        <w:t xml:space="preserve">from the first body section, write all content in the present tense as the way work is managed during Execution. The reader is an Execution-phase user.</w:t>
      </w:r>
    </w:p>
    <w:p>
      <w:pPr>
        <w:pStyle w:val="ListParagraph"/>
        <w:numPr>
          <w:ilvl w:val="0"/>
          <w:numId w:val="2"/>
        </w:numPr>
        <w:spacing w:after="40" w:before="40"/>
      </w:pPr>
      <w:r>
        <w:rPr>
          <w:rFonts w:ascii="Arial" w:cs="Arial" w:eastAsia="Arial" w:hAnsi="Arial"/>
          <w:b/>
          <w:bCs/>
          <w:color w:val="1F3864"/>
          <w:sz w:val="19"/>
          <w:szCs w:val="19"/>
        </w:rPr>
        <w:t xml:space="preserve">Reference studies activities only when relevant: </w:t>
      </w:r>
      <w:r>
        <w:rPr>
          <w:rFonts w:ascii="Arial" w:cs="Arial" w:eastAsia="Arial" w:hAnsi="Arial"/>
          <w:color w:val="2D2D2D"/>
          <w:sz w:val="19"/>
          <w:szCs w:val="19"/>
        </w:rPr>
        <w:t xml:space="preserve">mention pre-execution activities only where they carry a live obligation into Execution, such as a study output that requires review under a defined trigger.</w:t>
      </w:r>
    </w:p>
    <w:p>
      <w:pPr>
        <w:pStyle w:val="ListParagraph"/>
        <w:numPr>
          <w:ilvl w:val="0"/>
          <w:numId w:val="2"/>
        </w:numPr>
        <w:spacing w:after="40" w:before="40"/>
      </w:pPr>
      <w:r>
        <w:rPr>
          <w:rFonts w:ascii="Arial" w:cs="Arial" w:eastAsia="Arial" w:hAnsi="Arial"/>
          <w:b/>
          <w:bCs/>
          <w:color w:val="1F3864"/>
          <w:sz w:val="19"/>
          <w:szCs w:val="19"/>
        </w:rPr>
        <w:t xml:space="preserve">Frame studies references by their execution relevance: </w:t>
      </w:r>
      <w:r>
        <w:rPr>
          <w:rFonts w:ascii="Arial" w:cs="Arial" w:eastAsia="Arial" w:hAnsi="Arial"/>
          <w:color w:val="2D2D2D"/>
          <w:sz w:val="19"/>
          <w:szCs w:val="19"/>
        </w:rPr>
        <w:t xml:space="preserve">when a studies activity is referenced, state why it matters during Execution, for example a pre-execution risk assessment that is reviewed when its trigger conditions change.</w:t>
      </w:r>
    </w:p>
    <w:p>
      <w:pPr>
        <w:spacing w:after="40" w:before="120"/>
      </w:pPr>
      <w:r>
        <w:rPr>
          <w:rFonts w:ascii="Arial" w:cs="Arial" w:eastAsia="Arial" w:hAnsi="Arial"/>
          <w:color w:val="2D2D2D"/>
          <w:sz w:val="19"/>
          <w:szCs w:val="19"/>
        </w:rPr>
        <w:t xml:space="preserve">The example below shows an appropriate reference to a studies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w="9360" w:type="dxa"/>
            <w:tcBorders>
              <w:top w:val="single" w:color="CCCCCC" w:sz="1"/>
              <w:left w:val="single" w:color="CCCCCC" w:sz="1"/>
              <w:bottom w:val="single" w:color="CCCCCC" w:sz="1"/>
              <w:right w:val="single" w:color="CCCCCC" w:sz="1"/>
            </w:tcBorders>
            <w:shd w:val="clear" w:color="auto" w:fill="FCE4E4"/>
            <w:tcMar>
              <w:top w:w="60" w:type="dxa"/>
              <w:left w:w="120" w:type="dxa"/>
              <w:bottom w:w="60" w:type="dxa"/>
              <w:right w:w="120" w:type="dxa"/>
            </w:tcMar>
          </w:tcPr>
          <w:p>
            <w:pPr>
              <w:spacing w:after="20" w:before="20"/>
            </w:pPr>
            <w:r>
              <w:rPr>
                <w:rFonts w:ascii="Arial" w:cs="Arial" w:eastAsia="Arial" w:hAnsi="Arial"/>
                <w:b/>
                <w:bCs/>
                <w:color w:val="B00000"/>
                <w:sz w:val="16"/>
                <w:szCs w:val="16"/>
              </w:rPr>
              <w:t xml:space="preserve">Avoid: </w:t>
            </w:r>
            <w:r>
              <w:rPr>
                <w:rFonts w:ascii="Arial" w:cs="Arial" w:eastAsia="Arial" w:hAnsi="Arial"/>
                <w:color w:val="2D2D2D"/>
                <w:sz w:val="16"/>
                <w:szCs w:val="16"/>
              </w:rPr>
              <w:t xml:space="preserve">During pre-feasibility the project will conduct a HAZID workshop to identify project hazards.</w:t>
            </w:r>
          </w:p>
        </w:tc>
      </w:tr>
      <w:tr>
        <w:tc>
          <w:tcPr>
            <w:tcW w:w="9360" w:type="dxa"/>
            <w:tcBorders>
              <w:top w:val="single" w:color="CCCCCC" w:sz="1"/>
              <w:left w:val="single" w:color="CCCCCC" w:sz="1"/>
              <w:bottom w:val="single" w:color="CCCCCC" w:sz="1"/>
              <w:right w:val="single" w:color="CCCCCC" w:sz="1"/>
            </w:tcBorders>
            <w:shd w:val="clear" w:color="auto" w:fill="E2EFDA"/>
            <w:tcMar>
              <w:top w:w="60" w:type="dxa"/>
              <w:left w:w="120" w:type="dxa"/>
              <w:bottom w:w="60" w:type="dxa"/>
              <w:right w:w="120" w:type="dxa"/>
            </w:tcMar>
          </w:tcPr>
          <w:p>
            <w:pPr>
              <w:spacing w:after="20" w:before="20"/>
            </w:pPr>
            <w:r>
              <w:rPr>
                <w:rFonts w:ascii="Arial" w:cs="Arial" w:eastAsia="Arial" w:hAnsi="Arial"/>
                <w:b/>
                <w:bCs/>
                <w:color w:val="375623"/>
                <w:sz w:val="16"/>
                <w:szCs w:val="16"/>
              </w:rPr>
              <w:t xml:space="preserve">Use: </w:t>
            </w:r>
            <w:r>
              <w:rPr>
                <w:rFonts w:ascii="Arial" w:cs="Arial" w:eastAsia="Arial" w:hAnsi="Arial"/>
                <w:color w:val="2D2D2D"/>
                <w:sz w:val="16"/>
                <w:szCs w:val="16"/>
              </w:rPr>
              <w:t xml:space="preserve">Risk assessments completed before Execution are recorded in the risk register and reviewed when [INSERT: defined trigger, for example a design change or scope change] occurs.</w:t>
            </w:r>
          </w:p>
        </w:tc>
      </w:tr>
    </w:tbl>
    <w:p>
      <w:pPr>
        <w:pStyle w:val="Heading2"/>
        <w:spacing w:after="60" w:before="240"/>
      </w:pPr>
      <w:r>
        <w:rPr>
          <w:rFonts w:ascii="Arial" w:cs="Arial" w:eastAsia="Arial" w:hAnsi="Arial"/>
          <w:b/>
          <w:bCs/>
          <w:color w:val="2E75B6"/>
          <w:sz w:val="22"/>
          <w:szCs w:val="22"/>
        </w:rPr>
        <w:t xml:space="preserve">Selecting the Content Type</w:t>
      </w:r>
    </w:p>
    <w:p>
      <w:pPr>
        <w:spacing w:after="40" w:before="40"/>
      </w:pPr>
      <w:r>
        <w:rPr>
          <w:rFonts w:ascii="Arial" w:cs="Arial" w:eastAsia="Arial" w:hAnsi="Arial"/>
          <w:color w:val="2D2D2D"/>
          <w:sz w:val="19"/>
          <w:szCs w:val="19"/>
        </w:rPr>
        <w:t xml:space="preserve">Each sentence in a document is written in one of four content types. The author selects the type by deciding whether the detail is a defined standard, a best-practice suggestion, or something only the project can set.</w:t>
      </w:r>
    </w:p>
    <w:p>
      <w:pPr>
        <w:spacing w:after="40" w:before="120"/>
      </w:pPr>
      <w:r>
        <w:rPr>
          <w:rFonts w:ascii="Arial" w:cs="Arial" w:eastAsia="Arial" w:hAnsi="Arial"/>
          <w:color w:val="2D2D2D"/>
          <w:sz w:val="19"/>
          <w:szCs w:val="19"/>
        </w:rPr>
        <w:t xml:space="preserve">Select the content type using the following rules:</w:t>
      </w:r>
    </w:p>
    <w:p>
      <w:pPr>
        <w:pStyle w:val="ListParagraph"/>
        <w:numPr>
          <w:ilvl w:val="0"/>
          <w:numId w:val="2"/>
        </w:numPr>
        <w:spacing w:after="40" w:before="40"/>
      </w:pPr>
      <w:r>
        <w:rPr>
          <w:rFonts w:ascii="Arial" w:cs="Arial" w:eastAsia="Arial" w:hAnsi="Arial"/>
          <w:b/>
          <w:bCs/>
          <w:color w:val="1F3864"/>
          <w:sz w:val="19"/>
          <w:szCs w:val="19"/>
        </w:rPr>
        <w:t xml:space="preserve">Black standard content: </w:t>
      </w:r>
      <w:r>
        <w:rPr>
          <w:rFonts w:ascii="Arial" w:cs="Arial" w:eastAsia="Arial" w:hAnsi="Arial"/>
          <w:color w:val="2D2D2D"/>
          <w:sz w:val="19"/>
          <w:szCs w:val="19"/>
        </w:rPr>
        <w:t xml:space="preserve">use for any detail that is a defined RT standard or comes from a framework named in this playbook. Always include the technical detail for anything that relates to those documents and frameworks.</w:t>
      </w:r>
    </w:p>
    <w:p>
      <w:pPr>
        <w:pStyle w:val="ListParagraph"/>
        <w:numPr>
          <w:ilvl w:val="0"/>
          <w:numId w:val="2"/>
        </w:numPr>
        <w:spacing w:after="40" w:before="40"/>
      </w:pPr>
      <w:r>
        <w:rPr>
          <w:rFonts w:ascii="Arial" w:cs="Arial" w:eastAsia="Arial" w:hAnsi="Arial"/>
          <w:b/>
          <w:bCs/>
          <w:color w:val="1F3864"/>
          <w:sz w:val="19"/>
          <w:szCs w:val="19"/>
        </w:rPr>
        <w:t xml:space="preserve">Dark orange suggested content: </w:t>
      </w:r>
      <w:r>
        <w:rPr>
          <w:rFonts w:ascii="Arial" w:cs="Arial" w:eastAsia="Arial" w:hAnsi="Arial"/>
          <w:color w:val="2D2D2D"/>
          <w:sz w:val="19"/>
          <w:szCs w:val="19"/>
        </w:rPr>
        <w:t xml:space="preserve">use for objective best-practice operational detail that is not a defined standard. The project may keep it and convert it to black text, or edit it. Write it in non-bold dark orange, colour code C55A11.</w:t>
      </w:r>
    </w:p>
    <w:p>
      <w:pPr>
        <w:pStyle w:val="ListParagraph"/>
        <w:numPr>
          <w:ilvl w:val="0"/>
          <w:numId w:val="2"/>
        </w:numPr>
        <w:spacing w:after="40" w:before="40"/>
      </w:pPr>
      <w:r>
        <w:rPr>
          <w:rFonts w:ascii="Arial" w:cs="Arial" w:eastAsia="Arial" w:hAnsi="Arial"/>
          <w:b/>
          <w:bCs/>
          <w:color w:val="1F3864"/>
          <w:sz w:val="19"/>
          <w:szCs w:val="19"/>
        </w:rPr>
        <w:t xml:space="preserve">Blue project-defined content: </w:t>
      </w:r>
      <w:r>
        <w:rPr>
          <w:rFonts w:ascii="Arial" w:cs="Arial" w:eastAsia="Arial" w:hAnsi="Arial"/>
          <w:color w:val="2D2D2D"/>
          <w:sz w:val="19"/>
          <w:szCs w:val="19"/>
        </w:rPr>
        <w:t xml:space="preserve">use only for the limited detail the project must set, namely who is responsible, the timeframes that apply, and the exact process flow for a defined activity. Write it in bold blue, colour code #0059D1.</w:t>
      </w:r>
    </w:p>
    <w:p>
      <w:pPr>
        <w:pStyle w:val="ListParagraph"/>
        <w:numPr>
          <w:ilvl w:val="0"/>
          <w:numId w:val="2"/>
        </w:numPr>
        <w:spacing w:after="40" w:before="40"/>
      </w:pPr>
      <w:r>
        <w:rPr>
          <w:rFonts w:ascii="Arial" w:cs="Arial" w:eastAsia="Arial" w:hAnsi="Arial"/>
          <w:b/>
          <w:bCs/>
          <w:color w:val="1F3864"/>
          <w:sz w:val="19"/>
          <w:szCs w:val="19"/>
        </w:rPr>
        <w:t xml:space="preserve">Default to pre-filling: </w:t>
      </w:r>
      <w:r>
        <w:rPr>
          <w:rFonts w:ascii="Arial" w:cs="Arial" w:eastAsia="Arial" w:hAnsi="Arial"/>
          <w:color w:val="2D2D2D"/>
          <w:sz w:val="19"/>
          <w:szCs w:val="19"/>
        </w:rPr>
        <w:t xml:space="preserve">where a section would otherwise prompt the project to write detail, pre-fill it as black or dark orange content. Reserve blue placeholders for responsibilities, timeframes and process flows.</w:t>
      </w:r>
    </w:p>
    <w:p>
      <w:pPr>
        <w:spacing w:after="40" w:before="120"/>
      </w:pPr>
      <w:r>
        <w:rPr>
          <w:rFonts w:ascii="Arial" w:cs="Arial" w:eastAsia="Arial" w:hAnsi="Arial"/>
          <w:color w:val="2D2D2D"/>
          <w:sz w:val="19"/>
          <w:szCs w:val="19"/>
        </w:rPr>
        <w:t xml:space="preserve">The example below shows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w="9360" w:type="dxa"/>
            <w:tcBorders>
              <w:top w:val="single" w:color="CCCCCC" w:sz="1"/>
              <w:left w:val="single" w:color="CCCCCC" w:sz="1"/>
              <w:bottom w:val="single" w:color="CCCCCC" w:sz="1"/>
              <w:right w:val="single" w:color="CCCCCC" w:sz="1"/>
            </w:tcBorders>
            <w:shd w:val="clear" w:color="auto" w:fill="FCE4E4"/>
            <w:tcMar>
              <w:top w:w="60" w:type="dxa"/>
              <w:left w:w="120" w:type="dxa"/>
              <w:bottom w:w="60" w:type="dxa"/>
              <w:right w:w="120" w:type="dxa"/>
            </w:tcMar>
          </w:tcPr>
          <w:p>
            <w:pPr>
              <w:spacing w:after="20" w:before="20"/>
            </w:pPr>
            <w:r>
              <w:rPr>
                <w:rFonts w:ascii="Arial" w:cs="Arial" w:eastAsia="Arial" w:hAnsi="Arial"/>
                <w:b/>
                <w:bCs/>
                <w:color w:val="B00000"/>
                <w:sz w:val="16"/>
                <w:szCs w:val="16"/>
              </w:rPr>
              <w:t xml:space="preserve">Avoid: </w:t>
            </w:r>
            <w:r>
              <w:rPr>
                <w:rFonts w:ascii="Arial" w:cs="Arial" w:eastAsia="Arial" w:hAnsi="Arial"/>
                <w:color w:val="2D2D2D"/>
                <w:sz w:val="16"/>
                <w:szCs w:val="16"/>
              </w:rPr>
              <w:t xml:space="preserve">[INSERT: the process for reviewing the risk register].</w:t>
            </w:r>
          </w:p>
        </w:tc>
      </w:tr>
      <w:tr>
        <w:tc>
          <w:tcPr>
            <w:tcW w:w="9360" w:type="dxa"/>
            <w:tcBorders>
              <w:top w:val="single" w:color="CCCCCC" w:sz="1"/>
              <w:left w:val="single" w:color="CCCCCC" w:sz="1"/>
              <w:bottom w:val="single" w:color="CCCCCC" w:sz="1"/>
              <w:right w:val="single" w:color="CCCCCC" w:sz="1"/>
            </w:tcBorders>
            <w:shd w:val="clear" w:color="auto" w:fill="E2EFDA"/>
            <w:tcMar>
              <w:top w:w="60" w:type="dxa"/>
              <w:left w:w="120" w:type="dxa"/>
              <w:bottom w:w="60" w:type="dxa"/>
              <w:right w:w="120" w:type="dxa"/>
            </w:tcMar>
          </w:tcPr>
          <w:p>
            <w:pPr>
              <w:spacing w:after="20" w:before="20"/>
            </w:pPr>
            <w:r>
              <w:rPr>
                <w:rFonts w:ascii="Arial" w:cs="Arial" w:eastAsia="Arial" w:hAnsi="Arial"/>
                <w:b/>
                <w:bCs/>
                <w:color w:val="375623"/>
                <w:sz w:val="16"/>
                <w:szCs w:val="16"/>
              </w:rPr>
              <w:t xml:space="preserve">Use: </w:t>
            </w:r>
            <w:r>
              <w:rPr>
                <w:rFonts w:ascii="Arial" w:cs="Arial" w:eastAsia="Arial" w:hAnsi="Arial"/>
                <w:color w:val="2D2D2D"/>
                <w:sz w:val="16"/>
                <w:szCs w:val="16"/>
              </w:rPr>
              <w:t xml:space="preserve">The risk register is reviewed at [INSERT: review frequency] by [INSERT: accountable role]. Each review confirms that controls remain effective and that new hazards have been added. (Black or dark orange describes the review; blue captures only the frequency and the role.)</w:t>
            </w:r>
          </w:p>
        </w:tc>
      </w:tr>
    </w:tbl>
    <w:p>
      <w:pPr>
        <w:pStyle w:val="Heading2"/>
        <w:spacing w:after="60" w:before="240"/>
      </w:pPr>
      <w:r>
        <w:rPr>
          <w:rFonts w:ascii="Arial" w:cs="Arial" w:eastAsia="Arial" w:hAnsi="Arial"/>
          <w:b/>
          <w:bCs/>
          <w:color w:val="2E75B6"/>
          <w:sz w:val="22"/>
          <w:szCs w:val="22"/>
        </w:rPr>
        <w:t xml:space="preserve">Pre-Filling the Standing Tables</w:t>
      </w:r>
    </w:p>
    <w:p>
      <w:pPr>
        <w:spacing w:after="40" w:before="40"/>
      </w:pPr>
      <w:r>
        <w:rPr>
          <w:rFonts w:ascii="Arial" w:cs="Arial" w:eastAsia="Arial" w:hAnsi="Arial"/>
          <w:color w:val="2D2D2D"/>
          <w:sz w:val="19"/>
          <w:szCs w:val="19"/>
        </w:rPr>
        <w:t xml:space="preserve">The responsibilities table, the definitions table and the references table are always pre-filled with standard content, so the project starts from a populated table rather than an empty one.</w:t>
      </w:r>
    </w:p>
    <w:p>
      <w:pPr>
        <w:spacing w:after="40" w:before="120"/>
      </w:pPr>
      <w:r>
        <w:rPr>
          <w:rFonts w:ascii="Arial" w:cs="Arial" w:eastAsia="Arial" w:hAnsi="Arial"/>
          <w:color w:val="2D2D2D"/>
          <w:sz w:val="19"/>
          <w:szCs w:val="19"/>
        </w:rPr>
        <w:t xml:space="preserve">Apply the following to each standing table:</w:t>
      </w:r>
    </w:p>
    <w:p>
      <w:pPr>
        <w:pStyle w:val="ListParagraph"/>
        <w:numPr>
          <w:ilvl w:val="0"/>
          <w:numId w:val="2"/>
        </w:numPr>
        <w:spacing w:after="40" w:before="40"/>
      </w:pPr>
      <w:r>
        <w:rPr>
          <w:rFonts w:ascii="Arial" w:cs="Arial" w:eastAsia="Arial" w:hAnsi="Arial"/>
          <w:b/>
          <w:bCs/>
          <w:color w:val="1F3864"/>
          <w:sz w:val="19"/>
          <w:szCs w:val="19"/>
        </w:rPr>
        <w:t xml:space="preserve">Pre-fill standard rows: </w:t>
      </w:r>
      <w:r>
        <w:rPr>
          <w:rFonts w:ascii="Arial" w:cs="Arial" w:eastAsia="Arial" w:hAnsi="Arial"/>
          <w:color w:val="2D2D2D"/>
          <w:sz w:val="19"/>
          <w:szCs w:val="19"/>
        </w:rPr>
        <w:t xml:space="preserve">populate the responsibilities, definitions and references tables with the standard roles, terms and documents that apply to all owner-led projects.</w:t>
      </w:r>
    </w:p>
    <w:p>
      <w:pPr>
        <w:pStyle w:val="ListParagraph"/>
        <w:numPr>
          <w:ilvl w:val="0"/>
          <w:numId w:val="2"/>
        </w:numPr>
        <w:spacing w:after="40" w:before="40"/>
      </w:pPr>
      <w:r>
        <w:rPr>
          <w:rFonts w:ascii="Arial" w:cs="Arial" w:eastAsia="Arial" w:hAnsi="Arial"/>
          <w:b/>
          <w:bCs/>
          <w:color w:val="1F3864"/>
          <w:sz w:val="19"/>
          <w:szCs w:val="19"/>
        </w:rPr>
        <w:t xml:space="preserve">Prompt for additions: </w:t>
      </w:r>
      <w:r>
        <w:rPr>
          <w:rFonts w:ascii="Arial" w:cs="Arial" w:eastAsia="Arial" w:hAnsi="Arial"/>
          <w:color w:val="2D2D2D"/>
          <w:sz w:val="19"/>
          <w:szCs w:val="19"/>
        </w:rPr>
        <w:t xml:space="preserve">add one extra row at the end of each table containing a blue placeholder that prompts the project to add further rows where applicable.</w:t>
      </w:r>
    </w:p>
    <w:p>
      <w:pPr>
        <w:pStyle w:val="ListParagraph"/>
        <w:numPr>
          <w:ilvl w:val="0"/>
          <w:numId w:val="2"/>
        </w:numPr>
        <w:spacing w:after="40" w:before="40"/>
      </w:pPr>
      <w:r>
        <w:rPr>
          <w:rFonts w:ascii="Arial" w:cs="Arial" w:eastAsia="Arial" w:hAnsi="Arial"/>
          <w:b/>
          <w:bCs/>
          <w:color w:val="1F3864"/>
          <w:sz w:val="19"/>
          <w:szCs w:val="19"/>
        </w:rPr>
        <w:t xml:space="preserve">Keep the addition prompt short: </w:t>
      </w:r>
      <w:r>
        <w:rPr>
          <w:rFonts w:ascii="Arial" w:cs="Arial" w:eastAsia="Arial" w:hAnsi="Arial"/>
          <w:color w:val="2D2D2D"/>
          <w:sz w:val="19"/>
          <w:szCs w:val="19"/>
        </w:rPr>
        <w:t xml:space="preserve">the blue placeholder states only that the project may add rows, for example a project-specific role, term or referenced document.</w:t>
      </w:r>
    </w:p>
    <w:p>
      <w:pPr>
        <w:pStyle w:val="Heading2"/>
        <w:spacing w:after="60" w:before="240"/>
      </w:pPr>
      <w:r>
        <w:rPr>
          <w:rFonts w:ascii="Arial" w:cs="Arial" w:eastAsia="Arial" w:hAnsi="Arial"/>
          <w:b/>
          <w:bCs/>
          <w:color w:val="2E75B6"/>
          <w:sz w:val="22"/>
          <w:szCs w:val="22"/>
        </w:rPr>
        <w:t xml:space="preserve">Headings and Introductions</w:t>
      </w:r>
    </w:p>
    <w:p>
      <w:pPr>
        <w:spacing w:after="40" w:before="40"/>
      </w:pPr>
      <w:r>
        <w:rPr>
          <w:rFonts w:ascii="Arial" w:cs="Arial" w:eastAsia="Arial" w:hAnsi="Arial"/>
          <w:color w:val="2D2D2D"/>
          <w:sz w:val="19"/>
          <w:szCs w:val="19"/>
        </w:rPr>
        <w:t xml:space="preserve">Each heading carries a short introduction so the reader understands the purpose of the section before they reach its detail, with the length scaled to the heading level.</w:t>
      </w:r>
    </w:p>
    <w:p>
      <w:pPr>
        <w:spacing w:after="40" w:before="120"/>
      </w:pPr>
      <w:r>
        <w:rPr>
          <w:rFonts w:ascii="Arial" w:cs="Arial" w:eastAsia="Arial" w:hAnsi="Arial"/>
          <w:color w:val="2D2D2D"/>
          <w:sz w:val="19"/>
          <w:szCs w:val="19"/>
        </w:rPr>
        <w:t xml:space="preserve">Apply the following to every heading:</w:t>
      </w:r>
    </w:p>
    <w:p>
      <w:pPr>
        <w:pStyle w:val="ListParagraph"/>
        <w:numPr>
          <w:ilvl w:val="0"/>
          <w:numId w:val="2"/>
        </w:numPr>
        <w:spacing w:after="40" w:before="40"/>
      </w:pPr>
      <w:r>
        <w:rPr>
          <w:rFonts w:ascii="Arial" w:cs="Arial" w:eastAsia="Arial" w:hAnsi="Arial"/>
          <w:b/>
          <w:bCs/>
          <w:color w:val="1F3864"/>
          <w:sz w:val="19"/>
          <w:szCs w:val="19"/>
        </w:rPr>
        <w:t xml:space="preserve">Level 1 heading introduction: </w:t>
      </w:r>
      <w:r>
        <w:rPr>
          <w:rFonts w:ascii="Arial" w:cs="Arial" w:eastAsia="Arial" w:hAnsi="Arial"/>
          <w:color w:val="2D2D2D"/>
          <w:sz w:val="19"/>
          <w:szCs w:val="19"/>
        </w:rPr>
        <w:t xml:space="preserve">every level 1 heading is followed by an introduction of between 25 and 35 words.</w:t>
      </w:r>
    </w:p>
    <w:p>
      <w:pPr>
        <w:pStyle w:val="ListParagraph"/>
        <w:numPr>
          <w:ilvl w:val="0"/>
          <w:numId w:val="2"/>
        </w:numPr>
        <w:spacing w:after="40" w:before="40"/>
      </w:pPr>
      <w:r>
        <w:rPr>
          <w:rFonts w:ascii="Arial" w:cs="Arial" w:eastAsia="Arial" w:hAnsi="Arial"/>
          <w:b/>
          <w:bCs/>
          <w:color w:val="1F3864"/>
          <w:sz w:val="19"/>
          <w:szCs w:val="19"/>
        </w:rPr>
        <w:t xml:space="preserve">Level 2 heading introduction: </w:t>
      </w:r>
      <w:r>
        <w:rPr>
          <w:rFonts w:ascii="Arial" w:cs="Arial" w:eastAsia="Arial" w:hAnsi="Arial"/>
          <w:color w:val="2D2D2D"/>
          <w:sz w:val="19"/>
          <w:szCs w:val="19"/>
        </w:rPr>
        <w:t xml:space="preserve">every level 2 heading is followed by an introduction of between 15 and 25 words.</w:t>
      </w:r>
    </w:p>
    <w:p>
      <w:pPr>
        <w:pStyle w:val="ListParagraph"/>
        <w:numPr>
          <w:ilvl w:val="0"/>
          <w:numId w:val="2"/>
        </w:numPr>
        <w:spacing w:after="40" w:before="40"/>
      </w:pPr>
      <w:r>
        <w:rPr>
          <w:rFonts w:ascii="Arial" w:cs="Arial" w:eastAsia="Arial" w:hAnsi="Arial"/>
          <w:b/>
          <w:bCs/>
          <w:color w:val="1F3864"/>
          <w:sz w:val="19"/>
          <w:szCs w:val="19"/>
        </w:rPr>
        <w:t xml:space="preserve">Introductions are separate from lead-in sentences: </w:t>
      </w:r>
      <w:r>
        <w:rPr>
          <w:rFonts w:ascii="Arial" w:cs="Arial" w:eastAsia="Arial" w:hAnsi="Arial"/>
          <w:color w:val="2D2D2D"/>
          <w:sz w:val="19"/>
          <w:szCs w:val="19"/>
        </w:rPr>
        <w:t xml:space="preserve">the heading introduction is its own paragraph and never doubles as the lead-in sentence for a bullet list.</w:t>
      </w:r>
    </w:p>
    <w:p>
      <w:pPr>
        <w:pStyle w:val="Heading2"/>
        <w:spacing w:after="60" w:before="240"/>
      </w:pPr>
      <w:r>
        <w:rPr>
          <w:rFonts w:ascii="Arial" w:cs="Arial" w:eastAsia="Arial" w:hAnsi="Arial"/>
          <w:b/>
          <w:bCs/>
          <w:color w:val="2E75B6"/>
          <w:sz w:val="22"/>
          <w:szCs w:val="22"/>
        </w:rPr>
        <w:t xml:space="preserve">Bullet Lists and Lead-In Sentences</w:t>
      </w:r>
    </w:p>
    <w:p>
      <w:pPr>
        <w:spacing w:after="40" w:before="40"/>
      </w:pPr>
      <w:r>
        <w:rPr>
          <w:rFonts w:ascii="Arial" w:cs="Arial" w:eastAsia="Arial" w:hAnsi="Arial"/>
          <w:color w:val="2D2D2D"/>
          <w:sz w:val="19"/>
          <w:szCs w:val="19"/>
        </w:rPr>
        <w:t xml:space="preserve">Every bullet list is introduced by its own lead-in sentence so the reader knows what the list contains before they read it, kept separate from the section introduction.</w:t>
      </w:r>
    </w:p>
    <w:p>
      <w:pPr>
        <w:spacing w:after="40" w:before="120"/>
      </w:pPr>
      <w:r>
        <w:rPr>
          <w:rFonts w:ascii="Arial" w:cs="Arial" w:eastAsia="Arial" w:hAnsi="Arial"/>
          <w:color w:val="2D2D2D"/>
          <w:sz w:val="19"/>
          <w:szCs w:val="19"/>
        </w:rPr>
        <w:t xml:space="preserve">Apply the following to every block of bullet points:</w:t>
      </w:r>
    </w:p>
    <w:p>
      <w:pPr>
        <w:pStyle w:val="ListParagraph"/>
        <w:numPr>
          <w:ilvl w:val="0"/>
          <w:numId w:val="2"/>
        </w:numPr>
        <w:spacing w:after="40" w:before="40"/>
      </w:pPr>
      <w:r>
        <w:rPr>
          <w:rFonts w:ascii="Arial" w:cs="Arial" w:eastAsia="Arial" w:hAnsi="Arial"/>
          <w:b/>
          <w:bCs/>
          <w:color w:val="1F3864"/>
          <w:sz w:val="19"/>
          <w:szCs w:val="19"/>
        </w:rPr>
        <w:t xml:space="preserve">Dedicated lead-in sentence: </w:t>
      </w:r>
      <w:r>
        <w:rPr>
          <w:rFonts w:ascii="Arial" w:cs="Arial" w:eastAsia="Arial" w:hAnsi="Arial"/>
          <w:color w:val="2D2D2D"/>
          <w:sz w:val="19"/>
          <w:szCs w:val="19"/>
        </w:rPr>
        <w:t xml:space="preserve">every bullet block has its own lead-in sentence that is not part of the heading introduction.</w:t>
      </w:r>
    </w:p>
    <w:p>
      <w:pPr>
        <w:pStyle w:val="ListParagraph"/>
        <w:numPr>
          <w:ilvl w:val="0"/>
          <w:numId w:val="2"/>
        </w:numPr>
        <w:spacing w:after="40" w:before="40"/>
      </w:pPr>
      <w:r>
        <w:rPr>
          <w:rFonts w:ascii="Arial" w:cs="Arial" w:eastAsia="Arial" w:hAnsi="Arial"/>
          <w:b/>
          <w:bCs/>
          <w:color w:val="1F3864"/>
          <w:sz w:val="19"/>
          <w:szCs w:val="19"/>
        </w:rPr>
        <w:t xml:space="preserve">Placement: </w:t>
      </w:r>
      <w:r>
        <w:rPr>
          <w:rFonts w:ascii="Arial" w:cs="Arial" w:eastAsia="Arial" w:hAnsi="Arial"/>
          <w:color w:val="2D2D2D"/>
          <w:sz w:val="19"/>
          <w:szCs w:val="19"/>
        </w:rPr>
        <w:t xml:space="preserve">the lead-in sentence is a standalone sentence sitting a full line space below any introduction and directly above the bullets.</w:t>
      </w:r>
    </w:p>
    <w:p>
      <w:pPr>
        <w:pStyle w:val="ListParagraph"/>
        <w:numPr>
          <w:ilvl w:val="0"/>
          <w:numId w:val="2"/>
        </w:numPr>
        <w:spacing w:after="40" w:before="40"/>
      </w:pPr>
      <w:r>
        <w:rPr>
          <w:rFonts w:ascii="Arial" w:cs="Arial" w:eastAsia="Arial" w:hAnsi="Arial"/>
          <w:b/>
          <w:bCs/>
          <w:color w:val="1F3864"/>
          <w:sz w:val="19"/>
          <w:szCs w:val="19"/>
        </w:rPr>
        <w:t xml:space="preserve">Punctuation: </w:t>
      </w:r>
      <w:r>
        <w:rPr>
          <w:rFonts w:ascii="Arial" w:cs="Arial" w:eastAsia="Arial" w:hAnsi="Arial"/>
          <w:color w:val="2D2D2D"/>
          <w:sz w:val="19"/>
          <w:szCs w:val="19"/>
        </w:rPr>
        <w:t xml:space="preserve">the lead-in sentence ends with a colon, never a full stop.</w:t>
      </w:r>
    </w:p>
    <w:p>
      <w:pPr>
        <w:pStyle w:val="ListParagraph"/>
        <w:numPr>
          <w:ilvl w:val="0"/>
          <w:numId w:val="2"/>
        </w:numPr>
        <w:spacing w:after="40" w:before="40"/>
      </w:pPr>
      <w:r>
        <w:rPr>
          <w:rFonts w:ascii="Arial" w:cs="Arial" w:eastAsia="Arial" w:hAnsi="Arial"/>
          <w:b/>
          <w:bCs/>
          <w:color w:val="1F3864"/>
          <w:sz w:val="19"/>
          <w:szCs w:val="19"/>
        </w:rPr>
        <w:t xml:space="preserve">Lists are bulleted: </w:t>
      </w:r>
      <w:r>
        <w:rPr>
          <w:rFonts w:ascii="Arial" w:cs="Arial" w:eastAsia="Arial" w:hAnsi="Arial"/>
          <w:color w:val="2D2D2D"/>
          <w:sz w:val="19"/>
          <w:szCs w:val="19"/>
        </w:rPr>
        <w:t xml:space="preserve">all lists are presented as bullet points, including responsibility statements within the responsibilities table.</w:t>
      </w:r>
    </w:p>
    <w:p>
      <w:pPr>
        <w:pStyle w:val="Heading2"/>
        <w:spacing w:after="60" w:before="240"/>
      </w:pPr>
      <w:r>
        <w:rPr>
          <w:rFonts w:ascii="Arial" w:cs="Arial" w:eastAsia="Arial" w:hAnsi="Arial"/>
          <w:b/>
          <w:bCs/>
          <w:color w:val="2E75B6"/>
          <w:sz w:val="22"/>
          <w:szCs w:val="22"/>
        </w:rPr>
        <w:t xml:space="preserve">Placeholders and Instruction Boxes</w:t>
      </w:r>
    </w:p>
    <w:p>
      <w:pPr>
        <w:spacing w:after="40" w:before="40"/>
      </w:pPr>
      <w:r>
        <w:rPr>
          <w:rFonts w:ascii="Arial" w:cs="Arial" w:eastAsia="Arial" w:hAnsi="Arial"/>
          <w:color w:val="2D2D2D"/>
          <w:sz w:val="19"/>
          <w:szCs w:val="19"/>
        </w:rPr>
        <w:t xml:space="preserve">Placeholders and instruction boxes guide the project team to complete the document, so they are formatted consistently and positioned where they do not interrupt the content.</w:t>
      </w:r>
    </w:p>
    <w:p>
      <w:pPr>
        <w:spacing w:after="40" w:before="120"/>
      </w:pPr>
      <w:r>
        <w:rPr>
          <w:rFonts w:ascii="Arial" w:cs="Arial" w:eastAsia="Arial" w:hAnsi="Arial"/>
          <w:color w:val="2D2D2D"/>
          <w:sz w:val="19"/>
          <w:szCs w:val="19"/>
        </w:rPr>
        <w:t xml:space="preserve">Apply the following to placeholders and instruction boxes:</w:t>
      </w:r>
    </w:p>
    <w:p>
      <w:pPr>
        <w:pStyle w:val="ListParagraph"/>
        <w:numPr>
          <w:ilvl w:val="0"/>
          <w:numId w:val="2"/>
        </w:numPr>
        <w:spacing w:after="40" w:before="40"/>
      </w:pPr>
      <w:r>
        <w:rPr>
          <w:rFonts w:ascii="Arial" w:cs="Arial" w:eastAsia="Arial" w:hAnsi="Arial"/>
          <w:b/>
          <w:bCs/>
          <w:color w:val="1F3864"/>
          <w:sz w:val="19"/>
          <w:szCs w:val="19"/>
        </w:rPr>
        <w:t xml:space="preserve">Placeholder colour: </w:t>
      </w:r>
      <w:r>
        <w:rPr>
          <w:rFonts w:ascii="Arial" w:cs="Arial" w:eastAsia="Arial" w:hAnsi="Arial"/>
          <w:color w:val="2D2D2D"/>
          <w:sz w:val="19"/>
          <w:szCs w:val="19"/>
        </w:rPr>
        <w:t xml:space="preserve">blue placeholder text is always bold and uses colour code #0059D1. Dark orange suggested content is non-bold and uses colour code C55A11.</w:t>
      </w:r>
    </w:p>
    <w:p>
      <w:pPr>
        <w:pStyle w:val="ListParagraph"/>
        <w:numPr>
          <w:ilvl w:val="0"/>
          <w:numId w:val="2"/>
        </w:numPr>
        <w:spacing w:after="40" w:before="40"/>
      </w:pPr>
      <w:r>
        <w:rPr>
          <w:rFonts w:ascii="Arial" w:cs="Arial" w:eastAsia="Arial" w:hAnsi="Arial"/>
          <w:b/>
          <w:bCs/>
          <w:color w:val="1F3864"/>
          <w:sz w:val="19"/>
          <w:szCs w:val="19"/>
        </w:rPr>
        <w:t xml:space="preserve">Placeholder length: </w:t>
      </w:r>
      <w:r>
        <w:rPr>
          <w:rFonts w:ascii="Arial" w:cs="Arial" w:eastAsia="Arial" w:hAnsi="Arial"/>
          <w:color w:val="2D2D2D"/>
          <w:sz w:val="19"/>
          <w:szCs w:val="19"/>
        </w:rPr>
        <w:t xml:space="preserve">keep each placeholder short. State only what the user needs to add, without long examples or explanatory text.</w:t>
      </w:r>
    </w:p>
    <w:p>
      <w:pPr>
        <w:pStyle w:val="ListParagraph"/>
        <w:numPr>
          <w:ilvl w:val="0"/>
          <w:numId w:val="2"/>
        </w:numPr>
        <w:spacing w:after="40" w:before="40"/>
      </w:pPr>
      <w:r>
        <w:rPr>
          <w:rFonts w:ascii="Arial" w:cs="Arial" w:eastAsia="Arial" w:hAnsi="Arial"/>
          <w:b/>
          <w:bCs/>
          <w:color w:val="1F3864"/>
          <w:sz w:val="19"/>
          <w:szCs w:val="19"/>
        </w:rPr>
        <w:t xml:space="preserve">Instruction box placement: </w:t>
      </w:r>
      <w:r>
        <w:rPr>
          <w:rFonts w:ascii="Arial" w:cs="Arial" w:eastAsia="Arial" w:hAnsi="Arial"/>
          <w:color w:val="2D2D2D"/>
          <w:sz w:val="19"/>
          <w:szCs w:val="19"/>
        </w:rPr>
        <w:t xml:space="preserve">the yellow instruction box is always the last item in its section. It is never placed in the middle of the content.</w:t>
      </w:r>
    </w:p>
    <w:p>
      <w:pPr>
        <w:pStyle w:val="Heading2"/>
        <w:spacing w:after="60" w:before="240"/>
      </w:pPr>
      <w:r>
        <w:rPr>
          <w:rFonts w:ascii="Arial" w:cs="Arial" w:eastAsia="Arial" w:hAnsi="Arial"/>
          <w:b/>
          <w:bCs/>
          <w:color w:val="2E75B6"/>
          <w:sz w:val="22"/>
          <w:szCs w:val="22"/>
        </w:rPr>
        <w:t xml:space="preserve">Tables Within Content</w:t>
      </w:r>
    </w:p>
    <w:p>
      <w:pPr>
        <w:spacing w:after="40" w:before="40"/>
      </w:pPr>
      <w:r>
        <w:rPr>
          <w:rFonts w:ascii="Arial" w:cs="Arial" w:eastAsia="Arial" w:hAnsi="Arial"/>
          <w:color w:val="2D2D2D"/>
          <w:sz w:val="19"/>
          <w:szCs w:val="19"/>
        </w:rPr>
        <w:t xml:space="preserve">Where a document expects the user to supply a table, the document provides the table itself so the user completes it in place rather than building one from a written note.</w:t>
      </w:r>
    </w:p>
    <w:p>
      <w:pPr>
        <w:spacing w:after="40" w:before="120"/>
      </w:pPr>
      <w:r>
        <w:rPr>
          <w:rFonts w:ascii="Arial" w:cs="Arial" w:eastAsia="Arial" w:hAnsi="Arial"/>
          <w:color w:val="2D2D2D"/>
          <w:sz w:val="19"/>
          <w:szCs w:val="19"/>
        </w:rPr>
        <w:t xml:space="preserve">Apply the following wherever a table is required:</w:t>
      </w:r>
    </w:p>
    <w:p>
      <w:pPr>
        <w:pStyle w:val="ListParagraph"/>
        <w:numPr>
          <w:ilvl w:val="0"/>
          <w:numId w:val="2"/>
        </w:numPr>
        <w:spacing w:after="40" w:before="40"/>
      </w:pPr>
      <w:r>
        <w:rPr>
          <w:rFonts w:ascii="Arial" w:cs="Arial" w:eastAsia="Arial" w:hAnsi="Arial"/>
          <w:b/>
          <w:bCs/>
          <w:color w:val="1F3864"/>
          <w:sz w:val="19"/>
          <w:szCs w:val="19"/>
        </w:rPr>
        <w:t xml:space="preserve">Provide the table: </w:t>
      </w:r>
      <w:r>
        <w:rPr>
          <w:rFonts w:ascii="Arial" w:cs="Arial" w:eastAsia="Arial" w:hAnsi="Arial"/>
          <w:color w:val="2D2D2D"/>
          <w:sz w:val="19"/>
          <w:szCs w:val="19"/>
        </w:rPr>
        <w:t xml:space="preserve">insert a formatted table template directly in the content with the correct columns and headers.</w:t>
      </w:r>
    </w:p>
    <w:p>
      <w:pPr>
        <w:pStyle w:val="ListParagraph"/>
        <w:numPr>
          <w:ilvl w:val="0"/>
          <w:numId w:val="2"/>
        </w:numPr>
        <w:spacing w:after="40" w:before="40"/>
      </w:pPr>
      <w:r>
        <w:rPr>
          <w:rFonts w:ascii="Arial" w:cs="Arial" w:eastAsia="Arial" w:hAnsi="Arial"/>
          <w:b/>
          <w:bCs/>
          <w:color w:val="1F3864"/>
          <w:sz w:val="19"/>
          <w:szCs w:val="19"/>
        </w:rPr>
        <w:t xml:space="preserve">Guide completion: </w:t>
      </w:r>
      <w:r>
        <w:rPr>
          <w:rFonts w:ascii="Arial" w:cs="Arial" w:eastAsia="Arial" w:hAnsi="Arial"/>
          <w:color w:val="2D2D2D"/>
          <w:sz w:val="19"/>
          <w:szCs w:val="19"/>
        </w:rPr>
        <w:t xml:space="preserve">fill the table cells with blue placeholders or short instructions that tell the user what to enter in each column.</w:t>
      </w:r>
    </w:p>
    <w:p>
      <w:pPr>
        <w:pStyle w:val="ListParagraph"/>
        <w:numPr>
          <w:ilvl w:val="0"/>
          <w:numId w:val="2"/>
        </w:numPr>
        <w:spacing w:after="40" w:before="40"/>
      </w:pPr>
      <w:r>
        <w:rPr>
          <w:rFonts w:ascii="Arial" w:cs="Arial" w:eastAsia="Arial" w:hAnsi="Arial"/>
          <w:b/>
          <w:bCs/>
          <w:color w:val="1F3864"/>
          <w:sz w:val="19"/>
          <w:szCs w:val="19"/>
        </w:rPr>
        <w:t xml:space="preserve">Do not defer: </w:t>
      </w:r>
      <w:r>
        <w:rPr>
          <w:rFonts w:ascii="Arial" w:cs="Arial" w:eastAsia="Arial" w:hAnsi="Arial"/>
          <w:color w:val="2D2D2D"/>
          <w:sz w:val="19"/>
          <w:szCs w:val="19"/>
        </w:rPr>
        <w:t xml:space="preserve">never replace a required table with a note asking the user to add one.</w:t>
      </w:r>
    </w:p>
    <w:p>
      <w:pPr>
        <w:pStyle w:val="Heading2"/>
        <w:spacing w:after="60" w:before="240"/>
      </w:pPr>
      <w:r>
        <w:rPr>
          <w:rFonts w:ascii="Arial" w:cs="Arial" w:eastAsia="Arial" w:hAnsi="Arial"/>
          <w:b/>
          <w:bCs/>
          <w:color w:val="2E75B6"/>
          <w:sz w:val="22"/>
          <w:szCs w:val="22"/>
        </w:rPr>
        <w:t xml:space="preserve">Responsibilities Table</w:t>
      </w:r>
    </w:p>
    <w:p>
      <w:pPr>
        <w:spacing w:after="40" w:before="40"/>
      </w:pPr>
      <w:r>
        <w:rPr>
          <w:rFonts w:ascii="Arial" w:cs="Arial" w:eastAsia="Arial" w:hAnsi="Arial"/>
          <w:color w:val="2D2D2D"/>
          <w:sz w:val="19"/>
          <w:szCs w:val="19"/>
        </w:rPr>
        <w:t xml:space="preserve">The responsibilities table shows who holds each responsibility, so it carries columns that let the author mark whether the company, the contractor, or both are accountable for each line.</w:t>
      </w:r>
    </w:p>
    <w:p>
      <w:pPr>
        <w:spacing w:after="40" w:before="120"/>
      </w:pPr>
      <w:r>
        <w:rPr>
          <w:rFonts w:ascii="Arial" w:cs="Arial" w:eastAsia="Arial" w:hAnsi="Arial"/>
          <w:color w:val="2D2D2D"/>
          <w:sz w:val="19"/>
          <w:szCs w:val="19"/>
        </w:rPr>
        <w:t xml:space="preserve">Build the responsibilities table with the following:</w:t>
      </w:r>
    </w:p>
    <w:p>
      <w:pPr>
        <w:pStyle w:val="ListParagraph"/>
        <w:numPr>
          <w:ilvl w:val="0"/>
          <w:numId w:val="2"/>
        </w:numPr>
        <w:spacing w:after="40" w:before="40"/>
      </w:pPr>
      <w:r>
        <w:rPr>
          <w:rFonts w:ascii="Arial" w:cs="Arial" w:eastAsia="Arial" w:hAnsi="Arial"/>
          <w:b/>
          <w:bCs/>
          <w:color w:val="1F3864"/>
          <w:sz w:val="19"/>
          <w:szCs w:val="19"/>
        </w:rPr>
        <w:t xml:space="preserve">Responsibility statements as bullets: </w:t>
      </w:r>
      <w:r>
        <w:rPr>
          <w:rFonts w:ascii="Arial" w:cs="Arial" w:eastAsia="Arial" w:hAnsi="Arial"/>
          <w:color w:val="2D2D2D"/>
          <w:sz w:val="19"/>
          <w:szCs w:val="19"/>
        </w:rPr>
        <w:t xml:space="preserve">present the responsibility statements for each role as a bullet list within the table cell.</w:t>
      </w:r>
    </w:p>
    <w:p>
      <w:pPr>
        <w:pStyle w:val="ListParagraph"/>
        <w:numPr>
          <w:ilvl w:val="0"/>
          <w:numId w:val="2"/>
        </w:numPr>
        <w:spacing w:after="40" w:before="40"/>
      </w:pPr>
      <w:r>
        <w:rPr>
          <w:rFonts w:ascii="Arial" w:cs="Arial" w:eastAsia="Arial" w:hAnsi="Arial"/>
          <w:b/>
          <w:bCs/>
          <w:color w:val="1F3864"/>
          <w:sz w:val="19"/>
          <w:szCs w:val="19"/>
        </w:rPr>
        <w:t xml:space="preserve">Company and Contractor columns: </w:t>
      </w:r>
      <w:r>
        <w:rPr>
          <w:rFonts w:ascii="Arial" w:cs="Arial" w:eastAsia="Arial" w:hAnsi="Arial"/>
          <w:color w:val="2D2D2D"/>
          <w:sz w:val="19"/>
          <w:szCs w:val="19"/>
        </w:rPr>
        <w:t xml:space="preserve">include a Company column and a Contractor column.</w:t>
      </w:r>
    </w:p>
    <w:p>
      <w:pPr>
        <w:pStyle w:val="ListParagraph"/>
        <w:numPr>
          <w:ilvl w:val="0"/>
          <w:numId w:val="2"/>
        </w:numPr>
        <w:spacing w:after="40" w:before="40"/>
      </w:pPr>
      <w:r>
        <w:rPr>
          <w:rFonts w:ascii="Arial" w:cs="Arial" w:eastAsia="Arial" w:hAnsi="Arial"/>
          <w:b/>
          <w:bCs/>
          <w:color w:val="1F3864"/>
          <w:sz w:val="19"/>
          <w:szCs w:val="19"/>
        </w:rPr>
        <w:t xml:space="preserve">Accountability ticks: </w:t>
      </w:r>
      <w:r>
        <w:rPr>
          <w:rFonts w:ascii="Arial" w:cs="Arial" w:eastAsia="Arial" w:hAnsi="Arial"/>
          <w:color w:val="2D2D2D"/>
          <w:sz w:val="19"/>
          <w:szCs w:val="19"/>
        </w:rPr>
        <w:t xml:space="preserve">mark a tick in the Company column, the Contractor column, or both, to show who may hold responsibilities against each line.</w:t>
      </w:r>
    </w:p>
    <w:p>
      <w:pPr>
        <w:spacing w:after="40" w:before="120"/>
      </w:pPr>
      <w:r>
        <w:rPr>
          <w:rFonts w:ascii="Arial" w:cs="Arial" w:eastAsia="Arial" w:hAnsi="Arial"/>
          <w:color w:val="2D2D2D"/>
          <w:sz w:val="19"/>
          <w:szCs w:val="19"/>
        </w:rPr>
        <w:t xml:space="preserve">Use the following responsibilities table template, completing one row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1200"/>
        <w:gridCol w:w="1200"/>
      </w:tblGrid>
      <w:tr>
        <w:tc>
          <w:tcPr>
            <w:tcW w:w="2200" w:type="dxa"/>
            <w:tcBorders>
              <w:top w:val="single" w:color="CCCCCC" w:sz="1"/>
              <w:left w:val="single" w:color="CCCCCC" w:sz="1"/>
              <w:bottom w:val="single" w:color="CCCCCC" w:sz="1"/>
              <w:right w:val="single" w:color="CCCCCC" w:sz="1"/>
            </w:tcBorders>
            <w:shd w:val="clear" w:color="auto" w:fill="1F3864"/>
            <w:tcMar>
              <w:top w:w="60" w:type="dxa"/>
              <w:left w:w="100" w:type="dxa"/>
              <w:bottom w:w="60" w:type="dxa"/>
              <w:right w:w="100" w:type="dxa"/>
            </w:tcMar>
          </w:tcPr>
          <w:p>
            <w:pPr>
              <w:spacing w:after="20" w:before="20"/>
            </w:pPr>
            <w:r>
              <w:rPr>
                <w:rFonts w:ascii="Arial" w:cs="Arial" w:eastAsia="Arial" w:hAnsi="Arial"/>
                <w:b/>
                <w:bCs/>
                <w:color w:val="FFFFFF"/>
                <w:sz w:val="16"/>
                <w:szCs w:val="16"/>
              </w:rPr>
              <w:t xml:space="preserve">Role</w:t>
            </w:r>
          </w:p>
        </w:tc>
        <w:tc>
          <w:tcPr>
            <w:tcW w:w="4760" w:type="dxa"/>
            <w:tcBorders>
              <w:top w:val="single" w:color="CCCCCC" w:sz="1"/>
              <w:left w:val="single" w:color="CCCCCC" w:sz="1"/>
              <w:bottom w:val="single" w:color="CCCCCC" w:sz="1"/>
              <w:right w:val="single" w:color="CCCCCC" w:sz="1"/>
            </w:tcBorders>
            <w:shd w:val="clear" w:color="auto" w:fill="1F3864"/>
            <w:tcMar>
              <w:top w:w="60" w:type="dxa"/>
              <w:left w:w="100" w:type="dxa"/>
              <w:bottom w:w="60" w:type="dxa"/>
              <w:right w:w="100" w:type="dxa"/>
            </w:tcMar>
          </w:tcPr>
          <w:p>
            <w:pPr>
              <w:spacing w:after="20" w:before="20"/>
            </w:pPr>
            <w:r>
              <w:rPr>
                <w:rFonts w:ascii="Arial" w:cs="Arial" w:eastAsia="Arial" w:hAnsi="Arial"/>
                <w:b/>
                <w:bCs/>
                <w:color w:val="FFFFFF"/>
                <w:sz w:val="16"/>
                <w:szCs w:val="16"/>
              </w:rPr>
              <w:t xml:space="preserve">Responsibilities</w:t>
            </w:r>
          </w:p>
        </w:tc>
        <w:tc>
          <w:tcPr>
            <w:tcW w:w="1200" w:type="dxa"/>
            <w:tcBorders>
              <w:top w:val="single" w:color="CCCCCC" w:sz="1"/>
              <w:left w:val="single" w:color="CCCCCC" w:sz="1"/>
              <w:bottom w:val="single" w:color="CCCCCC" w:sz="1"/>
              <w:right w:val="single" w:color="CCCCCC" w:sz="1"/>
            </w:tcBorders>
            <w:shd w:val="clear" w:color="auto" w:fill="1F3864"/>
            <w:tcMar>
              <w:top w:w="60" w:type="dxa"/>
              <w:left w:w="100" w:type="dxa"/>
              <w:bottom w:w="60" w:type="dxa"/>
              <w:right w:w="100" w:type="dxa"/>
            </w:tcMar>
          </w:tcPr>
          <w:p>
            <w:pPr>
              <w:spacing w:after="20" w:before="20"/>
            </w:pPr>
            <w:r>
              <w:rPr>
                <w:rFonts w:ascii="Arial" w:cs="Arial" w:eastAsia="Arial" w:hAnsi="Arial"/>
                <w:b/>
                <w:bCs/>
                <w:color w:val="FFFFFF"/>
                <w:sz w:val="16"/>
                <w:szCs w:val="16"/>
              </w:rPr>
              <w:t xml:space="preserve">Company</w:t>
            </w:r>
          </w:p>
        </w:tc>
        <w:tc>
          <w:tcPr>
            <w:tcW w:w="1200" w:type="dxa"/>
            <w:tcBorders>
              <w:top w:val="single" w:color="CCCCCC" w:sz="1"/>
              <w:left w:val="single" w:color="CCCCCC" w:sz="1"/>
              <w:bottom w:val="single" w:color="CCCCCC" w:sz="1"/>
              <w:right w:val="single" w:color="CCCCCC" w:sz="1"/>
            </w:tcBorders>
            <w:shd w:val="clear" w:color="auto" w:fill="1F3864"/>
            <w:tcMar>
              <w:top w:w="60" w:type="dxa"/>
              <w:left w:w="100" w:type="dxa"/>
              <w:bottom w:w="60" w:type="dxa"/>
              <w:right w:w="100" w:type="dxa"/>
            </w:tcMar>
          </w:tcPr>
          <w:p>
            <w:pPr>
              <w:spacing w:after="20" w:before="20"/>
            </w:pPr>
            <w:r>
              <w:rPr>
                <w:rFonts w:ascii="Arial" w:cs="Arial" w:eastAsia="Arial" w:hAnsi="Arial"/>
                <w:b/>
                <w:bCs/>
                <w:color w:val="FFFFFF"/>
                <w:sz w:val="16"/>
                <w:szCs w:val="16"/>
              </w:rPr>
              <w:t xml:space="preserve">Contractor</w:t>
            </w:r>
          </w:p>
        </w:tc>
      </w:tr>
      <w:tr>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b/>
                <w:bCs/>
                <w:color w:val="0059D1"/>
                <w:sz w:val="16"/>
                <w:szCs w:val="16"/>
              </w:rPr>
              <w:t xml:space="preserve">[Role title]</w:t>
            </w:r>
          </w:p>
        </w:tc>
        <w:tc>
          <w:tcPr>
            <w:tcW w:w="47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pStyle w:val="ListParagraph"/>
              <w:numPr>
                <w:ilvl w:val="0"/>
                <w:numId w:val="2"/>
              </w:numPr>
              <w:spacing w:after="20" w:before="20"/>
            </w:pPr>
            <w:r>
              <w:rPr>
                <w:rFonts w:ascii="Arial" w:cs="Arial" w:eastAsia="Arial" w:hAnsi="Arial"/>
                <w:b/>
                <w:bCs/>
                <w:color w:val="0059D1"/>
                <w:sz w:val="16"/>
                <w:szCs w:val="16"/>
              </w:rPr>
              <w:t xml:space="preserve">[Responsibility statement]</w:t>
            </w:r>
          </w:p>
          <w:p>
            <w:pPr>
              <w:pStyle w:val="ListParagraph"/>
              <w:numPr>
                <w:ilvl w:val="0"/>
                <w:numId w:val="2"/>
              </w:numPr>
              <w:spacing w:after="20" w:before="20"/>
            </w:pPr>
            <w:r>
              <w:rPr>
                <w:rFonts w:ascii="Arial" w:cs="Arial" w:eastAsia="Arial" w:hAnsi="Arial"/>
                <w:b/>
                <w:bCs/>
                <w:color w:val="0059D1"/>
                <w:sz w:val="16"/>
                <w:szCs w:val="16"/>
              </w:rPr>
              <w:t xml:space="preserve">[Responsibility statement]</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color w:val="2D2D2D"/>
                <w:sz w:val="16"/>
                <w:szCs w:val="16"/>
              </w:rPr>
              <w:t xml:space="preserve">✓</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color w:val="2D2D2D"/>
                <w:sz w:val="16"/>
                <w:szCs w:val="16"/>
              </w:rPr>
              <w:t xml:space="preserve">✓</w:t>
            </w:r>
          </w:p>
        </w:tc>
      </w:tr>
      <w:tr>
        <w:tc>
          <w:tcPr>
            <w:tcW w:w="2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b/>
                <w:bCs/>
                <w:color w:val="0059D1"/>
                <w:sz w:val="16"/>
                <w:szCs w:val="16"/>
              </w:rPr>
              <w:t xml:space="preserve">[Role title]</w:t>
            </w:r>
          </w:p>
        </w:tc>
        <w:tc>
          <w:tcPr>
            <w:tcW w:w="47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pStyle w:val="ListParagraph"/>
              <w:numPr>
                <w:ilvl w:val="0"/>
                <w:numId w:val="2"/>
              </w:numPr>
              <w:spacing w:after="20" w:before="20"/>
            </w:pPr>
            <w:r>
              <w:rPr>
                <w:rFonts w:ascii="Arial" w:cs="Arial" w:eastAsia="Arial" w:hAnsi="Arial"/>
                <w:b/>
                <w:bCs/>
                <w:color w:val="0059D1"/>
                <w:sz w:val="16"/>
                <w:szCs w:val="16"/>
              </w:rPr>
              <w:t xml:space="preserve">[Responsibility statement]</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color w:val="2D2D2D"/>
                <w:sz w:val="16"/>
                <w:szCs w:val="16"/>
              </w:rPr>
              <w:t xml:space="preserve">✓</w:t>
            </w:r>
          </w:p>
        </w:tc>
        <w:tc>
          <w:tcPr>
            <w:tcW w:w="12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color w:val="2D2D2D"/>
                <w:sz w:val="16"/>
                <w:szCs w:val="16"/>
              </w:rPr>
              <w:t xml:space="preserve"/>
            </w:r>
          </w:p>
        </w:tc>
      </w:tr>
    </w:tbl>
    <w:p>
      <w:pPr>
        <w:spacing w:after="40" w:before="40"/>
      </w:pPr>
      <w:r>
        <w:rPr>
          <w:rFonts w:ascii="Arial" w:cs="Arial" w:eastAsia="Arial" w:hAnsi="Arial"/>
          <w:color w:val="2D2D2D"/>
          <w:sz w:val="19"/>
          <w:szCs w:val="19"/>
        </w:rPr>
        <w:t xml:space="preserve"/>
      </w:r>
    </w:p>
    <w:p>
      <w:pPr>
        <w:pStyle w:val="Heading2"/>
        <w:spacing w:after="60" w:before="240"/>
      </w:pPr>
      <w:r>
        <w:rPr>
          <w:rFonts w:ascii="Arial" w:cs="Arial" w:eastAsia="Arial" w:hAnsi="Arial"/>
          <w:b/>
          <w:bCs/>
          <w:color w:val="2E75B6"/>
          <w:sz w:val="22"/>
          <w:szCs w:val="22"/>
        </w:rPr>
        <w:t xml:space="preserve">Styling and Fonts</w:t>
      </w:r>
    </w:p>
    <w:p>
      <w:pPr>
        <w:spacing w:after="40" w:before="40"/>
      </w:pPr>
      <w:r>
        <w:rPr>
          <w:rFonts w:ascii="Arial" w:cs="Arial" w:eastAsia="Arial" w:hAnsi="Arial"/>
          <w:color w:val="2D2D2D"/>
          <w:sz w:val="19"/>
          <w:szCs w:val="19"/>
        </w:rPr>
        <w:t xml:space="preserve">Consistent styles and font sizes keep every document visually aligned with the system and ensure the heading and paragraph styles map to the correct library entries.</w:t>
      </w:r>
    </w:p>
    <w:p>
      <w:pPr>
        <w:spacing w:after="40" w:before="120"/>
      </w:pPr>
      <w:r>
        <w:rPr>
          <w:rFonts w:ascii="Arial" w:cs="Arial" w:eastAsia="Arial" w:hAnsi="Arial"/>
          <w:color w:val="2D2D2D"/>
          <w:sz w:val="19"/>
          <w:szCs w:val="19"/>
        </w:rPr>
        <w:t xml:space="preserve">Map each element to the following style library styles:</w:t>
      </w:r>
    </w:p>
    <w:p>
      <w:pPr>
        <w:pStyle w:val="ListParagraph"/>
        <w:numPr>
          <w:ilvl w:val="0"/>
          <w:numId w:val="2"/>
        </w:numPr>
        <w:spacing w:after="40" w:before="40"/>
      </w:pPr>
      <w:r>
        <w:rPr>
          <w:rFonts w:ascii="Arial" w:cs="Arial" w:eastAsia="Arial" w:hAnsi="Arial"/>
          <w:b/>
          <w:bCs/>
          <w:color w:val="1F3864"/>
          <w:sz w:val="19"/>
          <w:szCs w:val="19"/>
        </w:rPr>
        <w:t xml:space="preserve">Level 1 heading: </w:t>
      </w:r>
      <w:r>
        <w:rPr>
          <w:rFonts w:ascii="Arial" w:cs="Arial" w:eastAsia="Arial" w:hAnsi="Arial"/>
          <w:color w:val="2D2D2D"/>
          <w:sz w:val="19"/>
          <w:szCs w:val="19"/>
        </w:rPr>
        <w:t xml:space="preserve">use the “Heading 1: Numbered_” style.</w:t>
      </w:r>
    </w:p>
    <w:p>
      <w:pPr>
        <w:pStyle w:val="ListParagraph"/>
        <w:numPr>
          <w:ilvl w:val="0"/>
          <w:numId w:val="2"/>
        </w:numPr>
        <w:spacing w:after="40" w:before="40"/>
      </w:pPr>
      <w:r>
        <w:rPr>
          <w:rFonts w:ascii="Arial" w:cs="Arial" w:eastAsia="Arial" w:hAnsi="Arial"/>
          <w:b/>
          <w:bCs/>
          <w:color w:val="1F3864"/>
          <w:sz w:val="19"/>
          <w:szCs w:val="19"/>
        </w:rPr>
        <w:t xml:space="preserve">Level 1 paragraph content: </w:t>
      </w:r>
      <w:r>
        <w:rPr>
          <w:rFonts w:ascii="Arial" w:cs="Arial" w:eastAsia="Arial" w:hAnsi="Arial"/>
          <w:color w:val="2D2D2D"/>
          <w:sz w:val="19"/>
          <w:szCs w:val="19"/>
        </w:rPr>
        <w:t xml:space="preserve">use the “Normal” style for paragraph text that supports a level 1 heading.</w:t>
      </w:r>
    </w:p>
    <w:p>
      <w:pPr>
        <w:pStyle w:val="ListParagraph"/>
        <w:numPr>
          <w:ilvl w:val="0"/>
          <w:numId w:val="2"/>
        </w:numPr>
        <w:spacing w:after="40" w:before="40"/>
      </w:pPr>
      <w:r>
        <w:rPr>
          <w:rFonts w:ascii="Arial" w:cs="Arial" w:eastAsia="Arial" w:hAnsi="Arial"/>
          <w:b/>
          <w:bCs/>
          <w:color w:val="1F3864"/>
          <w:sz w:val="19"/>
          <w:szCs w:val="19"/>
        </w:rPr>
        <w:t xml:space="preserve">Level 1 bullet lists: </w:t>
      </w:r>
      <w:r>
        <w:rPr>
          <w:rFonts w:ascii="Arial" w:cs="Arial" w:eastAsia="Arial" w:hAnsi="Arial"/>
          <w:color w:val="2D2D2D"/>
          <w:sz w:val="19"/>
          <w:szCs w:val="19"/>
        </w:rPr>
        <w:t xml:space="preserve">use the “Bullet: L1_” style for bullet lists that support a level 1 heading.</w:t>
      </w:r>
    </w:p>
    <w:p>
      <w:pPr>
        <w:pStyle w:val="ListParagraph"/>
        <w:numPr>
          <w:ilvl w:val="0"/>
          <w:numId w:val="2"/>
        </w:numPr>
        <w:spacing w:after="40" w:before="40"/>
      </w:pPr>
      <w:r>
        <w:rPr>
          <w:rFonts w:ascii="Arial" w:cs="Arial" w:eastAsia="Arial" w:hAnsi="Arial"/>
          <w:b/>
          <w:bCs/>
          <w:color w:val="1F3864"/>
          <w:sz w:val="19"/>
          <w:szCs w:val="19"/>
        </w:rPr>
        <w:t xml:space="preserve">Level 2 heading: </w:t>
      </w:r>
      <w:r>
        <w:rPr>
          <w:rFonts w:ascii="Arial" w:cs="Arial" w:eastAsia="Arial" w:hAnsi="Arial"/>
          <w:color w:val="2D2D2D"/>
          <w:sz w:val="19"/>
          <w:szCs w:val="19"/>
        </w:rPr>
        <w:t xml:space="preserve">use the “Heading 2: Numbered_” style.</w:t>
      </w:r>
    </w:p>
    <w:p>
      <w:pPr>
        <w:pStyle w:val="ListParagraph"/>
        <w:numPr>
          <w:ilvl w:val="0"/>
          <w:numId w:val="2"/>
        </w:numPr>
        <w:spacing w:after="40" w:before="40"/>
      </w:pPr>
      <w:r>
        <w:rPr>
          <w:rFonts w:ascii="Arial" w:cs="Arial" w:eastAsia="Arial" w:hAnsi="Arial"/>
          <w:b/>
          <w:bCs/>
          <w:color w:val="1F3864"/>
          <w:sz w:val="19"/>
          <w:szCs w:val="19"/>
        </w:rPr>
        <w:t xml:space="preserve">Level 2 paragraph content: </w:t>
      </w:r>
      <w:r>
        <w:rPr>
          <w:rFonts w:ascii="Arial" w:cs="Arial" w:eastAsia="Arial" w:hAnsi="Arial"/>
          <w:color w:val="2D2D2D"/>
          <w:sz w:val="19"/>
          <w:szCs w:val="19"/>
        </w:rPr>
        <w:t xml:space="preserve">use the “Normal: Numbered text_” style for paragraph text that supports a level 2 heading.</w:t>
      </w:r>
    </w:p>
    <w:p>
      <w:pPr>
        <w:pStyle w:val="ListParagraph"/>
        <w:numPr>
          <w:ilvl w:val="0"/>
          <w:numId w:val="2"/>
        </w:numPr>
        <w:spacing w:after="40" w:before="40"/>
      </w:pPr>
      <w:r>
        <w:rPr>
          <w:rFonts w:ascii="Arial" w:cs="Arial" w:eastAsia="Arial" w:hAnsi="Arial"/>
          <w:b/>
          <w:bCs/>
          <w:color w:val="1F3864"/>
          <w:sz w:val="19"/>
          <w:szCs w:val="19"/>
        </w:rPr>
        <w:t xml:space="preserve">Level 2 bullet lists: </w:t>
      </w:r>
      <w:r>
        <w:rPr>
          <w:rFonts w:ascii="Arial" w:cs="Arial" w:eastAsia="Arial" w:hAnsi="Arial"/>
          <w:color w:val="2D2D2D"/>
          <w:sz w:val="19"/>
          <w:szCs w:val="19"/>
        </w:rPr>
        <w:t xml:space="preserve">use the “Numbered Bullet: L1_” style for bullet lists that support a level 2 heading.</w:t>
      </w:r>
    </w:p>
    <w:p>
      <w:pPr>
        <w:spacing w:after="40" w:before="120"/>
      </w:pPr>
      <w:r>
        <w:rPr>
          <w:rFonts w:ascii="Arial" w:cs="Arial" w:eastAsia="Arial" w:hAnsi="Arial"/>
          <w:color w:val="2D2D2D"/>
          <w:sz w:val="19"/>
          <w:szCs w:val="19"/>
        </w:rPr>
        <w:t xml:space="preserve">Apply the following font sizes:</w:t>
      </w:r>
    </w:p>
    <w:p>
      <w:pPr>
        <w:pStyle w:val="ListParagraph"/>
        <w:numPr>
          <w:ilvl w:val="0"/>
          <w:numId w:val="2"/>
        </w:numPr>
        <w:spacing w:after="40" w:before="40"/>
      </w:pPr>
      <w:r>
        <w:rPr>
          <w:rFonts w:ascii="Arial" w:cs="Arial" w:eastAsia="Arial" w:hAnsi="Arial"/>
          <w:b/>
          <w:bCs/>
          <w:color w:val="1F3864"/>
          <w:sz w:val="19"/>
          <w:szCs w:val="19"/>
        </w:rPr>
        <w:t xml:space="preserve">Paragraph font: </w:t>
      </w:r>
      <w:r>
        <w:rPr>
          <w:rFonts w:ascii="Arial" w:cs="Arial" w:eastAsia="Arial" w:hAnsi="Arial"/>
          <w:color w:val="2D2D2D"/>
          <w:sz w:val="19"/>
          <w:szCs w:val="19"/>
        </w:rPr>
        <w:t xml:space="preserve">all paragraph text is Arial, size 10.</w:t>
      </w:r>
    </w:p>
    <w:p>
      <w:pPr>
        <w:pStyle w:val="ListParagraph"/>
        <w:numPr>
          <w:ilvl w:val="0"/>
          <w:numId w:val="2"/>
        </w:numPr>
        <w:spacing w:after="40" w:before="40"/>
      </w:pPr>
      <w:r>
        <w:rPr>
          <w:rFonts w:ascii="Arial" w:cs="Arial" w:eastAsia="Arial" w:hAnsi="Arial"/>
          <w:b/>
          <w:bCs/>
          <w:color w:val="1F3864"/>
          <w:sz w:val="19"/>
          <w:szCs w:val="19"/>
        </w:rPr>
        <w:t xml:space="preserve">Table font: </w:t>
      </w:r>
      <w:r>
        <w:rPr>
          <w:rFonts w:ascii="Arial" w:cs="Arial" w:eastAsia="Arial" w:hAnsi="Arial"/>
          <w:color w:val="2D2D2D"/>
          <w:sz w:val="19"/>
          <w:szCs w:val="19"/>
        </w:rPr>
        <w:t xml:space="preserve">all table text, including headers and content, is Arial, size 8.</w:t>
      </w:r>
    </w:p>
    <w:p>
      <w:pPr>
        <w:pStyle w:val="Heading2"/>
        <w:spacing w:after="60" w:before="240"/>
      </w:pPr>
      <w:r>
        <w:rPr>
          <w:rFonts w:ascii="Arial" w:cs="Arial" w:eastAsia="Arial" w:hAnsi="Arial"/>
          <w:b/>
          <w:bCs/>
          <w:color w:val="2E75B6"/>
          <w:sz w:val="22"/>
          <w:szCs w:val="22"/>
        </w:rPr>
        <w:t xml:space="preserve">Spacing</w:t>
      </w:r>
    </w:p>
    <w:p>
      <w:pPr>
        <w:spacing w:after="40" w:before="40"/>
      </w:pPr>
      <w:r>
        <w:rPr>
          <w:rFonts w:ascii="Arial" w:cs="Arial" w:eastAsia="Arial" w:hAnsi="Arial"/>
          <w:color w:val="2D2D2D"/>
          <w:sz w:val="19"/>
          <w:szCs w:val="19"/>
        </w:rPr>
        <w:t xml:space="preserve">Consistent spacing keeps every document visually aligned and gives each element room to read clearly. All spacing is created with empty paragraphs rather than paragraph spacing settings, so the gaps are visible and easy to edit.</w:t>
      </w:r>
    </w:p>
    <w:p>
      <w:pPr>
        <w:spacing w:after="40" w:before="120"/>
      </w:pPr>
      <w:r>
        <w:rPr>
          <w:rFonts w:ascii="Arial" w:cs="Arial" w:eastAsia="Arial" w:hAnsi="Arial"/>
          <w:color w:val="2D2D2D"/>
          <w:sz w:val="19"/>
          <w:szCs w:val="19"/>
        </w:rPr>
        <w:t xml:space="preserve">Apply the following spacing rules:</w:t>
      </w:r>
    </w:p>
    <w:p>
      <w:pPr>
        <w:pStyle w:val="ListParagraph"/>
        <w:numPr>
          <w:ilvl w:val="0"/>
          <w:numId w:val="2"/>
        </w:numPr>
        <w:spacing w:after="40" w:before="40"/>
      </w:pPr>
      <w:r>
        <w:rPr>
          <w:rFonts w:ascii="Arial" w:cs="Arial" w:eastAsia="Arial" w:hAnsi="Arial"/>
          <w:b/>
          <w:bCs/>
          <w:color w:val="1F3864"/>
          <w:sz w:val="19"/>
          <w:szCs w:val="19"/>
        </w:rPr>
        <w:t xml:space="preserve">Create spacing with empty paragraphs: </w:t>
      </w:r>
      <w:r>
        <w:rPr>
          <w:rFonts w:ascii="Arial" w:cs="Arial" w:eastAsia="Arial" w:hAnsi="Arial"/>
          <w:color w:val="2D2D2D"/>
          <w:sz w:val="19"/>
          <w:szCs w:val="19"/>
        </w:rPr>
        <w:t xml:space="preserve">create every line space by inserting an empty paragraph, the same as pressing Enter. Do not use the paragraph spacing-before or spacing-after settings to create the gap. The spacing-before and spacing-after values stay at zero, so the spacing is visible and easy to edit.</w:t>
      </w:r>
    </w:p>
    <w:p>
      <w:pPr>
        <w:pStyle w:val="ListParagraph"/>
        <w:numPr>
          <w:ilvl w:val="0"/>
          <w:numId w:val="2"/>
        </w:numPr>
        <w:spacing w:after="40" w:before="40"/>
      </w:pPr>
      <w:r>
        <w:rPr>
          <w:rFonts w:ascii="Arial" w:cs="Arial" w:eastAsia="Arial" w:hAnsi="Arial"/>
          <w:b/>
          <w:bCs/>
          <w:color w:val="1F3864"/>
          <w:sz w:val="19"/>
          <w:szCs w:val="19"/>
        </w:rPr>
        <w:t xml:space="preserve">Introduction to lead-in: </w:t>
      </w:r>
      <w:r>
        <w:rPr>
          <w:rFonts w:ascii="Arial" w:cs="Arial" w:eastAsia="Arial" w:hAnsi="Arial"/>
          <w:color w:val="2D2D2D"/>
          <w:sz w:val="19"/>
          <w:szCs w:val="19"/>
        </w:rPr>
        <w:t xml:space="preserve">insert one empty paragraph between an introduction paragraph and a bullet point lead-in sentence.</w:t>
      </w:r>
    </w:p>
    <w:p>
      <w:pPr>
        <w:pStyle w:val="ListParagraph"/>
        <w:numPr>
          <w:ilvl w:val="0"/>
          <w:numId w:val="2"/>
        </w:numPr>
        <w:spacing w:after="40" w:before="40"/>
      </w:pPr>
      <w:r>
        <w:rPr>
          <w:rFonts w:ascii="Arial" w:cs="Arial" w:eastAsia="Arial" w:hAnsi="Arial"/>
          <w:b/>
          <w:bCs/>
          <w:color w:val="1F3864"/>
          <w:sz w:val="19"/>
          <w:szCs w:val="19"/>
        </w:rPr>
        <w:t xml:space="preserve">Above headings: </w:t>
      </w:r>
      <w:r>
        <w:rPr>
          <w:rFonts w:ascii="Arial" w:cs="Arial" w:eastAsia="Arial" w:hAnsi="Arial"/>
          <w:color w:val="2D2D2D"/>
          <w:sz w:val="19"/>
          <w:szCs w:val="19"/>
        </w:rPr>
        <w:t xml:space="preserve">insert one empty paragraph above every heading.</w:t>
      </w:r>
    </w:p>
    <w:p>
      <w:pPr>
        <w:pStyle w:val="ListParagraph"/>
        <w:numPr>
          <w:ilvl w:val="0"/>
          <w:numId w:val="2"/>
        </w:numPr>
        <w:spacing w:after="40" w:before="40"/>
      </w:pPr>
      <w:r>
        <w:rPr>
          <w:rFonts w:ascii="Arial" w:cs="Arial" w:eastAsia="Arial" w:hAnsi="Arial"/>
          <w:b/>
          <w:bCs/>
          <w:color w:val="1F3864"/>
          <w:sz w:val="19"/>
          <w:szCs w:val="19"/>
        </w:rPr>
        <w:t xml:space="preserve">Around tables: </w:t>
      </w:r>
      <w:r>
        <w:rPr>
          <w:rFonts w:ascii="Arial" w:cs="Arial" w:eastAsia="Arial" w:hAnsi="Arial"/>
          <w:color w:val="2D2D2D"/>
          <w:sz w:val="19"/>
          <w:szCs w:val="19"/>
        </w:rPr>
        <w:t xml:space="preserve">insert one empty paragraph immediately above every table, including where a lead-in sentence supports the table, and one empty paragraph immediately after every table.</w:t>
      </w:r>
    </w:p>
    <w:p>
      <w:pPr>
        <w:pStyle w:val="ListParagraph"/>
        <w:numPr>
          <w:ilvl w:val="0"/>
          <w:numId w:val="2"/>
        </w:numPr>
        <w:spacing w:after="40" w:before="40"/>
      </w:pPr>
      <w:r>
        <w:rPr>
          <w:rFonts w:ascii="Arial" w:cs="Arial" w:eastAsia="Arial" w:hAnsi="Arial"/>
          <w:b/>
          <w:bCs/>
          <w:color w:val="1F3864"/>
          <w:sz w:val="19"/>
          <w:szCs w:val="19"/>
        </w:rPr>
        <w:t xml:space="preserve">Table cell padding: </w:t>
      </w:r>
      <w:r>
        <w:rPr>
          <w:rFonts w:ascii="Arial" w:cs="Arial" w:eastAsia="Arial" w:hAnsi="Arial"/>
          <w:color w:val="2D2D2D"/>
          <w:sz w:val="19"/>
          <w:szCs w:val="19"/>
        </w:rPr>
        <w:t xml:space="preserve">set table cell padding to 0.15 cm on the top and bottom, and 0.21 cm on the left and right.</w:t>
      </w:r>
    </w:p>
    <w:p>
      <w:pPr>
        <w:pStyle w:val="Heading2"/>
        <w:spacing w:after="60" w:before="240"/>
      </w:pPr>
      <w:r>
        <w:rPr>
          <w:rFonts w:ascii="Arial" w:cs="Arial" w:eastAsia="Arial" w:hAnsi="Arial"/>
          <w:b/>
          <w:bCs/>
          <w:color w:val="2E75B6"/>
          <w:sz w:val="22"/>
          <w:szCs w:val="22"/>
        </w:rPr>
        <w:t xml:space="preserve">Framework Compliance Mapping Table</w:t>
      </w:r>
    </w:p>
    <w:p>
      <w:pPr>
        <w:spacing w:after="40" w:before="40"/>
      </w:pPr>
      <w:r>
        <w:rPr>
          <w:rFonts w:ascii="Arial" w:cs="Arial" w:eastAsia="Arial" w:hAnsi="Arial"/>
          <w:color w:val="2D2D2D"/>
          <w:sz w:val="19"/>
          <w:szCs w:val="19"/>
        </w:rPr>
        <w:t xml:space="preserve">Every document carries a framework compliance mapping table at the back so the source of each requirement can be validated during the review period and then removed before issue.</w:t>
      </w:r>
    </w:p>
    <w:p>
      <w:pPr>
        <w:spacing w:after="40" w:before="120"/>
      </w:pPr>
      <w:r>
        <w:rPr>
          <w:rFonts w:ascii="Arial" w:cs="Arial" w:eastAsia="Arial" w:hAnsi="Arial"/>
          <w:color w:val="2D2D2D"/>
          <w:sz w:val="19"/>
          <w:szCs w:val="19"/>
        </w:rPr>
        <w:t xml:space="preserve">Build the framework compliance mapping table to capture the following for each requirement:</w:t>
      </w:r>
    </w:p>
    <w:p>
      <w:pPr>
        <w:pStyle w:val="ListParagraph"/>
        <w:numPr>
          <w:ilvl w:val="0"/>
          <w:numId w:val="2"/>
        </w:numPr>
        <w:spacing w:after="40" w:before="40"/>
      </w:pPr>
      <w:r>
        <w:rPr>
          <w:rFonts w:ascii="Arial" w:cs="Arial" w:eastAsia="Arial" w:hAnsi="Arial"/>
          <w:b/>
          <w:bCs/>
          <w:color w:val="1F3864"/>
          <w:sz w:val="19"/>
          <w:szCs w:val="19"/>
        </w:rPr>
        <w:t xml:space="preserve">Source framework: </w:t>
      </w:r>
      <w:r>
        <w:rPr>
          <w:rFonts w:ascii="Arial" w:cs="Arial" w:eastAsia="Arial" w:hAnsi="Arial"/>
          <w:color w:val="2D2D2D"/>
          <w:sz w:val="19"/>
          <w:szCs w:val="19"/>
        </w:rPr>
        <w:t xml:space="preserve">the framework the requirement comes from, such as RT, Appendix C, ICMM, IFC, TSM or OSHA.</w:t>
      </w:r>
    </w:p>
    <w:p>
      <w:pPr>
        <w:pStyle w:val="ListParagraph"/>
        <w:numPr>
          <w:ilvl w:val="0"/>
          <w:numId w:val="2"/>
        </w:numPr>
        <w:spacing w:after="40" w:before="40"/>
      </w:pPr>
      <w:r>
        <w:rPr>
          <w:rFonts w:ascii="Arial" w:cs="Arial" w:eastAsia="Arial" w:hAnsi="Arial"/>
          <w:b/>
          <w:bCs/>
          <w:color w:val="1F3864"/>
          <w:sz w:val="19"/>
          <w:szCs w:val="19"/>
        </w:rPr>
        <w:t xml:space="preserve">Requirement reference: </w:t>
      </w:r>
      <w:r>
        <w:rPr>
          <w:rFonts w:ascii="Arial" w:cs="Arial" w:eastAsia="Arial" w:hAnsi="Arial"/>
          <w:color w:val="2D2D2D"/>
          <w:sz w:val="19"/>
          <w:szCs w:val="19"/>
        </w:rPr>
        <w:t xml:space="preserve">the specific clause, principle or indicator within that framework.</w:t>
      </w:r>
    </w:p>
    <w:p>
      <w:pPr>
        <w:pStyle w:val="ListParagraph"/>
        <w:numPr>
          <w:ilvl w:val="0"/>
          <w:numId w:val="2"/>
        </w:numPr>
        <w:spacing w:after="40" w:before="40"/>
      </w:pPr>
      <w:r>
        <w:rPr>
          <w:rFonts w:ascii="Arial" w:cs="Arial" w:eastAsia="Arial" w:hAnsi="Arial"/>
          <w:b/>
          <w:bCs/>
          <w:color w:val="1F3864"/>
          <w:sz w:val="19"/>
          <w:szCs w:val="19"/>
        </w:rPr>
        <w:t xml:space="preserve">Requirement summary: </w:t>
      </w:r>
      <w:r>
        <w:rPr>
          <w:rFonts w:ascii="Arial" w:cs="Arial" w:eastAsia="Arial" w:hAnsi="Arial"/>
          <w:color w:val="2D2D2D"/>
          <w:sz w:val="19"/>
          <w:szCs w:val="19"/>
        </w:rPr>
        <w:t xml:space="preserve">a short statement of what the requirement was.</w:t>
      </w:r>
    </w:p>
    <w:p>
      <w:pPr>
        <w:pStyle w:val="ListParagraph"/>
        <w:numPr>
          <w:ilvl w:val="0"/>
          <w:numId w:val="2"/>
        </w:numPr>
        <w:spacing w:after="40" w:before="40"/>
      </w:pPr>
      <w:r>
        <w:rPr>
          <w:rFonts w:ascii="Arial" w:cs="Arial" w:eastAsia="Arial" w:hAnsi="Arial"/>
          <w:b/>
          <w:bCs/>
          <w:color w:val="1F3864"/>
          <w:sz w:val="19"/>
          <w:szCs w:val="19"/>
        </w:rPr>
        <w:t xml:space="preserve">How the document meets it: </w:t>
      </w:r>
      <w:r>
        <w:rPr>
          <w:rFonts w:ascii="Arial" w:cs="Arial" w:eastAsia="Arial" w:hAnsi="Arial"/>
          <w:color w:val="2D2D2D"/>
          <w:sz w:val="19"/>
          <w:szCs w:val="19"/>
        </w:rPr>
        <w:t xml:space="preserve">the section of the document that satisfies the requirement and how it does so.</w:t>
      </w:r>
    </w:p>
    <w:p>
      <w:pPr>
        <w:pStyle w:val="ListParagraph"/>
        <w:numPr>
          <w:ilvl w:val="0"/>
          <w:numId w:val="2"/>
        </w:numPr>
        <w:spacing w:after="40" w:before="40"/>
      </w:pPr>
      <w:r>
        <w:rPr>
          <w:rFonts w:ascii="Arial" w:cs="Arial" w:eastAsia="Arial" w:hAnsi="Arial"/>
          <w:b/>
          <w:bCs/>
          <w:color w:val="1F3864"/>
          <w:sz w:val="19"/>
          <w:szCs w:val="19"/>
        </w:rPr>
        <w:t xml:space="preserve">Pale-red removable format: </w:t>
      </w:r>
      <w:r>
        <w:rPr>
          <w:rFonts w:ascii="Arial" w:cs="Arial" w:eastAsia="Arial" w:hAnsi="Arial"/>
          <w:color w:val="2D2D2D"/>
          <w:sz w:val="19"/>
          <w:szCs w:val="19"/>
        </w:rPr>
        <w:t xml:space="preserve">head the section with a pale-red box in the same format as the yellow instruction box, using pale-red fill instead of yellow. The box marks the section as removable and is deleted before the document is issued.</w:t>
      </w:r>
    </w:p>
    <w:p>
      <w:pPr>
        <w:spacing w:after="40" w:before="120"/>
      </w:pPr>
      <w:r>
        <w:rPr>
          <w:rFonts w:ascii="Arial" w:cs="Arial" w:eastAsia="Arial" w:hAnsi="Arial"/>
          <w:color w:val="2D2D2D"/>
          <w:sz w:val="19"/>
          <w:szCs w:val="19"/>
        </w:rPr>
        <w:t xml:space="preserve">Use the following framework compliance mapping table template, completing one row per requirement: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left w:w="119" w:type="dxa"/>
          <w:bottom w:w="85" w:type="dxa"/>
          <w:right w:w="119" w:type="dxa"/>
        </w:tblCellMar>
      </w:tblPr>
      <w:tblGrid>
        <w:gridCol w:w="9360"/>
      </w:tblGrid>
      <w:tr>
        <w:tc>
          <w:tcPr>
            <w:tcW w:w="9360" w:type="dxa"/>
            <w:tcBorders>
              <w:top w:val="single" w:sz="1" w:space="0" w:color="CCCCCC"/>
              <w:left w:val="single" w:sz="1" w:space="0" w:color="CCCCCC"/>
              <w:bottom w:val="single" w:sz="1" w:space="0" w:color="CCCCCC"/>
              <w:right w:val="single" w:sz="1" w:space="0" w:color="CCCCCC"/>
            </w:tcBorders>
            <w:shd w:val="clear" w:color="auto" w:fill="F5C6B5"/>
            <w:tcMar>
              <w:top w:w="85" w:type="dxa"/>
              <w:left w:w="119" w:type="dxa"/>
              <w:bottom w:w="85" w:type="dxa"/>
              <w:right w:w="119" w:type="dxa"/>
            </w:tcMar>
          </w:tcPr>
          <w:p>
            <w:r>
              <w:rPr>
                <w:rFonts w:ascii="Arial" w:eastAsia="Arial" w:hAnsi="Arial" w:cs="Arial"/>
                <w:b/>
                <w:bCs/>
                <w:color w:val="993C1D"/>
                <w:sz w:val="16"/>
                <w:szCs w:val="16"/>
              </w:rPr>
              <w:t xml:space="preserve">REMOVABLE SECTION: Framework Compliance Mapping. Delete this section before the document is issued for approval.</w:t>
            </w:r>
          </w:p>
        </w:tc>
      </w:tr>
      <w:tr>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85" w:type="dxa"/>
              <w:left w:w="119" w:type="dxa"/>
              <w:bottom w:w="85" w:type="dxa"/>
              <w:right w:w="119" w:type="dxa"/>
            </w:tcMar>
          </w:tcPr>
          <w:p>
            <w:r>
              <w:rPr>
                <w:rFonts w:ascii="Arial" w:eastAsia="Arial" w:hAnsi="Arial" w:cs="Arial"/>
                <w:color w:val="5A2410"/>
                <w:sz w:val="16"/>
                <w:szCs w:val="16"/>
              </w:rPr>
              <w:t xml:space="preserve">This table records how the document meets each framework requirement, so the source of each requirement can be validated during the review period. It is formatted as a pale-red box to mark it as a removable section. Remove the whole section once the review is complete.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860"/>
        <w:gridCol w:w="3000"/>
      </w:tblGrid>
      <w:tr>
        <w:tc>
          <w:tcPr>
            <w:tcW w:w="1600" w:type="dxa"/>
            <w:tcBorders>
              <w:top w:val="single" w:color="CCCCCC" w:sz="1"/>
              <w:left w:val="single" w:color="CCCCCC" w:sz="1"/>
              <w:bottom w:val="single" w:color="CCCCCC" w:sz="1"/>
              <w:right w:val="single" w:color="CCCCCC" w:sz="1"/>
            </w:tcBorders>
            <w:shd w:val="clear" w:color="auto" w:fill="1F3864"/>
            <w:tcMar>
              <w:top w:w="60" w:type="dxa"/>
              <w:left w:w="100" w:type="dxa"/>
              <w:bottom w:w="60" w:type="dxa"/>
              <w:right w:w="100" w:type="dxa"/>
            </w:tcMar>
          </w:tcPr>
          <w:p>
            <w:pPr>
              <w:spacing w:after="20" w:before="20"/>
            </w:pPr>
            <w:r>
              <w:rPr>
                <w:rFonts w:ascii="Arial" w:cs="Arial" w:eastAsia="Arial" w:hAnsi="Arial"/>
                <w:b/>
                <w:bCs/>
                <w:color w:val="FFFFFF"/>
                <w:sz w:val="16"/>
                <w:szCs w:val="16"/>
              </w:rPr>
              <w:t xml:space="preserve">Source framework</w:t>
            </w:r>
          </w:p>
        </w:tc>
        <w:tc>
          <w:tcPr>
            <w:tcW w:w="1900" w:type="dxa"/>
            <w:tcBorders>
              <w:top w:val="single" w:color="CCCCCC" w:sz="1"/>
              <w:left w:val="single" w:color="CCCCCC" w:sz="1"/>
              <w:bottom w:val="single" w:color="CCCCCC" w:sz="1"/>
              <w:right w:val="single" w:color="CCCCCC" w:sz="1"/>
            </w:tcBorders>
            <w:shd w:val="clear" w:color="auto" w:fill="1F3864"/>
            <w:tcMar>
              <w:top w:w="60" w:type="dxa"/>
              <w:left w:w="100" w:type="dxa"/>
              <w:bottom w:w="60" w:type="dxa"/>
              <w:right w:w="100" w:type="dxa"/>
            </w:tcMar>
          </w:tcPr>
          <w:p>
            <w:pPr>
              <w:spacing w:after="20" w:before="20"/>
            </w:pPr>
            <w:r>
              <w:rPr>
                <w:rFonts w:ascii="Arial" w:cs="Arial" w:eastAsia="Arial" w:hAnsi="Arial"/>
                <w:b/>
                <w:bCs/>
                <w:color w:val="FFFFFF"/>
                <w:sz w:val="16"/>
                <w:szCs w:val="16"/>
              </w:rPr>
              <w:t xml:space="preserve">Requirement reference</w:t>
            </w:r>
          </w:p>
        </w:tc>
        <w:tc>
          <w:tcPr>
            <w:tcW w:w="2860" w:type="dxa"/>
            <w:tcBorders>
              <w:top w:val="single" w:color="CCCCCC" w:sz="1"/>
              <w:left w:val="single" w:color="CCCCCC" w:sz="1"/>
              <w:bottom w:val="single" w:color="CCCCCC" w:sz="1"/>
              <w:right w:val="single" w:color="CCCCCC" w:sz="1"/>
            </w:tcBorders>
            <w:shd w:val="clear" w:color="auto" w:fill="1F3864"/>
            <w:tcMar>
              <w:top w:w="60" w:type="dxa"/>
              <w:left w:w="100" w:type="dxa"/>
              <w:bottom w:w="60" w:type="dxa"/>
              <w:right w:w="100" w:type="dxa"/>
            </w:tcMar>
          </w:tcPr>
          <w:p>
            <w:pPr>
              <w:spacing w:after="20" w:before="20"/>
            </w:pPr>
            <w:r>
              <w:rPr>
                <w:rFonts w:ascii="Arial" w:cs="Arial" w:eastAsia="Arial" w:hAnsi="Arial"/>
                <w:b/>
                <w:bCs/>
                <w:color w:val="FFFFFF"/>
                <w:sz w:val="16"/>
                <w:szCs w:val="16"/>
              </w:rPr>
              <w:t xml:space="preserve">Requirement summary</w:t>
            </w:r>
          </w:p>
        </w:tc>
        <w:tc>
          <w:tcPr>
            <w:tcW w:w="3000" w:type="dxa"/>
            <w:tcBorders>
              <w:top w:val="single" w:color="CCCCCC" w:sz="1"/>
              <w:left w:val="single" w:color="CCCCCC" w:sz="1"/>
              <w:bottom w:val="single" w:color="CCCCCC" w:sz="1"/>
              <w:right w:val="single" w:color="CCCCCC" w:sz="1"/>
            </w:tcBorders>
            <w:shd w:val="clear" w:color="auto" w:fill="1F3864"/>
            <w:tcMar>
              <w:top w:w="60" w:type="dxa"/>
              <w:left w:w="100" w:type="dxa"/>
              <w:bottom w:w="60" w:type="dxa"/>
              <w:right w:w="100" w:type="dxa"/>
            </w:tcMar>
          </w:tcPr>
          <w:p>
            <w:pPr>
              <w:spacing w:after="20" w:before="20"/>
            </w:pPr>
            <w:r>
              <w:rPr>
                <w:rFonts w:ascii="Arial" w:cs="Arial" w:eastAsia="Arial" w:hAnsi="Arial"/>
                <w:b/>
                <w:bCs/>
                <w:color w:val="FFFFFF"/>
                <w:sz w:val="16"/>
                <w:szCs w:val="16"/>
              </w:rPr>
              <w:t xml:space="preserve">How this document meets it</w:t>
            </w:r>
          </w:p>
        </w:tc>
      </w:tr>
      <w:tr>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b/>
                <w:bCs/>
                <w:color w:val="0059D1"/>
                <w:sz w:val="16"/>
                <w:szCs w:val="16"/>
              </w:rPr>
              <w:t xml:space="preserve">[Framework]</w:t>
            </w:r>
          </w:p>
        </w:tc>
        <w:tc>
          <w:tcPr>
            <w:tcW w:w="1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b/>
                <w:bCs/>
                <w:color w:val="0059D1"/>
                <w:sz w:val="16"/>
                <w:szCs w:val="16"/>
              </w:rPr>
              <w:t xml:space="preserve">[Clause or principle]</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b/>
                <w:bCs/>
                <w:color w:val="0059D1"/>
                <w:sz w:val="16"/>
                <w:szCs w:val="16"/>
              </w:rPr>
              <w:t xml:space="preserve">[What the requirement was]</w:t>
            </w:r>
          </w:p>
        </w:tc>
        <w:tc>
          <w:tcPr>
            <w:tcW w:w="3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b/>
                <w:bCs/>
                <w:color w:val="0059D1"/>
                <w:sz w:val="16"/>
                <w:szCs w:val="16"/>
              </w:rPr>
              <w:t xml:space="preserve">[Section and how it is met]</w:t>
            </w:r>
          </w:p>
        </w:tc>
      </w:tr>
      <w:tr>
        <w:tc>
          <w:tcPr>
            <w:tcW w:w="16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b/>
                <w:bCs/>
                <w:color w:val="0059D1"/>
                <w:sz w:val="16"/>
                <w:szCs w:val="16"/>
              </w:rPr>
              <w:t xml:space="preserve">[Framework]</w:t>
            </w:r>
          </w:p>
        </w:tc>
        <w:tc>
          <w:tcPr>
            <w:tcW w:w="19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b/>
                <w:bCs/>
                <w:color w:val="0059D1"/>
                <w:sz w:val="16"/>
                <w:szCs w:val="16"/>
              </w:rPr>
              <w:t xml:space="preserve">[Clause or principle]</w:t>
            </w:r>
          </w:p>
        </w:tc>
        <w:tc>
          <w:tcPr>
            <w:tcW w:w="286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b/>
                <w:bCs/>
                <w:color w:val="0059D1"/>
                <w:sz w:val="16"/>
                <w:szCs w:val="16"/>
              </w:rPr>
              <w:t xml:space="preserve">[What the requirement was]</w:t>
            </w:r>
          </w:p>
        </w:tc>
        <w:tc>
          <w:tcPr>
            <w:tcW w:w="3000" w:type="dxa"/>
            <w:tcBorders>
              <w:top w:val="single" w:color="CCCCCC" w:sz="1"/>
              <w:left w:val="single" w:color="CCCCCC" w:sz="1"/>
              <w:bottom w:val="single" w:color="CCCCCC" w:sz="1"/>
              <w:right w:val="single" w:color="CCCCCC" w:sz="1"/>
            </w:tcBorders>
            <w:tcMar>
              <w:top w:w="60" w:type="dxa"/>
              <w:left w:w="100" w:type="dxa"/>
              <w:bottom w:w="60" w:type="dxa"/>
              <w:right w:w="100" w:type="dxa"/>
            </w:tcMar>
          </w:tcPr>
          <w:p>
            <w:pPr>
              <w:spacing w:after="20" w:before="20"/>
            </w:pPr>
            <w:r>
              <w:rPr>
                <w:rFonts w:ascii="Arial" w:cs="Arial" w:eastAsia="Arial" w:hAnsi="Arial"/>
                <w:b/>
                <w:bCs/>
                <w:color w:val="0059D1"/>
                <w:sz w:val="16"/>
                <w:szCs w:val="16"/>
              </w:rPr>
              <w:t xml:space="preserve">[Section and how it is met]</w:t>
            </w:r>
          </w:p>
        </w:tc>
      </w:tr>
    </w:tbl>
    <w:p>
      <w:pPr>
        <w:pStyle w:val="Normal"/>
        <w:spacing w:after="60" w:before="40"/>
      </w:pPr>
      <w:r>
        <w:rPr>
          <w:rFonts w:ascii="Arial" w:cs="Arial" w:eastAsia="Arial" w:hAnsi="Arial"/>
          <w:color w:val="2D2D2D"/>
          <w:sz w:val="19"/>
          <w:szCs w:val="19"/>
        </w:rPr>
        <w:t xml:space="preserve">The framework compliance mapping section contains two tables. Table A records every requirement addressed in the document, the section where it is covered, and whether the coverage is full or partial. Table B records every requirement from external sources that is not fully addressed in the document, with a written justification for each gap. Justification for gaps in Table B must be specific: state which standalone procedure owns the requirement, or state the business decision that excludes it, or state that the requirement is addressed through an operational control outside this document. Generic justifications such as “not applicable” or “addressed elsewhere” without naming the specific location are not acceptable.</w:t>
      </w:r>
    </w:p>
    <w:p>
      <w:pPr>
        <w:pStyle w:val="Normal"/>
        <w:spacing w:after="60" w:before="40"/>
      </w:pPr>
      <w:r>
        <w:rPr>
          <w:rFonts w:ascii="Arial" w:cs="Arial" w:eastAsia="Arial" w:hAnsi="Arial"/>
          <w:color w:val="2D2D2D"/>
          <w:sz w:val="19"/>
          <w:szCs w:val="19"/>
        </w:rPr>
        <w:t xml:space="preserve">Extend the framework compliance mapping table template to include Table B using the following structure:</w:t>
      </w:r>
    </w:p>
    <w:p>
      <w:pPr>
        <w:pStyle w:val="Normal"/>
        <w:spacing w:after="60" w:before="40"/>
      </w:pPr>
      <w:r>
        <w:rPr>
          <w:rFonts w:ascii="Arial" w:cs="Arial" w:eastAsia="Arial" w:hAnsi="Arial"/>
          <w:color w:val="2D2D2D"/>
          <w:sz w:val="19"/>
          <w:szCs w:val="19"/>
        </w:rPr>
        <w:t xml:space="preserve">REMOVABLE SECTION: Requirements Not Fully Addressed. Delete this table together with Table A before the document is issued for approval. This table records requirements from external sources that are not fully addressed in this document, with written justification for each. It is formatted as a pale-red box to mark it as a removable section.</w:t>
      </w:r>
    </w:p>
    <w:p>
      <w:pPr>
        <w:pStyle w:val="ListParagraph"/>
        <w:numPr>
          <w:ilvl w:val="0"/>
          <w:numId w:val="2"/>
        </w:numPr>
        <w:spacing w:after="40" w:before="40"/>
      </w:pPr>
      <w:r>
        <w:rPr>
          <w:rFonts w:ascii="Arial" w:cs="Arial" w:eastAsia="Arial" w:hAnsi="Arial"/>
          <w:color w:val="2D2D2D"/>
          <w:sz w:val="19"/>
          <w:szCs w:val="19"/>
        </w:rPr>
        <w:t xml:space="preserve">Requirement not covered: a short description of the requirement that is not fully addressed.</w:t>
      </w:r>
    </w:p>
    <w:p>
      <w:pPr>
        <w:pStyle w:val="ListParagraph"/>
        <w:numPr>
          <w:ilvl w:val="0"/>
          <w:numId w:val="2"/>
        </w:numPr>
        <w:spacing w:after="40" w:before="40"/>
      </w:pPr>
      <w:r>
        <w:rPr>
          <w:rFonts w:ascii="Arial" w:cs="Arial" w:eastAsia="Arial" w:hAnsi="Arial"/>
          <w:color w:val="2D2D2D"/>
          <w:sz w:val="19"/>
          <w:szCs w:val="19"/>
        </w:rPr>
        <w:t xml:space="preserve">Source: the framework and clause reference, for example Appendix C, C-1 §24.5.</w:t>
      </w:r>
    </w:p>
    <w:p>
      <w:pPr>
        <w:pStyle w:val="ListParagraph"/>
        <w:numPr>
          <w:ilvl w:val="0"/>
          <w:numId w:val="2"/>
        </w:numPr>
        <w:spacing w:after="40" w:before="40"/>
      </w:pPr>
      <w:r>
        <w:rPr>
          <w:rFonts w:ascii="Arial" w:cs="Arial" w:eastAsia="Arial" w:hAnsi="Arial"/>
          <w:color w:val="2D2D2D"/>
          <w:sz w:val="19"/>
          <w:szCs w:val="19"/>
        </w:rPr>
        <w:t xml:space="preserve">Justification: a specific written explanation of why the requirement is not fully addressed in this document. Acceptable justifications are: (a) the requirement is owned by a named standalone procedure and this document cross-references it; (b) the requirement is excluded by a specific business decision endorsed by project leadership, named here; or (c) the requirement is addressed through an operational control outside this document, identified here.</w:t>
      </w:r>
    </w:p>
    <w:p>
      <w:pPr>
        <w:pStyle w:val="Heading1"/>
        <w:pBdr>
          <w:bottom w:val="single" w:color="2E75B6" w:sz="8" w:space="4"/>
        </w:pBdr>
        <w:spacing w:after="100" w:before="560"/>
      </w:pPr>
      <w:r>
        <w:rPr>
          <w:rFonts w:ascii="Arial" w:cs="Arial" w:eastAsia="Arial" w:hAnsi="Arial"/>
          <w:b/>
          <w:bCs/>
          <w:color w:val="1F3864"/>
          <w:sz w:val="28"/>
          <w:szCs w:val="28"/>
        </w:rPr>
        <w:t xml:space="preserve">SECTION 6 — Critical Cross-Reference Summary</w:t>
      </w:r>
    </w:p>
    <w:p>
      <w:pPr>
        <w:spacing w:after="40" w:before="40"/>
      </w:pPr>
      <w:r>
        <w:rPr>
          <w:rFonts w:ascii="Arial" w:cs="Arial" w:eastAsia="Arial" w:hAnsi="Arial"/>
          <w:color w:val="2D2D2D"/>
          <w:sz w:val="19"/>
          <w:szCs w:val="19"/>
        </w:rPr>
        <w:t xml:space="preserve">The following five cross-references are the most critical in the system. Every single operational procedure references at least three of these. Technical writers must be fluent in these before writing.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gridSpan w:val="2"/>
            <w:tcBorders>
              <w:top w:val="single" w:color="CCCCCC" w:sz="1"/>
              <w:left w:val="single" w:color="CCCCCC" w:sz="1"/>
              <w:bottom w:val="single" w:color="CCCCCC" w:sz="1"/>
              <w:right w:val="single" w:color="CCCCCC" w:sz="1"/>
            </w:tcBorders>
            <w:shd w:fill="7F6000" w:val="clear"/>
            <w:tcMar>
              <w:top w:type="dxa" w:w="60"/>
              <w:left w:type="dxa" w:w="120"/>
              <w:bottom w:type="dxa" w:w="60"/>
              <w:right w:type="dxa" w:w="120"/>
            </w:tcMar>
          </w:tcPr>
          <w:p>
            <w:r>
              <w:rPr>
                <w:rFonts w:ascii="Arial" w:cs="Arial" w:eastAsia="Arial" w:hAnsi="Arial"/>
                <w:b/>
                <w:bCs/>
                <w:color w:val="FFFFFF"/>
                <w:sz w:val="19"/>
                <w:szCs w:val="19"/>
              </w:rPr>
              <w:t xml:space="preserve">RTPR-HSE-PRO-0002 — HSESC Risk Management</w:t>
            </w:r>
          </w:p>
        </w:tc>
      </w:tr>
      <w:tr>
        <w:tc>
          <w:tcPr>
            <w:tcW w:type="dxa" w:w="48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7"/>
                <w:szCs w:val="17"/>
              </w:rPr>
              <w:t xml:space="preserve">Rule</w:t>
            </w:r>
          </w:p>
        </w:tc>
        <w:tc>
          <w:tcPr>
            <w:tcBorders>
              <w:top w:val="single" w:color="CCCCCC" w:sz="1"/>
              <w:left w:val="single" w:color="CCCCCC" w:sz="1"/>
              <w:bottom w:val="single" w:color="CCCCCC" w:sz="1"/>
              <w:right w:val="single" w:color="CCCCCC" w:sz="1"/>
            </w:tcBorders>
            <w:shd w:fill="FAFAFA" w:val="clear"/>
            <w:tcMar>
              <w:top w:type="dxa" w:w="60"/>
              <w:left w:type="dxa" w:w="60"/>
              <w:bottom w:type="dxa" w:w="60"/>
              <w:right w:type="dxa" w:w="120"/>
            </w:tcMar>
          </w:tcPr>
          <w:p>
            <w:r>
              <w:rPr>
                <w:rFonts w:ascii="Arial" w:cs="Arial" w:eastAsia="Arial" w:hAnsi="Arial"/>
                <w:color w:val="2D2D2D"/>
                <w:sz w:val="17"/>
                <w:szCs w:val="17"/>
              </w:rPr>
              <w:t xml:space="preserve">All operational procedures that require a risk assessment reference RTPR-HSE-PRO-0002 for the risk matrix and hierarchy of controls. They do not describe the matrix. The phrase is: 'Complete a risk assessment using the project Risk Matrix and hierarchy of controls, refer RTPR-HSE-PRO-0002.'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RTPR-HSE-PRO-0021 — Permit to Work</w:t>
            </w:r>
          </w:p>
        </w:tc>
      </w:tr>
      <w:tr>
        <w:tc>
          <w:tcPr>
            <w:tcW w:type="dxa" w:w="480"/>
            <w:tcBorders>
              <w:top w:val="single" w:color="CCCCCC" w:sz="1"/>
              <w:left w:val="single" w:color="CCCCCC" w:sz="1"/>
              <w:bottom w:val="single" w:color="CCCCCC" w:sz="1"/>
              <w:right w:val="single" w:color="CCCCCC" w:sz="1"/>
            </w:tcBorders>
            <w:shd w:fill="DEEAF1" w:val="clear"/>
            <w:tcMar>
              <w:top w:type="dxa" w:w="60"/>
              <w:left w:type="dxa" w:w="120"/>
              <w:bottom w:type="dxa" w:w="60"/>
              <w:right w:type="dxa" w:w="60"/>
            </w:tcMar>
          </w:tcPr>
          <w:p>
            <w:r>
              <w:rPr>
                <w:rFonts w:ascii="Arial" w:cs="Arial" w:eastAsia="Arial" w:hAnsi="Arial"/>
                <w:b/>
                <w:bCs/>
                <w:color w:val="2E75B6"/>
                <w:sz w:val="17"/>
                <w:szCs w:val="17"/>
              </w:rPr>
              <w:t xml:space="preserve">Rule</w:t>
            </w:r>
          </w:p>
        </w:tc>
        <w:tc>
          <w:tcPr>
            <w:tcBorders>
              <w:top w:val="single" w:color="CCCCCC" w:sz="1"/>
              <w:left w:val="single" w:color="CCCCCC" w:sz="1"/>
              <w:bottom w:val="single" w:color="CCCCCC" w:sz="1"/>
              <w:right w:val="single" w:color="CCCCCC" w:sz="1"/>
            </w:tcBorders>
            <w:shd w:fill="FAFAFA" w:val="clear"/>
            <w:tcMar>
              <w:top w:type="dxa" w:w="60"/>
              <w:left w:type="dxa" w:w="60"/>
              <w:bottom w:type="dxa" w:w="60"/>
              <w:right w:type="dxa" w:w="120"/>
            </w:tcMar>
          </w:tcPr>
          <w:p>
            <w:r>
              <w:rPr>
                <w:rFonts w:ascii="Arial" w:cs="Arial" w:eastAsia="Arial" w:hAnsi="Arial"/>
                <w:color w:val="2D2D2D"/>
                <w:sz w:val="17"/>
                <w:szCs w:val="17"/>
              </w:rPr>
              <w:t xml:space="preserve">All procedures requiring a work permit reference RTPR-HSE-PRO-0021 for the permit process. They do not state permit content, roles, or lifecycle. The phrase is: 'Raise a permit via the site PTW system before commencing work, refer RTPR-HSE-PRO-0021.'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gridSpan w:val="2"/>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20"/>
            </w:tcMar>
          </w:tcPr>
          <w:p>
            <w:r>
              <w:rPr>
                <w:rFonts w:ascii="Arial" w:cs="Arial" w:eastAsia="Arial" w:hAnsi="Arial"/>
                <w:b/>
                <w:bCs/>
                <w:color w:val="FFFFFF"/>
                <w:sz w:val="19"/>
                <w:szCs w:val="19"/>
              </w:rPr>
              <w:t xml:space="preserve">RTPR-HSE-PRO-0009 — Incident &amp; Action Management</w:t>
            </w:r>
          </w:p>
        </w:tc>
      </w:tr>
      <w:tr>
        <w:tc>
          <w:tcPr>
            <w:tcW w:type="dxa" w:w="480"/>
            <w:tcBorders>
              <w:top w:val="single" w:color="CCCCCC" w:sz="1"/>
              <w:left w:val="single" w:color="CCCCCC" w:sz="1"/>
              <w:bottom w:val="single" w:color="CCCCCC" w:sz="1"/>
              <w:right w:val="single" w:color="CCCCCC" w:sz="1"/>
            </w:tcBorders>
            <w:shd w:fill="D6DCE4" w:val="clear"/>
            <w:tcMar>
              <w:top w:type="dxa" w:w="60"/>
              <w:left w:type="dxa" w:w="120"/>
              <w:bottom w:type="dxa" w:w="60"/>
              <w:right w:type="dxa" w:w="60"/>
            </w:tcMar>
          </w:tcPr>
          <w:p>
            <w:r>
              <w:rPr>
                <w:rFonts w:ascii="Arial" w:cs="Arial" w:eastAsia="Arial" w:hAnsi="Arial"/>
                <w:b/>
                <w:bCs/>
                <w:color w:val="1F3864"/>
                <w:sz w:val="17"/>
                <w:szCs w:val="17"/>
              </w:rPr>
              <w:t xml:space="preserve">Rule</w:t>
            </w:r>
          </w:p>
        </w:tc>
        <w:tc>
          <w:tcPr>
            <w:tcBorders>
              <w:top w:val="single" w:color="CCCCCC" w:sz="1"/>
              <w:left w:val="single" w:color="CCCCCC" w:sz="1"/>
              <w:bottom w:val="single" w:color="CCCCCC" w:sz="1"/>
              <w:right w:val="single" w:color="CCCCCC" w:sz="1"/>
            </w:tcBorders>
            <w:shd w:fill="FAFAFA" w:val="clear"/>
            <w:tcMar>
              <w:top w:type="dxa" w:w="60"/>
              <w:left w:type="dxa" w:w="60"/>
              <w:bottom w:type="dxa" w:w="60"/>
              <w:right w:type="dxa" w:w="120"/>
            </w:tcMar>
          </w:tcPr>
          <w:p>
            <w:r>
              <w:rPr>
                <w:rFonts w:ascii="Arial" w:cs="Arial" w:eastAsia="Arial" w:hAnsi="Arial"/>
                <w:color w:val="2D2D2D"/>
                <w:sz w:val="17"/>
                <w:szCs w:val="17"/>
              </w:rPr>
              <w:t xml:space="preserve">All procedures that mention incident reporting reference RTPR-HSE-PRO-0009. They do not re-state notification timelines or classifications. The phrase is: 'Report all incidents and near misses per the project incident classification and notification requirements, refer RTPR-HSE-PRO-0009.'</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gridSpan w:val="2"/>
            <w:tcBorders>
              <w:top w:val="single" w:color="CCCCCC" w:sz="1"/>
              <w:left w:val="single" w:color="CCCCCC" w:sz="1"/>
              <w:bottom w:val="single" w:color="CCCCCC" w:sz="1"/>
              <w:right w:val="single" w:color="CCCCCC" w:sz="1"/>
            </w:tcBorders>
            <w:shd w:fill="375623" w:val="clear"/>
            <w:tcMar>
              <w:top w:type="dxa" w:w="60"/>
              <w:left w:type="dxa" w:w="120"/>
              <w:bottom w:type="dxa" w:w="60"/>
              <w:right w:type="dxa" w:w="120"/>
            </w:tcMar>
          </w:tcPr>
          <w:p>
            <w:r>
              <w:rPr>
                <w:rFonts w:ascii="Arial" w:cs="Arial" w:eastAsia="Arial" w:hAnsi="Arial"/>
                <w:b/>
                <w:bCs/>
                <w:color w:val="FFFFFF"/>
                <w:sz w:val="19"/>
                <w:szCs w:val="19"/>
              </w:rPr>
              <w:t xml:space="preserve">RTPR-HSE-PRO-0004 — Training, Competency &amp; Awareness</w:t>
            </w:r>
          </w:p>
        </w:tc>
      </w:tr>
      <w:tr>
        <w:tc>
          <w:tcPr>
            <w:tcW w:type="dxa" w:w="480"/>
            <w:tcBorders>
              <w:top w:val="single" w:color="CCCCCC" w:sz="1"/>
              <w:left w:val="single" w:color="CCCCCC" w:sz="1"/>
              <w:bottom w:val="single" w:color="CCCCCC" w:sz="1"/>
              <w:right w:val="single" w:color="CCCCCC" w:sz="1"/>
            </w:tcBorders>
            <w:shd w:fill="E2EFDA" w:val="clear"/>
            <w:tcMar>
              <w:top w:type="dxa" w:w="60"/>
              <w:left w:type="dxa" w:w="120"/>
              <w:bottom w:type="dxa" w:w="60"/>
              <w:right w:type="dxa" w:w="60"/>
            </w:tcMar>
          </w:tcPr>
          <w:p>
            <w:r>
              <w:rPr>
                <w:rFonts w:ascii="Arial" w:cs="Arial" w:eastAsia="Arial" w:hAnsi="Arial"/>
                <w:b/>
                <w:bCs/>
                <w:color w:val="375623"/>
                <w:sz w:val="17"/>
                <w:szCs w:val="17"/>
              </w:rPr>
              <w:t xml:space="preserve">Rule</w:t>
            </w:r>
          </w:p>
        </w:tc>
        <w:tc>
          <w:tcPr>
            <w:tcBorders>
              <w:top w:val="single" w:color="CCCCCC" w:sz="1"/>
              <w:left w:val="single" w:color="CCCCCC" w:sz="1"/>
              <w:bottom w:val="single" w:color="CCCCCC" w:sz="1"/>
              <w:right w:val="single" w:color="CCCCCC" w:sz="1"/>
            </w:tcBorders>
            <w:shd w:fill="FAFAFA" w:val="clear"/>
            <w:tcMar>
              <w:top w:type="dxa" w:w="60"/>
              <w:left w:type="dxa" w:w="60"/>
              <w:bottom w:type="dxa" w:w="60"/>
              <w:right w:type="dxa" w:w="120"/>
            </w:tcMar>
          </w:tcPr>
          <w:p>
            <w:r>
              <w:rPr>
                <w:rFonts w:ascii="Arial" w:cs="Arial" w:eastAsia="Arial" w:hAnsi="Arial"/>
                <w:color w:val="2D2D2D"/>
                <w:sz w:val="17"/>
                <w:szCs w:val="17"/>
              </w:rPr>
              <w:t xml:space="preserve">All procedures that list competency requirements reference RTPR-HSE-PRO-0004 for documentation. They list what competency is required, then say: 'Document and verify all competency in the project Training Matrix, refer RTPR-HSE-PRO-0004.'</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gridSpan w:val="2"/>
            <w:tcBorders>
              <w:top w:val="single" w:color="CCCCCC" w:sz="1"/>
              <w:left w:val="single" w:color="CCCCCC" w:sz="1"/>
              <w:bottom w:val="single" w:color="CCCCCC" w:sz="1"/>
              <w:right w:val="single" w:color="CCCCCC" w:sz="1"/>
            </w:tcBorders>
            <w:shd w:fill="3E1F6B" w:val="clear"/>
            <w:tcMar>
              <w:top w:type="dxa" w:w="60"/>
              <w:left w:type="dxa" w:w="120"/>
              <w:bottom w:type="dxa" w:w="60"/>
              <w:right w:type="dxa" w:w="120"/>
            </w:tcMar>
          </w:tcPr>
          <w:p>
            <w:r>
              <w:rPr>
                <w:rFonts w:ascii="Arial" w:cs="Arial" w:eastAsia="Arial" w:hAnsi="Arial"/>
                <w:b/>
                <w:bCs/>
                <w:color w:val="FFFFFF"/>
                <w:sz w:val="19"/>
                <w:szCs w:val="19"/>
              </w:rPr>
              <w:t xml:space="preserve">RTPR-HSE-PRO-0010 — Documentation &amp; Document Control</w:t>
            </w:r>
          </w:p>
        </w:tc>
      </w:tr>
      <w:tr>
        <w:tc>
          <w:tcPr>
            <w:tcW w:type="dxa" w:w="480"/>
            <w:tcBorders>
              <w:top w:val="single" w:color="CCCCCC" w:sz="1"/>
              <w:left w:val="single" w:color="CCCCCC" w:sz="1"/>
              <w:bottom w:val="single" w:color="CCCCCC" w:sz="1"/>
              <w:right w:val="single" w:color="CCCCCC" w:sz="1"/>
            </w:tcBorders>
            <w:shd w:fill="EAE0F4" w:val="clear"/>
            <w:tcMar>
              <w:top w:type="dxa" w:w="60"/>
              <w:left w:type="dxa" w:w="120"/>
              <w:bottom w:type="dxa" w:w="60"/>
              <w:right w:type="dxa" w:w="60"/>
            </w:tcMar>
          </w:tcPr>
          <w:p>
            <w:r>
              <w:rPr>
                <w:rFonts w:ascii="Arial" w:cs="Arial" w:eastAsia="Arial" w:hAnsi="Arial"/>
                <w:b/>
                <w:bCs/>
                <w:color w:val="3E1F6B"/>
                <w:sz w:val="17"/>
                <w:szCs w:val="17"/>
              </w:rPr>
              <w:t xml:space="preserve">Rule</w:t>
            </w:r>
          </w:p>
        </w:tc>
        <w:tc>
          <w:tcPr>
            <w:tcBorders>
              <w:top w:val="single" w:color="CCCCCC" w:sz="1"/>
              <w:left w:val="single" w:color="CCCCCC" w:sz="1"/>
              <w:bottom w:val="single" w:color="CCCCCC" w:sz="1"/>
              <w:right w:val="single" w:color="CCCCCC" w:sz="1"/>
            </w:tcBorders>
            <w:shd w:fill="FAFAFA" w:val="clear"/>
            <w:tcMar>
              <w:top w:type="dxa" w:w="60"/>
              <w:left w:type="dxa" w:w="60"/>
              <w:bottom w:type="dxa" w:w="60"/>
              <w:right w:type="dxa" w:w="120"/>
            </w:tcMar>
          </w:tcPr>
          <w:p>
            <w:r>
              <w:rPr>
                <w:rFonts w:ascii="Arial" w:cs="Arial" w:eastAsia="Arial" w:hAnsi="Arial"/>
                <w:color w:val="2D2D2D"/>
                <w:sz w:val="17"/>
                <w:szCs w:val="17"/>
              </w:rPr>
              <w:t xml:space="preserve">All procedures state in their header/scope: 'This procedure is subject to the project Document Control Procedure (refer RTPR-HSE-PRO-0010).' No procedure re-states revision numbering, approval authorities, or distribution requirements.</w:t>
            </w:r>
          </w:p>
        </w:tc>
      </w:tr>
    </w:tbl>
    <w:p>
      <w:pPr>
        <w:spacing w:after="0" w:before="8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SECTION 7 — PROCEDURE BRIEFS</w:t>
      </w:r>
    </w:p>
    <w:p>
      <w:pPr>
        <w:spacing w:after="40" w:before="40"/>
      </w:pPr>
      <w:r>
        <w:rPr>
          <w:rFonts w:ascii="Arial" w:cs="Arial" w:eastAsia="Arial" w:hAnsi="Arial"/>
          <w:color w:val="2D2D2D"/>
          <w:sz w:val="19"/>
          <w:szCs w:val="19"/>
        </w:rPr>
        <w:t xml:space="preserve">The following 47 procedure briefs define the content, source requirements, cross-references, and project completion guidance for each document in the HSESC Management System. Each brief follows the same structure:</w:t>
      </w:r>
    </w:p>
    <w:p>
      <w:pPr>
        <w:pStyle w:val="ListParagraph"/>
        <w:numPr>
          <w:ilvl w:val="0"/>
          <w:numId w:val="2"/>
        </w:numPr>
        <w:spacing w:after="40" w:before="40"/>
      </w:pPr>
      <w:r>
        <w:rPr>
          <w:rFonts w:ascii="Arial" w:cs="Arial" w:eastAsia="Arial" w:hAnsi="Arial"/>
          <w:b/>
          <w:bCs/>
          <w:color w:val="2E75B6"/>
          <w:sz w:val="19"/>
          <w:szCs w:val="19"/>
        </w:rPr>
        <w:t xml:space="preserve">Document Relationships block (blue): </w:t>
      </w:r>
      <w:r>
        <w:rPr>
          <w:rFonts w:ascii="Arial" w:cs="Arial" w:eastAsia="Arial" w:hAnsi="Arial"/>
          <w:color w:val="2D2D2D"/>
          <w:sz w:val="19"/>
          <w:szCs w:val="19"/>
        </w:rPr>
        <w:t xml:space="preserve">what this procedure owns, references, and who references it.</w:t>
      </w:r>
    </w:p>
    <w:p>
      <w:pPr>
        <w:pStyle w:val="ListParagraph"/>
        <w:numPr>
          <w:ilvl w:val="0"/>
          <w:numId w:val="2"/>
        </w:numPr>
        <w:spacing w:after="40" w:before="40"/>
      </w:pPr>
      <w:r>
        <w:rPr>
          <w:rFonts w:ascii="Arial" w:cs="Arial" w:eastAsia="Arial" w:hAnsi="Arial"/>
          <w:b/>
          <w:bCs/>
          <w:color w:val="2E75B6"/>
          <w:sz w:val="19"/>
          <w:szCs w:val="19"/>
        </w:rPr>
        <w:t xml:space="preserve">Preamble: </w:t>
      </w:r>
      <w:r>
        <w:rPr>
          <w:rFonts w:ascii="Arial" w:cs="Arial" w:eastAsia="Arial" w:hAnsi="Arial"/>
          <w:color w:val="2D2D2D"/>
          <w:sz w:val="19"/>
          <w:szCs w:val="19"/>
        </w:rPr>
        <w:t xml:space="preserve">the purpose of this procedure in the owner-led project context.</w:t>
      </w:r>
    </w:p>
    <w:p>
      <w:pPr>
        <w:pStyle w:val="ListParagraph"/>
        <w:numPr>
          <w:ilvl w:val="0"/>
          <w:numId w:val="2"/>
        </w:numPr>
        <w:spacing w:after="40" w:before="40"/>
      </w:pPr>
      <w:r>
        <w:rPr>
          <w:rFonts w:ascii="Arial" w:cs="Arial" w:eastAsia="Arial" w:hAnsi="Arial"/>
          <w:b/>
          <w:bCs/>
          <w:color w:val="2E75B6"/>
          <w:sz w:val="19"/>
          <w:szCs w:val="19"/>
        </w:rPr>
        <w:t xml:space="preserve">Requirements sections: </w:t>
      </w:r>
      <w:r>
        <w:rPr>
          <w:rFonts w:ascii="Arial" w:cs="Arial" w:eastAsia="Arial" w:hAnsi="Arial"/>
          <w:color w:val="2D2D2D"/>
          <w:sz w:val="19"/>
          <w:szCs w:val="19"/>
        </w:rPr>
        <w:t xml:space="preserve">source-attributed content requirements, each tagged with authority level.</w:t>
      </w:r>
    </w:p>
    <w:p>
      <w:pPr>
        <w:pStyle w:val="ListParagraph"/>
        <w:numPr>
          <w:ilvl w:val="0"/>
          <w:numId w:val="2"/>
        </w:numPr>
        <w:spacing w:after="40" w:before="40"/>
      </w:pPr>
      <w:r>
        <w:rPr>
          <w:rFonts w:ascii="Arial" w:cs="Arial" w:eastAsia="Arial" w:hAnsi="Arial"/>
          <w:b/>
          <w:bCs/>
          <w:color w:val="7F6000"/>
          <w:sz w:val="19"/>
          <w:szCs w:val="19"/>
        </w:rPr>
        <w:t xml:space="preserve">Project Completion Guidance block (amber): </w:t>
      </w:r>
      <w:r>
        <w:rPr>
          <w:rFonts w:ascii="Arial" w:cs="Arial" w:eastAsia="Arial" w:hAnsi="Arial"/>
          <w:color w:val="2D2D2D"/>
          <w:sz w:val="19"/>
          <w:szCs w:val="19"/>
        </w:rPr>
        <w:t xml:space="preserve">what the project team must do to complete this procedure for their specific project.</w:t>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Legal and Other Requirements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02 – Legal &amp; Other Requirements</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RTPR-HSE-PRO-0001</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Legal and Other Requirements Register (RTPR-HSE-REG-0001)</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Regulatory monitoring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Non-compliance escalation thresholds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RTPR-HSE-PRO-0010 – Document Control (register format and retention)</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(regulatory enforcement incidents)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RTPR-HSE-PRO-0043 – Records Management (retention periods)</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All procedures — each references the Legal Register as the source of applicable legislation</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governs how the owner-led project identifies, accesses, communicates, and monitors compliance with all applicable legal and HSESC obligations across all project locations and lifecycle phases. In the owner-led model RT holds direct legal responsibility and cannot delegate compliance accountability — this procedure establishes how that accountability is exercised across all project participants.</w:t>
      </w:r>
    </w:p>
    <w:p>
      <w:pPr>
        <w:pStyle w:val="Heading2"/>
        <w:spacing w:after="60" w:before="240"/>
      </w:pPr>
      <w:r>
        <w:rPr>
          <w:rFonts w:ascii="Arial" w:cs="Arial" w:eastAsia="Arial" w:hAnsi="Arial"/>
          <w:b/>
          <w:bCs/>
          <w:color w:val="2E75B6"/>
          <w:sz w:val="22"/>
          <w:szCs w:val="22"/>
        </w:rPr>
        <w:t xml:space="preserve">Purpose, Scope and Register</w:t>
      </w:r>
    </w:p>
    <w:p>
      <w:pPr>
        <w:pStyle w:val="ListParagraph"/>
        <w:numPr>
          <w:ilvl w:val="0"/>
          <w:numId w:val="2"/>
        </w:numPr>
        <w:spacing w:after="40" w:before="40"/>
      </w:pPr>
      <w:r>
        <w:rPr>
          <w:rFonts w:ascii="Arial" w:cs="Arial" w:eastAsia="Arial" w:hAnsi="Arial"/>
          <w:b/>
          <w:bCs/>
          <w:color w:val="1F3864"/>
          <w:sz w:val="19"/>
          <w:szCs w:val="19"/>
        </w:rPr>
        <w:t xml:space="preserve">[RT – RT – Management &amp; Compliance Standard]  </w:t>
      </w:r>
      <w:r>
        <w:rPr>
          <w:rFonts w:ascii="Arial" w:cs="Arial" w:eastAsia="Arial" w:hAnsi="Arial"/>
          <w:color w:val="2D2D2D"/>
          <w:sz w:val="19"/>
          <w:szCs w:val="19"/>
        </w:rPr>
        <w:t xml:space="preserve">Define the method for continuously identifying, tracking, and updating regulatory requirements across all locations where Work is performed, including a Regulatory Requirements Register as the primary compliance management tool.</w:t>
      </w:r>
    </w:p>
    <w:p>
      <w:pPr>
        <w:pStyle w:val="ListParagraph"/>
        <w:numPr>
          <w:ilvl w:val="0"/>
          <w:numId w:val="2"/>
        </w:numPr>
        <w:spacing w:after="40" w:before="40"/>
      </w:pPr>
      <w:r>
        <w:rPr>
          <w:rFonts w:ascii="Arial" w:cs="Arial" w:eastAsia="Arial" w:hAnsi="Arial"/>
          <w:b/>
          <w:bCs/>
          <w:color w:val="375623"/>
          <w:sz w:val="19"/>
          <w:szCs w:val="19"/>
        </w:rPr>
        <w:t xml:space="preserve">[APPC – Appendix C, C-1 §19]  </w:t>
      </w:r>
      <w:r>
        <w:rPr>
          <w:rFonts w:ascii="Arial" w:cs="Arial" w:eastAsia="Arial" w:hAnsi="Arial"/>
          <w:color w:val="2D2D2D"/>
          <w:sz w:val="19"/>
          <w:szCs w:val="19"/>
        </w:rPr>
        <w:t xml:space="preserve">Specify that the register must be submitted to the relevant project authority within 30 days of the Effective Date, and that roles and responsibilities for compliance are clearly defined within the register for all applicable obligations.</w:t>
      </w:r>
    </w:p>
    <w:p>
      <w:pPr>
        <w:pStyle w:val="ListParagraph"/>
        <w:numPr>
          <w:ilvl w:val="0"/>
          <w:numId w:val="2"/>
        </w:numPr>
        <w:spacing w:after="40" w:before="40"/>
      </w:pPr>
      <w:r>
        <w:rPr>
          <w:rFonts w:ascii="Arial" w:cs="Arial" w:eastAsia="Arial" w:hAnsi="Arial"/>
          <w:b/>
          <w:bCs/>
          <w:color w:val="C55A11"/>
          <w:sz w:val="19"/>
          <w:szCs w:val="19"/>
        </w:rPr>
        <w:t xml:space="preserve">[IFC – IFC PS1 §6 and Guidance Note §GN9]  </w:t>
      </w:r>
      <w:r>
        <w:rPr>
          <w:rFonts w:ascii="Arial" w:cs="Arial" w:eastAsia="Arial" w:hAnsi="Arial"/>
          <w:color w:val="2D2D2D"/>
          <w:sz w:val="19"/>
          <w:szCs w:val="19"/>
        </w:rPr>
        <w:t xml:space="preserve">Include within the register all permits, approvals, conditions of consent, and commitments made through Environmental and Social Impact Assessment processes — these carry equal standing to legislation and must be tracked as binding obligations throughout the project lifecycle.</w:t>
      </w:r>
    </w:p>
    <w:p>
      <w:pPr>
        <w:pStyle w:val="ListParagraph"/>
        <w:numPr>
          <w:ilvl w:val="0"/>
          <w:numId w:val="2"/>
        </w:numPr>
        <w:spacing w:after="40" w:before="40"/>
      </w:pPr>
      <w:r>
        <w:rPr>
          <w:rFonts w:ascii="Arial" w:cs="Arial" w:eastAsia="Arial" w:hAnsi="Arial"/>
          <w:b/>
          <w:bCs/>
          <w:color w:val="C55A11"/>
          <w:sz w:val="19"/>
          <w:szCs w:val="19"/>
        </w:rPr>
        <w:t xml:space="preserve">[IFC – IFC PS1 Guidance Note §GN18]  </w:t>
      </w:r>
      <w:r>
        <w:rPr>
          <w:rFonts w:ascii="Arial" w:cs="Arial" w:eastAsia="Arial" w:hAnsi="Arial"/>
          <w:color w:val="2D2D2D"/>
          <w:sz w:val="19"/>
          <w:szCs w:val="19"/>
        </w:rPr>
        <w:t xml:space="preserve">Where host country laws and regulations are less stringent than IFC Performance Standards or World Bank EHS Guidelines, document the more stringent requirement in the register as the project standard.</w:t>
      </w:r>
    </w:p>
    <w:p>
      <w:pPr>
        <w:pStyle w:val="ListParagraph"/>
        <w:numPr>
          <w:ilvl w:val="0"/>
          <w:numId w:val="2"/>
        </w:numPr>
        <w:spacing w:after="40" w:before="40"/>
      </w:pPr>
      <w:r>
        <w:rPr>
          <w:rFonts w:ascii="Arial" w:cs="Arial" w:eastAsia="Arial" w:hAnsi="Arial"/>
          <w:b/>
          <w:bCs/>
          <w:color w:val="7030A0"/>
          <w:sz w:val="19"/>
          <w:szCs w:val="19"/>
        </w:rPr>
        <w:t xml:space="preserve">[ICMM – ICMM Principle 1 – Ethical Business]  </w:t>
      </w:r>
      <w:r>
        <w:rPr>
          <w:rFonts w:ascii="Arial" w:cs="Arial" w:eastAsia="Arial" w:hAnsi="Arial"/>
          <w:color w:val="2D2D2D"/>
          <w:sz w:val="19"/>
          <w:szCs w:val="19"/>
        </w:rPr>
        <w:t xml:space="preserve">Confirm that the project commits to full compliance with applicable national and international laws, regulations, and other requirements to which the organisation subscribes including voluntary commitments.</w:t>
      </w:r>
    </w:p>
    <w:p>
      <w:pPr>
        <w:pStyle w:val="ListParagraph"/>
        <w:numPr>
          <w:ilvl w:val="0"/>
          <w:numId w:val="2"/>
        </w:numPr>
        <w:spacing w:after="40" w:before="40"/>
      </w:pPr>
      <w:r>
        <w:rPr>
          <w:rFonts w:ascii="Arial" w:cs="Arial" w:eastAsia="Arial" w:hAnsi="Arial"/>
          <w:b/>
          <w:bCs/>
          <w:color w:val="2F5496"/>
          <w:sz w:val="19"/>
          <w:szCs w:val="19"/>
        </w:rPr>
        <w:t xml:space="preserve">[TSM – TSM – Safe, Healthy and Respectful Workplaces Protocol, Indicator SH1]  </w:t>
      </w:r>
      <w:r>
        <w:rPr>
          <w:rFonts w:ascii="Arial" w:cs="Arial" w:eastAsia="Arial" w:hAnsi="Arial"/>
          <w:color w:val="2D2D2D"/>
          <w:sz w:val="19"/>
          <w:szCs w:val="19"/>
        </w:rPr>
        <w:t xml:space="preserve">Ensure the register captures all applicable occupational health and safety legislation relevant to the project jurisdiction and that senior management accountability for its currency is clearly assigned.</w:t>
      </w:r>
    </w:p>
    <w:p>
      <w:pPr>
        <w:pStyle w:val="Heading2"/>
        <w:spacing w:after="60" w:before="240"/>
      </w:pPr>
      <w:r>
        <w:rPr>
          <w:rFonts w:ascii="Arial" w:cs="Arial" w:eastAsia="Arial" w:hAnsi="Arial"/>
          <w:b/>
          <w:bCs/>
          <w:color w:val="2E75B6"/>
          <w:sz w:val="22"/>
          <w:szCs w:val="22"/>
        </w:rPr>
        <w:t xml:space="preserve">Monitoring and Updating</w:t>
      </w:r>
    </w:p>
    <w:p>
      <w:pPr>
        <w:pStyle w:val="ListParagraph"/>
        <w:numPr>
          <w:ilvl w:val="0"/>
          <w:numId w:val="2"/>
        </w:numPr>
        <w:spacing w:after="40" w:before="40"/>
      </w:pPr>
      <w:r>
        <w:rPr>
          <w:rFonts w:ascii="Arial" w:cs="Arial" w:eastAsia="Arial" w:hAnsi="Arial"/>
          <w:b/>
          <w:bCs/>
          <w:color w:val="1F3864"/>
          <w:sz w:val="19"/>
          <w:szCs w:val="19"/>
        </w:rPr>
        <w:t xml:space="preserve">[RT – RT – Management &amp; Compliance Standard]  </w:t>
      </w:r>
      <w:r>
        <w:rPr>
          <w:rFonts w:ascii="Arial" w:cs="Arial" w:eastAsia="Arial" w:hAnsi="Arial"/>
          <w:color w:val="2D2D2D"/>
          <w:sz w:val="19"/>
          <w:szCs w:val="19"/>
        </w:rPr>
        <w:t xml:space="preserve">Define the process for continuously monitoring regulatory changes: subscriptions to government gazette services; engagement with legal counsel; and participation in relevant industry body notifications. Require formal review at minimum quarterly and following any legislative change, permit amendment, or approval condition update.</w:t>
      </w:r>
    </w:p>
    <w:p>
      <w:pPr>
        <w:pStyle w:val="ListParagraph"/>
        <w:numPr>
          <w:ilvl w:val="0"/>
          <w:numId w:val="2"/>
        </w:numPr>
        <w:spacing w:after="40" w:before="40"/>
      </w:pPr>
      <w:r>
        <w:rPr>
          <w:rFonts w:ascii="Arial" w:cs="Arial" w:eastAsia="Arial" w:hAnsi="Arial"/>
          <w:b/>
          <w:bCs/>
          <w:color w:val="BF9000"/>
          <w:sz w:val="19"/>
          <w:szCs w:val="19"/>
        </w:rPr>
        <w:t xml:space="preserve">[OSHA – OSHA RP 2016 – Management Leadership]  </w:t>
      </w:r>
      <w:r>
        <w:rPr>
          <w:rFonts w:ascii="Arial" w:cs="Arial" w:eastAsia="Arial" w:hAnsi="Arial"/>
          <w:color w:val="2D2D2D"/>
          <w:sz w:val="19"/>
          <w:szCs w:val="19"/>
        </w:rPr>
        <w:t xml:space="preserve">Assign a named accountable role with authority to ensure the register is current and that identified compliance obligations are actioned within defined timeframes.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escalation thresholds for non-compliance events — distinguishing between minor administrative non-conformances, reportable breaches, and enforcement actions — and specify the response timeframe and notification chain for each level.</w:t>
      </w:r>
    </w:p>
    <w:p>
      <w:pPr>
        <w:pStyle w:val="Heading2"/>
        <w:spacing w:after="60" w:before="240"/>
      </w:pPr>
      <w:r>
        <w:rPr>
          <w:rFonts w:ascii="Arial" w:cs="Arial" w:eastAsia="Arial" w:hAnsi="Arial"/>
          <w:b/>
          <w:bCs/>
          <w:color w:val="2E75B6"/>
          <w:sz w:val="22"/>
          <w:szCs w:val="22"/>
        </w:rPr>
        <w:t xml:space="preserve">Communication and Contractor Obligations</w:t>
      </w:r>
    </w:p>
    <w:p>
      <w:pPr>
        <w:pStyle w:val="ListParagraph"/>
        <w:numPr>
          <w:ilvl w:val="0"/>
          <w:numId w:val="2"/>
        </w:numPr>
        <w:spacing w:after="40" w:before="40"/>
      </w:pPr>
      <w:r>
        <w:rPr>
          <w:rFonts w:ascii="Arial" w:cs="Arial" w:eastAsia="Arial" w:hAnsi="Arial"/>
          <w:b/>
          <w:bCs/>
          <w:color w:val="375623"/>
          <w:sz w:val="19"/>
          <w:szCs w:val="19"/>
        </w:rPr>
        <w:t xml:space="preserve">[APPC – Appendix C, C-1 §19]  </w:t>
      </w:r>
      <w:r>
        <w:rPr>
          <w:rFonts w:ascii="Arial" w:cs="Arial" w:eastAsia="Arial" w:hAnsi="Arial"/>
          <w:color w:val="2D2D2D"/>
          <w:sz w:val="19"/>
          <w:szCs w:val="19"/>
        </w:rPr>
        <w:t xml:space="preserve">Define how newly identified or changed legal requirements are communicated to affected project personnel, supervisors, and all contractor organisations working under the project management system.</w:t>
      </w:r>
    </w:p>
    <w:p>
      <w:pPr>
        <w:pStyle w:val="ListParagraph"/>
        <w:numPr>
          <w:ilvl w:val="0"/>
          <w:numId w:val="2"/>
        </w:numPr>
        <w:spacing w:after="40" w:before="40"/>
      </w:pPr>
      <w:r>
        <w:rPr>
          <w:rFonts w:ascii="Arial" w:cs="Arial" w:eastAsia="Arial" w:hAnsi="Arial"/>
          <w:b/>
          <w:bCs/>
          <w:color w:val="C55A11"/>
          <w:sz w:val="19"/>
          <w:szCs w:val="19"/>
        </w:rPr>
        <w:t xml:space="preserve">[IFC – IFC PS1 Guidance Note §GN33]  </w:t>
      </w:r>
      <w:r>
        <w:rPr>
          <w:rFonts w:ascii="Arial" w:cs="Arial" w:eastAsia="Arial" w:hAnsi="Arial"/>
          <w:color w:val="2D2D2D"/>
          <w:sz w:val="19"/>
          <w:szCs w:val="19"/>
        </w:rPr>
        <w:t xml:space="preserve">Ensure that relevant legal requirements are communicated to contractors through contractual clauses and that contractor compliance is monitored through the project ESMS.</w:t>
      </w:r>
    </w:p>
    <w:p>
      <w:pPr>
        <w:pStyle w:val="ListParagraph"/>
        <w:numPr>
          <w:ilvl w:val="0"/>
          <w:numId w:val="2"/>
        </w:numPr>
        <w:spacing w:after="40" w:before="40"/>
      </w:pPr>
      <w:r>
        <w:rPr>
          <w:rFonts w:ascii="Arial" w:cs="Arial" w:eastAsia="Arial" w:hAnsi="Arial"/>
          <w:b/>
          <w:bCs/>
          <w:color w:val="BF9000"/>
          <w:sz w:val="19"/>
          <w:szCs w:val="19"/>
        </w:rPr>
        <w:t xml:space="preserve">[OSHA – OSHA RP 2016 – Worker Participation]  </w:t>
      </w:r>
      <w:r>
        <w:rPr>
          <w:rFonts w:ascii="Arial" w:cs="Arial" w:eastAsia="Arial" w:hAnsi="Arial"/>
          <w:color w:val="2D2D2D"/>
          <w:sz w:val="19"/>
          <w:szCs w:val="19"/>
        </w:rPr>
        <w:t xml:space="preserve">Ensure workers have access to information about the legal and regulatory requirements applicable to their work, including their rights under applicable health and safety law.</w:t>
      </w:r>
    </w:p>
    <w:p>
      <w:pPr>
        <w:pStyle w:val="Heading2"/>
        <w:spacing w:after="60" w:before="240"/>
      </w:pPr>
      <w:r>
        <w:rPr>
          <w:rFonts w:ascii="Arial" w:cs="Arial" w:eastAsia="Arial" w:hAnsi="Arial"/>
          <w:b/>
          <w:bCs/>
          <w:color w:val="2E75B6"/>
          <w:sz w:val="22"/>
          <w:szCs w:val="22"/>
        </w:rPr>
        <w:t xml:space="preserve">Non-Compliance Management</w:t>
      </w:r>
    </w:p>
    <w:p>
      <w:pPr>
        <w:pStyle w:val="ListParagraph"/>
        <w:numPr>
          <w:ilvl w:val="0"/>
          <w:numId w:val="2"/>
        </w:numPr>
        <w:spacing w:after="40" w:before="40"/>
      </w:pPr>
      <w:r>
        <w:rPr>
          <w:rFonts w:ascii="Arial" w:cs="Arial" w:eastAsia="Arial" w:hAnsi="Arial"/>
          <w:b/>
          <w:bCs/>
          <w:color w:val="375623"/>
          <w:sz w:val="19"/>
          <w:szCs w:val="19"/>
        </w:rPr>
        <w:t xml:space="preserve">[APPC – Appendix C, C-1 §39.4]  </w:t>
      </w:r>
      <w:r>
        <w:rPr>
          <w:rFonts w:ascii="Arial" w:cs="Arial" w:eastAsia="Arial" w:hAnsi="Arial"/>
          <w:color w:val="2D2D2D"/>
          <w:sz w:val="19"/>
          <w:szCs w:val="19"/>
        </w:rPr>
        <w:t xml:space="preserve">Require prompt reporting of all regulatory non-compliances, government notices, and enforcement actions to the project leadership team and to the relevant corporate function.</w:t>
      </w:r>
    </w:p>
    <w:p>
      <w:pPr>
        <w:pStyle w:val="ListParagraph"/>
        <w:numPr>
          <w:ilvl w:val="0"/>
          <w:numId w:val="2"/>
        </w:numPr>
        <w:spacing w:after="40" w:before="40"/>
      </w:pPr>
      <w:r>
        <w:rPr>
          <w:rFonts w:ascii="Arial" w:cs="Arial" w:eastAsia="Arial" w:hAnsi="Arial"/>
          <w:b/>
          <w:bCs/>
          <w:color w:val="C55A11"/>
          <w:sz w:val="19"/>
          <w:szCs w:val="19"/>
        </w:rPr>
        <w:t xml:space="preserve">[IFC – IFC PS1 §11]  </w:t>
      </w:r>
      <w:r>
        <w:rPr>
          <w:rFonts w:ascii="Arial" w:cs="Arial" w:eastAsia="Arial" w:hAnsi="Arial"/>
          <w:color w:val="2D2D2D"/>
          <w:sz w:val="19"/>
          <w:szCs w:val="19"/>
        </w:rPr>
        <w:t xml:space="preserve">Ensure that any identified non-compliance with applicable laws, regulations, or permit conditions triggers a corrective action process and is documented in the project action tracking system with a defined closeout date and owner.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Identify and list all jurisdictions in which this project operates and insert into the register template (RTPR-HSE-REG-0001). Consider federal, state/territory, and local government levels.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specific monitoring mechanism to be used for this project (e.g., named subscription service, legal counsel engagement arrangement, peak body memberships) — the procedure states a process is required but the specific service is a project decision.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non-compliance escalation matrix for this project: what constitutes a minor non-conformance vs a reportable breach vs an enforcement action, and who is notified at each level. Insert into the designated table in this procedure.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C-1 §39.4.1]  </w:t>
            </w:r>
            <w:r>
              <w:rPr>
                <w:rFonts w:ascii="Arial" w:cs="Arial" w:eastAsia="Arial" w:hAnsi="Arial"/>
                <w:color w:val="2D2D2D"/>
                <w:sz w:val="19"/>
                <w:szCs w:val="19"/>
              </w:rPr>
              <w:t xml:space="preserve">Require prompt reporting of all incidents and injuries to applicable Government Authorities where mandated by Applicable Laws, and notification to the relevant project authority of all governmental citations or enforcement actions received while performing the Work.</w:t>
            </w:r>
          </w:p>
          <w:p>
            <w:pPr>
              <w:pStyle w:val="ListParagraph"/>
              <w:numPr>
                <w:ilvl w:val="0"/>
                <w:numId w:val="2"/>
              </w:numPr>
              <w:spacing w:after="40" w:before="40"/>
            </w:pPr>
            <w:r>
              <w:rPr>
                <w:rFonts w:ascii="Arial" w:cs="Arial" w:eastAsia="Arial" w:hAnsi="Arial"/>
                <w:b/>
                <w:bCs/>
                <w:color w:val="375623"/>
                <w:sz w:val="19"/>
                <w:szCs w:val="19"/>
              </w:rPr>
              <w:t xml:space="preserve">[APPC – Appendix C, C-1 §39.4.2]  </w:t>
            </w:r>
            <w:r>
              <w:rPr>
                <w:rFonts w:ascii="Arial" w:cs="Arial" w:eastAsia="Arial" w:hAnsi="Arial"/>
                <w:color w:val="2D2D2D"/>
                <w:sz w:val="19"/>
                <w:szCs w:val="19"/>
              </w:rPr>
              <w:t xml:space="preserve">Require maintenance and filing of all reports in compliance with Applicable Laws, with copies of any governmental safety, health, or environmental citations submitted to the project leadership team.</w:t>
            </w:r>
          </w:p>
          <w:p>
            <w:pPr>
              <w:pStyle w:val="ListParagraph"/>
              <w:numPr>
                <w:ilvl w:val="0"/>
                <w:numId w:val="2"/>
              </w:numPr>
              <w:spacing w:after="40" w:before="40"/>
            </w:pPr>
            <w:r>
              <w:rPr>
                <w:rFonts w:ascii="Arial" w:cs="Arial" w:eastAsia="Arial" w:hAnsi="Arial"/>
                <w:b/>
                <w:bCs/>
                <w:color w:val="375623"/>
                <w:sz w:val="19"/>
                <w:szCs w:val="19"/>
              </w:rPr>
              <w:t xml:space="preserve">[APPC – Appendix C, C-1 §39.4.4]  </w:t>
            </w:r>
            <w:r>
              <w:rPr>
                <w:rFonts w:ascii="Arial" w:cs="Arial" w:eastAsia="Arial" w:hAnsi="Arial"/>
                <w:color w:val="2D2D2D"/>
                <w:sz w:val="19"/>
                <w:szCs w:val="19"/>
              </w:rPr>
              <w:t xml:space="preserve">Require training for all personnel to recognise incidents and understand reporting obligations under applicable law, including the requirements for notification to regulatory authorities.</w:t>
            </w:r>
          </w:p>
          <w:p>
            <w:r>
              <w:rPr>
                <w:rFonts w:ascii="Arial" w:cs="Arial" w:eastAsia="Arial" w:hAnsi="Arial"/>
                <w:color w:val="3C2A00"/>
                <w:sz w:val="17"/>
                <w:szCs w:val="17"/>
              </w:rPr>
              <w:t xml:space="preserve">Identify the role responsible for maintaining the register by name and position title for this project.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Insert the project-specific submission timeline for the initial register to the project owner — check the project Deliverables Schedule (RTPR-HSE-REG-0002).</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HSESC Risk Management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03 – Hazard Identification &amp; Risk Management</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RTPR-HSE-PRO-0002</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RT 5×5 Risk Matrix (consequence and likelihood descriptors)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Risk tolerability thresholds and required actions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Hierarchy of controls definition</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Hazard and Risk Register format (RTPR-HSE-REG-0004)</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HAZID workshop process and Terms of Reference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JHA process and minimum fields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Hazard Observation Programme structure</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RTPR-HSE-PRO-0001 – Legal Requirements (regulatory context for risk assessments)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(competency for risk assessment roles)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(incidents as inputs to risk register)</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RTPR-HSE-PRO-0010 – Document Control (register maintenance)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RTPR-HSE-PRO-0040 – Management of Change (MoC as trigger for risk review)</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RTPR-HSE-PRO-0042 – Monitoring (monitoring as input to risk register)</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ALL operational procedures reference RTPR-HSE-PRO-0002 for the risk matrix</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RTPR-HSE-PRO-0007, RTPR-HSE-PRO-0040, RTPR-HSE-PRO-0042, RTPR-HSE-PRO-0044, RTPR-HSE-PRO-0045 reference RTPR-HSE-PRO-0002 for risk framework</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the project's integrated approach to identifying hazards, assessing risks across all HSESC domains, applying the hierarchy of controls, and maintaining a live risk register. As project owner, RT sets the risk management framework that all project participants work within — this procedure is the primary tool through which that framework is applied at the project level.</w:t>
      </w:r>
    </w:p>
    <w:p>
      <w:pPr>
        <w:pStyle w:val="Heading2"/>
        <w:spacing w:after="60" w:before="240"/>
      </w:pPr>
      <w:r>
        <w:rPr>
          <w:rFonts w:ascii="Arial" w:cs="Arial" w:eastAsia="Arial" w:hAnsi="Arial"/>
          <w:b/>
          <w:bCs/>
          <w:color w:val="2E75B6"/>
          <w:sz w:val="22"/>
          <w:szCs w:val="22"/>
        </w:rPr>
        <w:t xml:space="preserve">Risk Framework</w:t>
      </w:r>
    </w:p>
    <w:p>
      <w:pPr>
        <w:pStyle w:val="ListParagraph"/>
        <w:numPr>
          <w:ilvl w:val="0"/>
          <w:numId w:val="2"/>
        </w:numPr>
        <w:spacing w:after="40" w:before="40"/>
      </w:pPr>
      <w:r>
        <w:rPr>
          <w:rFonts w:ascii="Arial" w:cs="Arial" w:eastAsia="Arial" w:hAnsi="Arial"/>
          <w:b/>
          <w:bCs/>
          <w:color w:val="1F3864"/>
          <w:sz w:val="19"/>
          <w:szCs w:val="19"/>
        </w:rPr>
        <w:t xml:space="preserve">[RT – RT – Risk Management Standard]  </w:t>
      </w:r>
      <w:r>
        <w:rPr>
          <w:rFonts w:ascii="Arial" w:cs="Arial" w:eastAsia="Arial" w:hAnsi="Arial"/>
          <w:color w:val="2D2D2D"/>
          <w:sz w:val="19"/>
          <w:szCs w:val="19"/>
        </w:rPr>
        <w:t xml:space="preserve">Define the mandatory use of the RT 5×5 Risk Matrix as the project risk assessment tool, including consequence and likelihood descriptors, risk tolerability thresholds (Acceptable, ALARP, Unacceptable), and required actions for each risk band.</w:t>
      </w:r>
    </w:p>
    <w:p>
      <w:pPr>
        <w:pStyle w:val="ListParagraph"/>
        <w:numPr>
          <w:ilvl w:val="0"/>
          <w:numId w:val="2"/>
        </w:numPr>
        <w:spacing w:after="40" w:before="40"/>
      </w:pPr>
      <w:r>
        <w:rPr>
          <w:rFonts w:ascii="Arial" w:cs="Arial" w:eastAsia="Arial" w:hAnsi="Arial"/>
          <w:b/>
          <w:bCs/>
          <w:color w:val="1F3864"/>
          <w:sz w:val="19"/>
          <w:szCs w:val="19"/>
        </w:rPr>
        <w:t xml:space="preserve">[RT – RT – Risk Management Standard]  </w:t>
      </w:r>
      <w:r>
        <w:rPr>
          <w:rFonts w:ascii="Arial" w:cs="Arial" w:eastAsia="Arial" w:hAnsi="Arial"/>
          <w:color w:val="2D2D2D"/>
          <w:sz w:val="19"/>
          <w:szCs w:val="19"/>
        </w:rPr>
        <w:t xml:space="preserve">Define the hierarchy of controls (elimination, substitution, engineering, administrative, PPE) and require it to be applied in order with documented rationale when higher-order controls are not feasible.</w:t>
      </w:r>
    </w:p>
    <w:p>
      <w:pPr>
        <w:pStyle w:val="ListParagraph"/>
        <w:numPr>
          <w:ilvl w:val="0"/>
          <w:numId w:val="2"/>
        </w:numPr>
        <w:spacing w:after="40" w:before="40"/>
      </w:pPr>
      <w:r>
        <w:rPr>
          <w:rFonts w:ascii="Arial" w:cs="Arial" w:eastAsia="Arial" w:hAnsi="Arial"/>
          <w:b/>
          <w:bCs/>
          <w:color w:val="7030A0"/>
          <w:sz w:val="19"/>
          <w:szCs w:val="19"/>
        </w:rPr>
        <w:t xml:space="preserve">[ICMM – ICMM Principle 4 – Risk Management]  </w:t>
      </w:r>
      <w:r>
        <w:rPr>
          <w:rFonts w:ascii="Arial" w:cs="Arial" w:eastAsia="Arial" w:hAnsi="Arial"/>
          <w:color w:val="2D2D2D"/>
          <w:sz w:val="19"/>
          <w:szCs w:val="19"/>
        </w:rPr>
        <w:t xml:space="preserve">Implement effective risk management strategies based on sound science that account for stakeholder perceptions of risk, consistent with recognised international standards.</w:t>
      </w:r>
    </w:p>
    <w:p>
      <w:pPr>
        <w:pStyle w:val="ListParagraph"/>
        <w:numPr>
          <w:ilvl w:val="0"/>
          <w:numId w:val="2"/>
        </w:numPr>
        <w:spacing w:after="40" w:before="40"/>
      </w:pPr>
      <w:r>
        <w:rPr>
          <w:rFonts w:ascii="Arial" w:cs="Arial" w:eastAsia="Arial" w:hAnsi="Arial"/>
          <w:b/>
          <w:bCs/>
          <w:color w:val="C55A11"/>
          <w:sz w:val="19"/>
          <w:szCs w:val="19"/>
        </w:rPr>
        <w:t xml:space="preserve">[IFC – IFC PS1 §7]  </w:t>
      </w:r>
      <w:r>
        <w:rPr>
          <w:rFonts w:ascii="Arial" w:cs="Arial" w:eastAsia="Arial" w:hAnsi="Arial"/>
          <w:color w:val="2D2D2D"/>
          <w:sz w:val="19"/>
          <w:szCs w:val="19"/>
        </w:rPr>
        <w:t xml:space="preserve">Confirm that the risk management process applies across the full project lifecycle and addresses environmental, social, health, safety, and security risks in an integrated manner, not as separate standalone assessments.</w:t>
      </w:r>
    </w:p>
    <w:p>
      <w:pPr>
        <w:pStyle w:val="Heading2"/>
        <w:spacing w:after="60" w:before="240"/>
      </w:pPr>
      <w:r>
        <w:rPr>
          <w:rFonts w:ascii="Arial" w:cs="Arial" w:eastAsia="Arial" w:hAnsi="Arial"/>
          <w:b/>
          <w:bCs/>
          <w:color w:val="2E75B6"/>
          <w:sz w:val="22"/>
          <w:szCs w:val="22"/>
        </w:rPr>
        <w:t xml:space="preserve">Hazard and Risk Register</w:t>
      </w:r>
    </w:p>
    <w:p>
      <w:pPr>
        <w:pStyle w:val="ListParagraph"/>
        <w:numPr>
          <w:ilvl w:val="0"/>
          <w:numId w:val="2"/>
        </w:numPr>
        <w:spacing w:after="40" w:before="40"/>
      </w:pPr>
      <w:r>
        <w:rPr>
          <w:rFonts w:ascii="Arial" w:cs="Arial" w:eastAsia="Arial" w:hAnsi="Arial"/>
          <w:b/>
          <w:bCs/>
          <w:color w:val="1F3864"/>
          <w:sz w:val="19"/>
          <w:szCs w:val="19"/>
        </w:rPr>
        <w:t xml:space="preserve">[RT – RT – Risk Management Standard]  </w:t>
      </w:r>
      <w:r>
        <w:rPr>
          <w:rFonts w:ascii="Arial" w:cs="Arial" w:eastAsia="Arial" w:hAnsi="Arial"/>
          <w:color w:val="2D2D2D"/>
          <w:sz w:val="19"/>
          <w:szCs w:val="19"/>
        </w:rPr>
        <w:t xml:space="preserve">Define the format and mandatory content of the project Hazard and Risk Register: hazard description; associated risk; current controls; residual risk rating (5×5 matrix); control owner; verification method; and review date.</w:t>
      </w:r>
    </w:p>
    <w:p>
      <w:pPr>
        <w:pStyle w:val="ListParagraph"/>
        <w:numPr>
          <w:ilvl w:val="0"/>
          <w:numId w:val="2"/>
        </w:numPr>
        <w:spacing w:after="40" w:before="40"/>
      </w:pPr>
      <w:r>
        <w:rPr>
          <w:rFonts w:ascii="Arial" w:cs="Arial" w:eastAsia="Arial" w:hAnsi="Arial"/>
          <w:b/>
          <w:bCs/>
          <w:color w:val="375623"/>
          <w:sz w:val="19"/>
          <w:szCs w:val="19"/>
        </w:rPr>
        <w:t xml:space="preserve">[APPC – Appendix C, C-1 §25.1]  </w:t>
      </w:r>
      <w:r>
        <w:rPr>
          <w:rFonts w:ascii="Arial" w:cs="Arial" w:eastAsia="Arial" w:hAnsi="Arial"/>
          <w:color w:val="2D2D2D"/>
          <w:sz w:val="19"/>
          <w:szCs w:val="19"/>
        </w:rPr>
        <w:t xml:space="preserve">Require that all hazards identified through HAZID workshops, constructability reviews, health risk assessments, environmental risk assessments, and social risk assessments are consolidated into a single integrated project-level risk register.</w:t>
      </w:r>
    </w:p>
    <w:p>
      <w:pPr>
        <w:pStyle w:val="ListParagraph"/>
        <w:numPr>
          <w:ilvl w:val="0"/>
          <w:numId w:val="2"/>
        </w:numPr>
        <w:spacing w:after="40" w:before="40"/>
      </w:pPr>
      <w:r>
        <w:rPr>
          <w:rFonts w:ascii="Arial" w:cs="Arial" w:eastAsia="Arial" w:hAnsi="Arial"/>
          <w:b/>
          <w:bCs/>
          <w:color w:val="C55A11"/>
          <w:sz w:val="19"/>
          <w:szCs w:val="19"/>
        </w:rPr>
        <w:t xml:space="preserve">[IFC – IFC PS1 Guidance Note §GN15]  </w:t>
      </w:r>
      <w:r>
        <w:rPr>
          <w:rFonts w:ascii="Arial" w:cs="Arial" w:eastAsia="Arial" w:hAnsi="Arial"/>
          <w:color w:val="2D2D2D"/>
          <w:sz w:val="19"/>
          <w:szCs w:val="19"/>
        </w:rPr>
        <w:t xml:space="preserve">Maintain the risk register as a living document, updated when new hazards are identified, controls change, or the project scope or context changes materially.</w:t>
      </w:r>
    </w:p>
    <w:p>
      <w:pPr>
        <w:pStyle w:val="ListParagraph"/>
        <w:numPr>
          <w:ilvl w:val="0"/>
          <w:numId w:val="2"/>
        </w:numPr>
        <w:spacing w:after="40" w:before="40"/>
      </w:pPr>
      <w:r>
        <w:rPr>
          <w:rFonts w:ascii="Arial" w:cs="Arial" w:eastAsia="Arial" w:hAnsi="Arial"/>
          <w:b/>
          <w:bCs/>
          <w:color w:val="BF9000"/>
          <w:sz w:val="19"/>
          <w:szCs w:val="19"/>
        </w:rPr>
        <w:t xml:space="preserve">[OSHA – OSHA RP 2016 – Hazard Identification and Assessment]  </w:t>
      </w:r>
      <w:r>
        <w:rPr>
          <w:rFonts w:ascii="Arial" w:cs="Arial" w:eastAsia="Arial" w:hAnsi="Arial"/>
          <w:color w:val="2D2D2D"/>
          <w:sz w:val="19"/>
          <w:szCs w:val="19"/>
        </w:rPr>
        <w:t xml:space="preserve">Include systematic workplace inspections and monitoring data as continuous inputs to the risk register alongside workshop and assessment outputs.</w:t>
      </w:r>
    </w:p>
    <w:p>
      <w:pPr>
        <w:pStyle w:val="Heading2"/>
        <w:spacing w:after="60" w:before="240"/>
      </w:pPr>
      <w:r>
        <w:rPr>
          <w:rFonts w:ascii="Arial" w:cs="Arial" w:eastAsia="Arial" w:hAnsi="Arial"/>
          <w:b/>
          <w:bCs/>
          <w:color w:val="2E75B6"/>
          <w:sz w:val="22"/>
          <w:szCs w:val="22"/>
        </w:rPr>
        <w:t xml:space="preserve">HAZID and Level 2 Risk Assessment Workshops</w:t>
      </w:r>
    </w:p>
    <w:p>
      <w:pPr>
        <w:pStyle w:val="ListParagraph"/>
        <w:numPr>
          <w:ilvl w:val="0"/>
          <w:numId w:val="2"/>
        </w:numPr>
        <w:spacing w:after="40" w:before="40"/>
      </w:pPr>
      <w:r>
        <w:rPr>
          <w:rFonts w:ascii="Arial" w:cs="Arial" w:eastAsia="Arial" w:hAnsi="Arial"/>
          <w:b/>
          <w:bCs/>
          <w:color w:val="375623"/>
          <w:sz w:val="19"/>
          <w:szCs w:val="19"/>
        </w:rPr>
        <w:t xml:space="preserve">[APPC – Appendix C, C-1 §25.3]  </w:t>
      </w:r>
      <w:r>
        <w:rPr>
          <w:rFonts w:ascii="Arial" w:cs="Arial" w:eastAsia="Arial" w:hAnsi="Arial"/>
          <w:color w:val="2D2D2D"/>
          <w:sz w:val="19"/>
          <w:szCs w:val="19"/>
        </w:rPr>
        <w:t xml:space="preserve">Require HAZID and Level 2 Risk and Opportunity Assessment Workshops to be conducted prior to commencement of Work at site, involving both owner team and contractor personnel, with appropriate subject matter expertise.</w:t>
      </w:r>
    </w:p>
    <w:p>
      <w:pPr>
        <w:pStyle w:val="ListParagraph"/>
        <w:numPr>
          <w:ilvl w:val="0"/>
          <w:numId w:val="2"/>
        </w:numPr>
        <w:spacing w:after="40" w:before="40"/>
      </w:pPr>
      <w:r>
        <w:rPr>
          <w:rFonts w:ascii="Arial" w:cs="Arial" w:eastAsia="Arial" w:hAnsi="Arial"/>
          <w:b/>
          <w:bCs/>
          <w:color w:val="375623"/>
          <w:sz w:val="19"/>
          <w:szCs w:val="19"/>
        </w:rPr>
        <w:t xml:space="preserve">[APPC – Appendix C, C-1 §25.3]  </w:t>
      </w:r>
      <w:r>
        <w:rPr>
          <w:rFonts w:ascii="Arial" w:cs="Arial" w:eastAsia="Arial" w:hAnsi="Arial"/>
          <w:color w:val="2D2D2D"/>
          <w:sz w:val="19"/>
          <w:szCs w:val="19"/>
        </w:rPr>
        <w:t xml:space="preserve">Require a Terms of Reference defining scope, methodology, and node structure before each workshop, and require workshop reports to be distributed to all relevant project parties within 30 days of completion.</w:t>
      </w:r>
    </w:p>
    <w:p>
      <w:pPr>
        <w:pStyle w:val="ListParagraph"/>
        <w:numPr>
          <w:ilvl w:val="0"/>
          <w:numId w:val="2"/>
        </w:numPr>
        <w:spacing w:after="40" w:before="40"/>
      </w:pPr>
      <w:r>
        <w:rPr>
          <w:rFonts w:ascii="Arial" w:cs="Arial" w:eastAsia="Arial" w:hAnsi="Arial"/>
          <w:b/>
          <w:bCs/>
          <w:color w:val="375623"/>
          <w:sz w:val="19"/>
          <w:szCs w:val="19"/>
        </w:rPr>
        <w:t xml:space="preserve">[APPC – Appendix C, C-1 §25.3]  </w:t>
      </w:r>
      <w:r>
        <w:rPr>
          <w:rFonts w:ascii="Arial" w:cs="Arial" w:eastAsia="Arial" w:hAnsi="Arial"/>
          <w:color w:val="2D2D2D"/>
          <w:sz w:val="19"/>
          <w:szCs w:val="19"/>
        </w:rPr>
        <w:t xml:space="preserve">Require a dedicated node or standalone workshop focused on human-energy interactions — the single largest source of construction fatalities — within the HAZID process.</w:t>
      </w:r>
    </w:p>
    <w:p>
      <w:pPr>
        <w:pStyle w:val="ListParagraph"/>
        <w:numPr>
          <w:ilvl w:val="0"/>
          <w:numId w:val="2"/>
        </w:numPr>
        <w:spacing w:after="40" w:before="40"/>
      </w:pPr>
      <w:r>
        <w:rPr>
          <w:rFonts w:ascii="Arial" w:cs="Arial" w:eastAsia="Arial" w:hAnsi="Arial"/>
          <w:b/>
          <w:bCs/>
          <w:color w:val="C55A11"/>
          <w:sz w:val="19"/>
          <w:szCs w:val="19"/>
        </w:rPr>
        <w:t xml:space="preserve">[IFC – IFC PS1 §8]  </w:t>
      </w:r>
      <w:r>
        <w:rPr>
          <w:rFonts w:ascii="Arial" w:cs="Arial" w:eastAsia="Arial" w:hAnsi="Arial"/>
          <w:color w:val="2D2D2D"/>
          <w:sz w:val="19"/>
          <w:szCs w:val="19"/>
        </w:rPr>
        <w:t xml:space="preserve">Ensure that the assessment methodology is consistent with Good International Industry Practice (GIIP) and that specialists with relevant technical and local contextual knowledge are engaged where required.</w:t>
      </w:r>
    </w:p>
    <w:p>
      <w:pPr>
        <w:pStyle w:val="Heading2"/>
        <w:spacing w:after="60" w:before="240"/>
      </w:pPr>
      <w:r>
        <w:rPr>
          <w:rFonts w:ascii="Arial" w:cs="Arial" w:eastAsia="Arial" w:hAnsi="Arial"/>
          <w:b/>
          <w:bCs/>
          <w:color w:val="2E75B6"/>
          <w:sz w:val="22"/>
          <w:szCs w:val="22"/>
        </w:rPr>
        <w:t xml:space="preserve">Job Hazard Analysis (JHA)</w:t>
      </w:r>
    </w:p>
    <w:p>
      <w:pPr>
        <w:pStyle w:val="ListParagraph"/>
        <w:numPr>
          <w:ilvl w:val="0"/>
          <w:numId w:val="2"/>
        </w:numPr>
        <w:spacing w:after="40" w:before="40"/>
      </w:pPr>
      <w:r>
        <w:rPr>
          <w:rFonts w:ascii="Arial" w:cs="Arial" w:eastAsia="Arial" w:hAnsi="Arial"/>
          <w:b/>
          <w:bCs/>
          <w:color w:val="375623"/>
          <w:sz w:val="19"/>
          <w:szCs w:val="19"/>
        </w:rPr>
        <w:t xml:space="preserve">[APPC – Appendix C, C-1 §25.4]  </w:t>
      </w:r>
      <w:r>
        <w:rPr>
          <w:rFonts w:ascii="Arial" w:cs="Arial" w:eastAsia="Arial" w:hAnsi="Arial"/>
          <w:color w:val="2D2D2D"/>
          <w:sz w:val="19"/>
          <w:szCs w:val="19"/>
        </w:rPr>
        <w:t xml:space="preserve">Define the project JHA process: mandatory use of the RT 5×5 Risk Matrix; minimum required fields; coverage of all disciplines, interfaces, and simultaneous activities; and the requirement that JHAs are communicated to all involved personnel before work commences.</w:t>
      </w:r>
    </w:p>
    <w:p>
      <w:pPr>
        <w:pStyle w:val="ListParagraph"/>
        <w:numPr>
          <w:ilvl w:val="0"/>
          <w:numId w:val="2"/>
        </w:numPr>
        <w:spacing w:after="40" w:before="40"/>
      </w:pPr>
      <w:r>
        <w:rPr>
          <w:rFonts w:ascii="Arial" w:cs="Arial" w:eastAsia="Arial" w:hAnsi="Arial"/>
          <w:b/>
          <w:bCs/>
          <w:color w:val="375623"/>
          <w:sz w:val="19"/>
          <w:szCs w:val="19"/>
        </w:rPr>
        <w:t xml:space="preserve">[APPC – Appendix C, C-1 §25.4]  </w:t>
      </w:r>
      <w:r>
        <w:rPr>
          <w:rFonts w:ascii="Arial" w:cs="Arial" w:eastAsia="Arial" w:hAnsi="Arial"/>
          <w:color w:val="2D2D2D"/>
          <w:sz w:val="19"/>
          <w:szCs w:val="19"/>
        </w:rPr>
        <w:t xml:space="preserve">Confirm that no new task commences without a pre-start meeting referencing the relevant JHA and permit. JHAs must be reviewed and revised whenever conditions change.</w:t>
      </w:r>
    </w:p>
    <w:p>
      <w:pPr>
        <w:pStyle w:val="ListParagraph"/>
        <w:numPr>
          <w:ilvl w:val="0"/>
          <w:numId w:val="2"/>
        </w:numPr>
        <w:spacing w:after="40" w:before="40"/>
      </w:pPr>
      <w:r>
        <w:rPr>
          <w:rFonts w:ascii="Arial" w:cs="Arial" w:eastAsia="Arial" w:hAnsi="Arial"/>
          <w:b/>
          <w:bCs/>
          <w:color w:val="BF9000"/>
          <w:sz w:val="19"/>
          <w:szCs w:val="19"/>
        </w:rPr>
        <w:t xml:space="preserve">[OSHA – OSHA RP 2016 – Hazard Prevention and Control]  </w:t>
      </w:r>
      <w:r>
        <w:rPr>
          <w:rFonts w:ascii="Arial" w:cs="Arial" w:eastAsia="Arial" w:hAnsi="Arial"/>
          <w:color w:val="2D2D2D"/>
          <w:sz w:val="19"/>
          <w:szCs w:val="19"/>
        </w:rPr>
        <w:t xml:space="preserve">Ensure that JHAs identify root causes rather than just surface hazards, and that the selected controls address the root cause at the highest practicable level of the hierarchy.</w:t>
      </w:r>
    </w:p>
    <w:p>
      <w:pPr>
        <w:pStyle w:val="Heading2"/>
        <w:spacing w:after="60" w:before="240"/>
      </w:pPr>
      <w:r>
        <w:rPr>
          <w:rFonts w:ascii="Arial" w:cs="Arial" w:eastAsia="Arial" w:hAnsi="Arial"/>
          <w:b/>
          <w:bCs/>
          <w:color w:val="2E75B6"/>
          <w:sz w:val="22"/>
          <w:szCs w:val="22"/>
        </w:rPr>
        <w:t xml:space="preserve">Hazard Observation Programme</w:t>
      </w:r>
    </w:p>
    <w:p>
      <w:pPr>
        <w:pStyle w:val="ListParagraph"/>
        <w:numPr>
          <w:ilvl w:val="0"/>
          <w:numId w:val="2"/>
        </w:numPr>
        <w:spacing w:after="40" w:before="40"/>
      </w:pPr>
      <w:r>
        <w:rPr>
          <w:rFonts w:ascii="Arial" w:cs="Arial" w:eastAsia="Arial" w:hAnsi="Arial"/>
          <w:b/>
          <w:bCs/>
          <w:color w:val="375623"/>
          <w:sz w:val="19"/>
          <w:szCs w:val="19"/>
        </w:rPr>
        <w:t xml:space="preserve">[APPC – Appendix C, C-1 §25.5]  </w:t>
      </w:r>
      <w:r>
        <w:rPr>
          <w:rFonts w:ascii="Arial" w:cs="Arial" w:eastAsia="Arial" w:hAnsi="Arial"/>
          <w:color w:val="2D2D2D"/>
          <w:sz w:val="19"/>
          <w:szCs w:val="19"/>
        </w:rPr>
        <w:t xml:space="preserve">Define a structured process for all project personnel to identify, document, and submit hazard observations, with defined action assignment, tracking, and closeout.</w:t>
      </w:r>
    </w:p>
    <w:p>
      <w:pPr>
        <w:pStyle w:val="ListParagraph"/>
        <w:numPr>
          <w:ilvl w:val="0"/>
          <w:numId w:val="2"/>
        </w:numPr>
        <w:spacing w:after="40" w:before="40"/>
      </w:pPr>
      <w:r>
        <w:rPr>
          <w:rFonts w:ascii="Arial" w:cs="Arial" w:eastAsia="Arial" w:hAnsi="Arial"/>
          <w:b/>
          <w:bCs/>
          <w:color w:val="2F5496"/>
          <w:sz w:val="19"/>
          <w:szCs w:val="19"/>
        </w:rPr>
        <w:t xml:space="preserve">[TSM – TSM – Safe, Healthy and Respectful Workplaces Protocol, Indicator SH2]  </w:t>
      </w:r>
      <w:r>
        <w:rPr>
          <w:rFonts w:ascii="Arial" w:cs="Arial" w:eastAsia="Arial" w:hAnsi="Arial"/>
          <w:color w:val="2D2D2D"/>
          <w:sz w:val="19"/>
          <w:szCs w:val="19"/>
        </w:rPr>
        <w:t xml:space="preserve">Use hazard observation data as a leading indicator of safety culture maturity; analyse trends and report against targets in monthly HSESC performance reports.</w:t>
      </w:r>
    </w:p>
    <w:p>
      <w:pPr>
        <w:pStyle w:val="ListParagraph"/>
        <w:numPr>
          <w:ilvl w:val="0"/>
          <w:numId w:val="2"/>
        </w:numPr>
        <w:spacing w:after="40" w:before="40"/>
      </w:pPr>
      <w:r>
        <w:rPr>
          <w:rFonts w:ascii="Arial" w:cs="Arial" w:eastAsia="Arial" w:hAnsi="Arial"/>
          <w:b/>
          <w:bCs/>
          <w:color w:val="BF9000"/>
          <w:sz w:val="19"/>
          <w:szCs w:val="19"/>
        </w:rPr>
        <w:t xml:space="preserve">[OSHA – OSHA RP 2016 – Worker Participation]  </w:t>
      </w:r>
      <w:r>
        <w:rPr>
          <w:rFonts w:ascii="Arial" w:cs="Arial" w:eastAsia="Arial" w:hAnsi="Arial"/>
          <w:color w:val="2D2D2D"/>
          <w:sz w:val="19"/>
          <w:szCs w:val="19"/>
        </w:rPr>
        <w:t xml:space="preserve">Ensure workers are actively encouraged to report hazards and that they face no disciplinary measures or negative consequences for doing so.</w:t>
      </w:r>
    </w:p>
    <w:p>
      <w:pPr>
        <w:pStyle w:val="Heading2"/>
        <w:spacing w:after="60" w:before="240"/>
      </w:pPr>
      <w:r>
        <w:rPr>
          <w:rFonts w:ascii="Arial" w:cs="Arial" w:eastAsia="Arial" w:hAnsi="Arial"/>
          <w:b/>
          <w:bCs/>
          <w:color w:val="2E75B6"/>
          <w:sz w:val="22"/>
          <w:szCs w:val="22"/>
        </w:rPr>
        <w:t xml:space="preserve">Security Risk Assessment</w:t>
      </w:r>
    </w:p>
    <w:p>
      <w:pPr>
        <w:pStyle w:val="ListParagraph"/>
        <w:numPr>
          <w:ilvl w:val="0"/>
          <w:numId w:val="2"/>
        </w:numPr>
        <w:spacing w:after="40" w:before="40"/>
      </w:pPr>
      <w:r>
        <w:rPr>
          <w:rFonts w:ascii="Arial" w:cs="Arial" w:eastAsia="Arial" w:hAnsi="Arial"/>
          <w:b/>
          <w:bCs/>
          <w:color w:val="375623"/>
          <w:sz w:val="19"/>
          <w:szCs w:val="19"/>
        </w:rPr>
        <w:t xml:space="preserve">[APPC – Appendix C, C-1 §33.1]  </w:t>
      </w:r>
      <w:r>
        <w:rPr>
          <w:rFonts w:ascii="Arial" w:cs="Arial" w:eastAsia="Arial" w:hAnsi="Arial"/>
          <w:color w:val="2D2D2D"/>
          <w:sz w:val="19"/>
          <w:szCs w:val="19"/>
        </w:rPr>
        <w:t xml:space="preserve">Require a comprehensive security risk assessment covering all key work locations, transport routes, and supply chain nodes. The assessment must involve multi-disciplinary participation including the CSP function, and be documented in the project risk register.</w:t>
      </w:r>
    </w:p>
    <w:p>
      <w:pPr>
        <w:pStyle w:val="ListParagraph"/>
        <w:numPr>
          <w:ilvl w:val="0"/>
          <w:numId w:val="2"/>
        </w:numPr>
        <w:spacing w:after="40" w:before="40"/>
      </w:pPr>
      <w:r>
        <w:rPr>
          <w:rFonts w:ascii="Arial" w:cs="Arial" w:eastAsia="Arial" w:hAnsi="Arial"/>
          <w:b/>
          <w:bCs/>
          <w:color w:val="C55A11"/>
          <w:sz w:val="19"/>
          <w:szCs w:val="19"/>
        </w:rPr>
        <w:t xml:space="preserve">[IFC – IFC PS4 §13]  </w:t>
      </w:r>
      <w:r>
        <w:rPr>
          <w:rFonts w:ascii="Arial" w:cs="Arial" w:eastAsia="Arial" w:hAnsi="Arial"/>
          <w:color w:val="2D2D2D"/>
          <w:sz w:val="19"/>
          <w:szCs w:val="19"/>
        </w:rPr>
        <w:t xml:space="preserve">Ensure the security risk assessment addresses potential human rights risks associated with the use of security personnel and includes reference to the Voluntary Principles on Security and Human Rights.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CRITICAL — The 5×5 Risk Matrix must be inserted as a formatted table in this procedure. Obtain the current RT project risk matrix template and insert it here. All other procedures reference this section — it must be complete before any other procedure can reference it.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risk tolerability thresholds in the designated table: what residual risk rating requires escalation to the project owner; what rating requires stop-work; what rating is acceptable to proceed with existing controls.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Heading2Numbered_"/>
              <w:spacing w:after="40" w:before="200"/>
            </w:pPr>
            <w:r>
              <w:rPr>
                <w:rFonts w:ascii="Arial" w:cs="Arial" w:eastAsia="Arial" w:hAnsi="Arial"/>
                <w:b/>
                <w:sz w:val="20"/>
                <w:szCs w:val="20"/>
              </w:rPr>
              <w:t xml:space="preserve">Constructability Reviews</w:t>
            </w:r>
          </w:p>
          <w:p>
            <w:pPr>
              <w:pStyle w:val="ListParagraph"/>
              <w:numPr>
                <w:ilvl w:val="0"/>
                <w:numId w:val="2"/>
              </w:numPr>
              <w:spacing w:after="40" w:before="40"/>
            </w:pPr>
            <w:r>
              <w:rPr>
                <w:rFonts w:ascii="Arial" w:cs="Arial" w:eastAsia="Arial" w:hAnsi="Arial"/>
                <w:b/>
                <w:bCs/>
                <w:color w:val="375623"/>
                <w:sz w:val="19"/>
                <w:szCs w:val="19"/>
              </w:rPr>
              <w:t xml:space="preserve">[APPC – Appendix C, C-1 §25.2.1]  </w:t>
            </w:r>
            <w:r>
              <w:rPr>
                <w:rFonts w:ascii="Arial" w:cs="Arial" w:eastAsia="Arial" w:hAnsi="Arial"/>
                <w:color w:val="2D2D2D"/>
                <w:sz w:val="19"/>
                <w:szCs w:val="19"/>
              </w:rPr>
              <w:t xml:space="preserve">Require preparation of a hazard and risk assessment register when constructability reviews commence, with hazards identified and addressed during the pre-construction phase. Constructability Review Teams must include both owner and contractor personnel with appropriate subject matter experts across all relevant disciplines.</w:t>
            </w:r>
          </w:p>
          <w:p>
            <w:pPr>
              <w:pStyle w:val="ListParagraph"/>
              <w:numPr>
                <w:ilvl w:val="0"/>
                <w:numId w:val="2"/>
              </w:numPr>
              <w:spacing w:after="40" w:before="40"/>
            </w:pPr>
            <w:r>
              <w:rPr>
                <w:rFonts w:ascii="Arial" w:cs="Arial" w:eastAsia="Arial" w:hAnsi="Arial"/>
                <w:b/>
                <w:bCs/>
                <w:color w:val="375623"/>
                <w:sz w:val="19"/>
                <w:szCs w:val="19"/>
              </w:rPr>
              <w:t xml:space="preserve">[APPC – Appendix C, C-1 §25.2.2]  </w:t>
            </w:r>
            <w:r>
              <w:rPr>
                <w:rFonts w:ascii="Arial" w:cs="Arial" w:eastAsia="Arial" w:hAnsi="Arial"/>
                <w:color w:val="2D2D2D"/>
                <w:sz w:val="19"/>
                <w:szCs w:val="19"/>
              </w:rPr>
              <w:t xml:space="preserve">Require that hazards identified during constructability reviews are documented to identify the control or management of each hazard. Output from these reviews forms the basis for Safe Work Methodology Statements for all high-risk activities by construction contractors.</w:t>
            </w:r>
          </w:p>
          <w:p>
            <w:pPr>
              <w:pStyle w:val="Heading2Numbered_"/>
              <w:spacing w:after="40" w:before="200"/>
            </w:pPr>
            <w:r>
              <w:rPr>
                <w:rFonts w:ascii="Arial" w:cs="Arial" w:eastAsia="Arial" w:hAnsi="Arial"/>
                <w:b/>
                <w:sz w:val="20"/>
                <w:szCs w:val="20"/>
              </w:rPr>
              <w:t xml:space="preserve">Management of Change Interface</w:t>
            </w:r>
          </w:p>
          <w:p>
            <w:pPr>
              <w:pStyle w:val="ListParagraph"/>
              <w:numPr>
                <w:ilvl w:val="0"/>
                <w:numId w:val="2"/>
              </w:numPr>
              <w:spacing w:after="40" w:before="40"/>
            </w:pPr>
            <w:r>
              <w:rPr>
                <w:rFonts w:ascii="Arial" w:cs="Arial" w:eastAsia="Arial" w:hAnsi="Arial"/>
                <w:b/>
                <w:bCs/>
                <w:color w:val="375623"/>
                <w:sz w:val="19"/>
                <w:szCs w:val="19"/>
              </w:rPr>
              <w:t xml:space="preserve">[APPC – Appendix C, C-1 §25.6.1]  </w:t>
            </w:r>
            <w:r>
              <w:rPr>
                <w:rFonts w:ascii="Arial" w:cs="Arial" w:eastAsia="Arial" w:hAnsi="Arial"/>
                <w:color w:val="2D2D2D"/>
                <w:sz w:val="19"/>
                <w:szCs w:val="19"/>
              </w:rPr>
              <w:t xml:space="preserve">Require that changes to the project organisation, activities, processes, or documentation are assessed for HSESC risks through the Management of Change process. All changes in conditions or scope that introduce new hazards or remove existing controls must be assessed before work continues — refer RTPR-HSE-PRO-0040.</w:t>
            </w:r>
          </w:p>
          <w:p>
            <w:pPr>
              <w:pStyle w:val="ListParagraph"/>
              <w:numPr>
                <w:ilvl w:val="0"/>
                <w:numId w:val="2"/>
              </w:numPr>
              <w:spacing w:after="40" w:before="40"/>
            </w:pPr>
            <w:r>
              <w:rPr>
                <w:rFonts w:ascii="Arial" w:cs="Arial" w:eastAsia="Arial" w:hAnsi="Arial"/>
                <w:b/>
                <w:bCs/>
                <w:color w:val="375623"/>
                <w:sz w:val="19"/>
                <w:szCs w:val="19"/>
              </w:rPr>
              <w:t xml:space="preserve">[APPC – Appendix C, C-1 §25.6.2]  </w:t>
            </w:r>
            <w:r>
              <w:rPr>
                <w:rFonts w:ascii="Arial" w:cs="Arial" w:eastAsia="Arial" w:hAnsi="Arial"/>
                <w:color w:val="2D2D2D"/>
                <w:sz w:val="19"/>
                <w:szCs w:val="19"/>
              </w:rPr>
              <w:t xml:space="preserve">Require that all changes identified through the MoC process are communicated to the Company and to all affected project personnel before implementation.</w:t>
            </w:r>
          </w:p>
          <w:p>
            <w:pPr>
              <w:pStyle w:val="Heading2Numbered_"/>
              <w:spacing w:after="40" w:before="200"/>
            </w:pPr>
            <w:r>
              <w:rPr>
                <w:rFonts w:ascii="Arial" w:cs="Arial" w:eastAsia="Arial" w:hAnsi="Arial"/>
                <w:b/>
                <w:sz w:val="20"/>
                <w:szCs w:val="20"/>
              </w:rPr>
              <w:t xml:space="preserve">CRM Programme Requirements</w:t>
            </w:r>
          </w:p>
          <w:p>
            <w:pPr>
              <w:pStyle w:val="ListParagraph"/>
              <w:numPr>
                <w:ilvl w:val="0"/>
                <w:numId w:val="2"/>
              </w:numPr>
              <w:spacing w:after="40" w:before="40"/>
            </w:pPr>
            <w:r>
              <w:rPr>
                <w:rFonts w:ascii="Arial" w:cs="Arial" w:eastAsia="Arial" w:hAnsi="Arial"/>
                <w:b/>
                <w:bCs/>
                <w:color w:val="375623"/>
                <w:sz w:val="19"/>
                <w:szCs w:val="19"/>
              </w:rPr>
              <w:t xml:space="preserve">[APPC – Appendix C, C-3 §73.0.1]  </w:t>
            </w:r>
            <w:r>
              <w:rPr>
                <w:rFonts w:ascii="Arial" w:cs="Arial" w:eastAsia="Arial" w:hAnsi="Arial"/>
                <w:color w:val="2D2D2D"/>
                <w:sz w:val="19"/>
                <w:szCs w:val="19"/>
              </w:rPr>
              <w:t xml:space="preserve">Require participation in the CRM programme defined for the project, following the framework developed by the Company. The CRM programme must define critical risk exposures, provide training in the correct application of CRM tools, establish a CRM deployment team, and define roles and responsibilities for critical control verification.</w:t>
            </w:r>
          </w:p>
          <w:p>
            <w:pPr>
              <w:pStyle w:val="ListParagraph"/>
              <w:numPr>
                <w:ilvl w:val="0"/>
                <w:numId w:val="2"/>
              </w:numPr>
              <w:spacing w:after="40" w:before="40"/>
            </w:pPr>
            <w:r>
              <w:rPr>
                <w:rFonts w:ascii="Arial" w:cs="Arial" w:eastAsia="Arial" w:hAnsi="Arial"/>
                <w:b/>
                <w:bCs/>
                <w:color w:val="375623"/>
                <w:sz w:val="19"/>
                <w:szCs w:val="19"/>
              </w:rPr>
              <w:t xml:space="preserve">[APPC – Appendix C, C-3 §73.1.1]  </w:t>
            </w:r>
            <w:r>
              <w:rPr>
                <w:rFonts w:ascii="Arial" w:cs="Arial" w:eastAsia="Arial" w:hAnsi="Arial"/>
                <w:color w:val="2D2D2D"/>
                <w:sz w:val="19"/>
                <w:szCs w:val="19"/>
              </w:rPr>
              <w:t xml:space="preserve">Require that the site risk profile is monitored and adjusted as required, with CRM tools kept current and available to project personnel via the Forwood portal. The CRM profile must form an integral part of all risk assessment reviews and be updated when activities change within project areas.</w:t>
            </w:r>
          </w:p>
          <w:p>
            <w:pPr>
              <w:pStyle w:val="ListParagraph"/>
              <w:numPr>
                <w:ilvl w:val="0"/>
                <w:numId w:val="2"/>
              </w:numPr>
              <w:spacing w:after="40" w:before="40"/>
            </w:pPr>
            <w:r>
              <w:rPr>
                <w:rFonts w:ascii="Arial" w:cs="Arial" w:eastAsia="Arial" w:hAnsi="Arial"/>
                <w:b/>
                <w:bCs/>
                <w:color w:val="375623"/>
                <w:sz w:val="19"/>
                <w:szCs w:val="19"/>
              </w:rPr>
              <w:t xml:space="preserve">[APPC – Appendix C, C-3 §73.1.6]  </w:t>
            </w:r>
            <w:r>
              <w:rPr>
                <w:rFonts w:ascii="Arial" w:cs="Arial" w:eastAsia="Arial" w:hAnsi="Arial"/>
                <w:color w:val="2D2D2D"/>
                <w:sz w:val="19"/>
                <w:szCs w:val="19"/>
              </w:rPr>
              <w:t xml:space="preserve">Require that for all identified CRM risks, an appropriate level of Critical Control Verification Standards (CCVS), Critical Control Field Verifications (CCFV), and Critical Control Checklists (CCC) coverage is built into project schedules and leadership activities.</w:t>
            </w:r>
          </w:p>
          <w:p>
            <w:pPr>
              <w:pStyle w:val="ListParagraph"/>
              <w:numPr>
                <w:ilvl w:val="0"/>
                <w:numId w:val="2"/>
              </w:numPr>
              <w:spacing w:after="40" w:before="40"/>
            </w:pPr>
            <w:r>
              <w:rPr>
                <w:rFonts w:ascii="Arial" w:cs="Arial" w:eastAsia="Arial" w:hAnsi="Arial"/>
                <w:b/>
                <w:bCs/>
                <w:color w:val="375623"/>
                <w:sz w:val="19"/>
                <w:szCs w:val="19"/>
              </w:rPr>
              <w:t xml:space="preserve">[APPC – Appendix C, C-3 §75.1.1]  </w:t>
            </w:r>
            <w:r>
              <w:rPr>
                <w:rFonts w:ascii="Arial" w:cs="Arial" w:eastAsia="Arial" w:hAnsi="Arial"/>
                <w:color w:val="2D2D2D"/>
                <w:sz w:val="19"/>
                <w:szCs w:val="19"/>
              </w:rPr>
              <w:t xml:space="preserve">Require completion of Company-supplied CRM training prior to commencement of work on the project. Follow-up training and knowledge verification must take place in the workplace as soon as practicable, with work crews engaged in practical CRM application within two weeks of mobilisation.</w:t>
            </w:r>
          </w:p>
          <w:p>
            <w:pPr>
              <w:pStyle w:val="ListParagraph"/>
              <w:numPr>
                <w:ilvl w:val="0"/>
                <w:numId w:val="2"/>
              </w:numPr>
              <w:spacing w:after="40" w:before="40"/>
            </w:pPr>
            <w:r>
              <w:rPr>
                <w:rFonts w:ascii="Arial" w:cs="Arial" w:eastAsia="Arial" w:hAnsi="Arial"/>
                <w:b/>
                <w:bCs/>
                <w:color w:val="375623"/>
                <w:sz w:val="19"/>
                <w:szCs w:val="19"/>
              </w:rPr>
              <w:t xml:space="preserve">[APPC – Appendix C, C-3 §76.1]  </w:t>
            </w:r>
            <w:r>
              <w:rPr>
                <w:rFonts w:ascii="Arial" w:cs="Arial" w:eastAsia="Arial" w:hAnsi="Arial"/>
                <w:color w:val="2D2D2D"/>
                <w:sz w:val="19"/>
                <w:szCs w:val="19"/>
              </w:rPr>
              <w:t xml:space="preserve">Require identification of suitable CRM Champions within the project organisation to support implementation and sustainability of CRM. CRM Champions must demonstrate commitment to CRM, have experience in the Critical Risk areas they champion, and provide SME coaching to individuals and groups involved in critical risk activities.</w:t>
            </w:r>
          </w:p>
          <w:p>
            <w:pPr>
              <w:pStyle w:val="ListParagraph"/>
              <w:numPr>
                <w:ilvl w:val="0"/>
                <w:numId w:val="2"/>
              </w:numPr>
              <w:spacing w:after="40" w:before="40"/>
            </w:pPr>
            <w:r>
              <w:rPr>
                <w:rFonts w:ascii="Arial" w:cs="Arial" w:eastAsia="Arial" w:hAnsi="Arial"/>
                <w:b/>
                <w:bCs/>
                <w:color w:val="375623"/>
                <w:sz w:val="19"/>
                <w:szCs w:val="19"/>
              </w:rPr>
              <w:t xml:space="preserve">[APPC – Appendix C, C-3 §79.0.1]  </w:t>
            </w:r>
            <w:r>
              <w:rPr>
                <w:rFonts w:ascii="Arial" w:cs="Arial" w:eastAsia="Arial" w:hAnsi="Arial"/>
                <w:color w:val="2D2D2D"/>
                <w:sz w:val="19"/>
                <w:szCs w:val="19"/>
              </w:rPr>
              <w:t xml:space="preserve">Require CRM information to be incorporated into pre-start meeting discussions at the beginning of each shift. Pre-start boards must be used to record daily activities with critical risk exposure, the nature of the risk, and the critical controls required. All work crews must be given an opportunity to discuss non-compliant critical controls and raise concerns from the previous shift.</w:t>
            </w:r>
          </w:p>
          <w:p>
            <w:pPr>
              <w:pStyle w:val="ListParagraph"/>
              <w:numPr>
                <w:ilvl w:val="0"/>
                <w:numId w:val="2"/>
              </w:numPr>
              <w:spacing w:after="40" w:before="40"/>
            </w:pPr>
            <w:r>
              <w:rPr>
                <w:rFonts w:ascii="Arial" w:cs="Arial" w:eastAsia="Arial" w:hAnsi="Arial"/>
                <w:b/>
                <w:bCs/>
                <w:color w:val="375623"/>
                <w:sz w:val="19"/>
                <w:szCs w:val="19"/>
              </w:rPr>
              <w:t xml:space="preserve">[APPC – Appendix C, C-3 §81.1.1]  </w:t>
            </w:r>
            <w:r>
              <w:rPr>
                <w:rFonts w:ascii="Arial" w:cs="Arial" w:eastAsia="Arial" w:hAnsi="Arial"/>
                <w:color w:val="2D2D2D"/>
                <w:sz w:val="19"/>
                <w:szCs w:val="19"/>
              </w:rPr>
              <w:t xml:space="preserve">Require monthly CRM data analysis detailing performance over the previous reporting period, posted to all project notice boards. CRM statistics including data quality must be included in monthly HSESC performance reports. Weekly Forwood portal reports must review performance against non-compliance, mobile submission, coaching, and completion of all field verifications.</w:t>
            </w:r>
          </w:p>
          <w:p>
            <w:pPr>
              <w:pStyle w:val="Heading2Numbered_"/>
              <w:spacing w:after="40" w:before="200"/>
            </w:pPr>
            <w:r>
              <w:rPr>
                <w:rFonts w:ascii="Arial" w:cs="Arial" w:eastAsia="Arial" w:hAnsi="Arial"/>
                <w:b/>
                <w:sz w:val="20"/>
                <w:szCs w:val="20"/>
              </w:rPr>
              <w:t xml:space="preserve">Fatality Prevention Programme</w:t>
            </w:r>
          </w:p>
          <w:p>
            <w:pPr>
              <w:pStyle w:val="Normal"/>
              <w:spacing w:after="60" w:before="40"/>
            </w:pPr>
            <w:r>
              <w:rPr>
                <w:rFonts w:ascii="Arial" w:cs="Arial" w:eastAsia="Arial" w:hAnsi="Arial"/>
                <w:color w:val="2D2D2D"/>
                <w:sz w:val="19"/>
                <w:szCs w:val="19"/>
              </w:rPr>
              <w:t xml:space="preserve">The Fatality Prevention Programme (FPP) is a mandatory structured programme that identifies and addresses the activities and conditions most likely to result in a fatality on the project. It operates through workshops, in-field inspections, and action tracking, and is integrated with the CRM verification schedule.</w:t>
            </w:r>
          </w:p>
          <w:p>
            <w:pPr>
              <w:pStyle w:val="ListParagraph"/>
              <w:numPr>
                <w:ilvl w:val="0"/>
                <w:numId w:val="2"/>
              </w:numPr>
              <w:spacing w:after="40" w:before="40"/>
            </w:pPr>
            <w:r>
              <w:rPr>
                <w:rFonts w:ascii="Arial" w:cs="Arial" w:eastAsia="Arial" w:hAnsi="Arial"/>
                <w:b/>
                <w:bCs/>
                <w:color w:val="375623"/>
                <w:sz w:val="19"/>
                <w:szCs w:val="19"/>
              </w:rPr>
              <w:t xml:space="preserve">[APPC – Appendix C, C-1 §27.2]  </w:t>
            </w:r>
            <w:r>
              <w:rPr>
                <w:rFonts w:ascii="Arial" w:cs="Arial" w:eastAsia="Arial" w:hAnsi="Arial"/>
                <w:color w:val="2D2D2D"/>
                <w:sz w:val="19"/>
                <w:szCs w:val="19"/>
              </w:rPr>
              <w:t xml:space="preserve">Require assignment of an FPP Sponsor at Project Director level and an FPP Implementation Lead at HSESC Manager level before project mobilisation. The sponsor provides visible leadership and endorses FPP actions. The implementation lead is accountable for facilitating workshops, coordinating in-field inspections, tracking actions, and reporting FPP performance to the Company.</w:t>
            </w:r>
          </w:p>
          <w:p>
            <w:pPr>
              <w:pStyle w:val="ListParagraph"/>
              <w:numPr>
                <w:ilvl w:val="0"/>
                <w:numId w:val="2"/>
              </w:numPr>
              <w:spacing w:after="40" w:before="40"/>
            </w:pPr>
            <w:r>
              <w:rPr>
                <w:rFonts w:ascii="Arial" w:cs="Arial" w:eastAsia="Arial" w:hAnsi="Arial"/>
                <w:b/>
                <w:bCs/>
                <w:color w:val="375623"/>
                <w:sz w:val="19"/>
                <w:szCs w:val="19"/>
              </w:rPr>
              <w:t xml:space="preserve">[APPC – Appendix C, C-1 §27.3]  </w:t>
            </w:r>
            <w:r>
              <w:rPr>
                <w:rFonts w:ascii="Arial" w:cs="Arial" w:eastAsia="Arial" w:hAnsi="Arial"/>
                <w:color w:val="2D2D2D"/>
                <w:sz w:val="19"/>
                <w:szCs w:val="19"/>
              </w:rPr>
              <w:t xml:space="preserve">Require an FPP kick-off workshop conducted once before project mobilisation, addressing the activities and conditions identified as having the highest fatality potential for the specific project scope. The workshop must be facilitated by the HSESC Manager and attended by all supervisor-level personnel and above across Company and Contractor organisations.</w:t>
            </w:r>
          </w:p>
          <w:p>
            <w:pPr>
              <w:pStyle w:val="ListParagraph"/>
              <w:numPr>
                <w:ilvl w:val="0"/>
                <w:numId w:val="2"/>
              </w:numPr>
              <w:spacing w:after="40" w:before="40"/>
            </w:pPr>
            <w:r>
              <w:rPr>
                <w:rFonts w:ascii="Arial" w:cs="Arial" w:eastAsia="Arial" w:hAnsi="Arial"/>
                <w:b/>
                <w:bCs/>
                <w:color w:val="375623"/>
                <w:sz w:val="19"/>
                <w:szCs w:val="19"/>
              </w:rPr>
              <w:t xml:space="preserve">[APPC – Appendix C, C-1 §27.4]  </w:t>
            </w:r>
            <w:r>
              <w:rPr>
                <w:rFonts w:ascii="Arial" w:cs="Arial" w:eastAsia="Arial" w:hAnsi="Arial"/>
                <w:color w:val="2D2D2D"/>
                <w:sz w:val="19"/>
                <w:szCs w:val="19"/>
              </w:rPr>
              <w:t xml:space="preserve">Require FPP in-field inspections conducted at a minimum frequency of once every eight weeks throughout the project execution phase. All personnel at supervisor level and above must participate in at least one in-field inspection per defined frequency. Resources must be made available by both Company and Contractor organisations to support FPP activities, and FPP activities are not deferred without Project Director approval.</w:t>
            </w:r>
          </w:p>
          <w:p>
            <w:pPr>
              <w:pStyle w:val="ListParagraph"/>
              <w:numPr>
                <w:ilvl w:val="0"/>
                <w:numId w:val="2"/>
              </w:numPr>
              <w:spacing w:after="40" w:before="40"/>
            </w:pPr>
            <w:r>
              <w:rPr>
                <w:rFonts w:ascii="Arial" w:cs="Arial" w:eastAsia="Arial" w:hAnsi="Arial"/>
                <w:b/>
                <w:bCs/>
                <w:color w:val="375623"/>
                <w:sz w:val="19"/>
                <w:szCs w:val="19"/>
              </w:rPr>
              <w:t xml:space="preserve">[APPC – Appendix C, C-1 §27.5]  </w:t>
            </w:r>
            <w:r>
              <w:rPr>
                <w:rFonts w:ascii="Arial" w:cs="Arial" w:eastAsia="Arial" w:hAnsi="Arial"/>
                <w:color w:val="2D2D2D"/>
                <w:sz w:val="19"/>
                <w:szCs w:val="19"/>
              </w:rPr>
              <w:t xml:space="preserve">Require a documented FPP schedule established before mobilisation and maintained throughout the project lifecycle, including: a pre-mobilisation kick-off workshop; in-field inspections at no less than eight-weekly intervals; and an FPP actions review forum at each project HSESC leadership or performance meeting. The schedule must be held at a defined and accessible project location.</w:t>
            </w:r>
          </w:p>
          <w:p>
            <w:pPr>
              <w:pStyle w:val="ListParagraph"/>
              <w:numPr>
                <w:ilvl w:val="0"/>
                <w:numId w:val="2"/>
              </w:numPr>
              <w:spacing w:after="40" w:before="40"/>
            </w:pPr>
            <w:r>
              <w:rPr>
                <w:rFonts w:ascii="Arial" w:cs="Arial" w:eastAsia="Arial" w:hAnsi="Arial"/>
                <w:b/>
                <w:bCs/>
                <w:color w:val="375623"/>
                <w:sz w:val="19"/>
                <w:szCs w:val="19"/>
              </w:rPr>
              <w:t xml:space="preserve">[APPC – Appendix C, C-1 §27.6]  </w:t>
            </w:r>
            <w:r>
              <w:rPr>
                <w:rFonts w:ascii="Arial" w:cs="Arial" w:eastAsia="Arial" w:hAnsi="Arial"/>
                <w:color w:val="2D2D2D"/>
                <w:sz w:val="19"/>
                <w:szCs w:val="19"/>
              </w:rPr>
              <w:t xml:space="preserve">Require all actions arising from FPP workshops and in-field inspections to be assigned an owner and a due date, tracked to closure, and reported at each project HSESC performance meeting. FPP results, including inspection findings and action status, must be communicated to the Company at each project HSESC performance meeting and included in the monthly HSESC performance report.</w:t>
            </w:r>
          </w:p>
          <w:p>
            <w:pPr>
              <w:pStyle w:val="ListParagraph"/>
              <w:numPr>
                <w:ilvl w:val="0"/>
                <w:numId w:val="2"/>
              </w:numPr>
              <w:spacing w:after="40" w:before="40"/>
            </w:pPr>
            <w:r>
              <w:rPr>
                <w:rFonts w:ascii="Arial" w:cs="Arial" w:eastAsia="Arial" w:hAnsi="Arial"/>
                <w:b/>
                <w:bCs/>
                <w:color w:val="375623"/>
                <w:sz w:val="19"/>
                <w:szCs w:val="19"/>
              </w:rPr>
              <w:t xml:space="preserve">[APPC – Appendix C, C-1 §27.8]  </w:t>
            </w:r>
            <w:r>
              <w:rPr>
                <w:rFonts w:ascii="Arial" w:cs="Arial" w:eastAsia="Arial" w:hAnsi="Arial"/>
                <w:color w:val="2D2D2D"/>
                <w:sz w:val="19"/>
                <w:szCs w:val="19"/>
              </w:rPr>
              <w:t xml:space="preserve">Require the project CRM verification programme to be integrated with and aligned to FPP activities. The CRM verification schedule must be held at a defined and accessible location and reviewed at each FPP actions review forum.</w:t>
            </w:r>
          </w:p>
          <w:p>
            <w:pPr>
              <w:pStyle w:val="ListParagraph"/>
              <w:numPr>
                <w:ilvl w:val="0"/>
                <w:numId w:val="2"/>
              </w:numPr>
              <w:spacing w:after="40" w:before="40"/>
            </w:pPr>
            <w:r>
              <w:rPr>
                <w:rFonts w:ascii="Arial" w:cs="Arial" w:eastAsia="Arial" w:hAnsi="Arial"/>
                <w:b/>
                <w:bCs/>
                <w:color w:val="375623"/>
                <w:sz w:val="19"/>
                <w:szCs w:val="19"/>
              </w:rPr>
              <w:t xml:space="preserve">[APPC – Appendix C, C-1 §27.10]  </w:t>
            </w:r>
            <w:r>
              <w:rPr>
                <w:rFonts w:ascii="Arial" w:cs="Arial" w:eastAsia="Arial" w:hAnsi="Arial"/>
                <w:color w:val="2D2D2D"/>
                <w:sz w:val="19"/>
                <w:szCs w:val="19"/>
              </w:rPr>
              <w:t xml:space="preserve">Require that FPP participant lists are confirmed by the HSESC Manager before each activity and held at a defined project location. Participation must not be limited to HSESC personnel. FPP activities are multi-disciplinary and must include operational, engineering, and supervisory personnel from both Company and Contractor organisations.</w:t>
            </w:r>
          </w:p>
          <w:p>
            <w:r>
              <w:rPr>
                <w:rFonts w:ascii="Arial" w:cs="Arial" w:eastAsia="Arial" w:hAnsi="Arial"/>
                <w:color w:val="3C2A00"/>
                <w:sz w:val="17"/>
                <w:szCs w:val="17"/>
              </w:rPr>
              <w:t xml:space="preserve">Confirm the HAZID workshop schedule for this project and insert into the procedure: pre-construction HAZID date, construction phase reviews, commissioning HAZID. These dates become the project HAZID programme.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JHA trigger list for this project — the specific task categories and conditions that require a formal JHA vs those managed by standard operating procedures. This is a project-specific decision.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minimum hazard observation targets for this project (e.g., minimum observations per supervisor per week). Insert into the designated table.</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Organisational Resources and Responsibilities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05 – Organisational Resources, Responsibilities &amp; Accountabilities</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RTPR-HSE-PRO-0003</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HSESC organisational structure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HSESC resourcing ratios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HSESCLT composition and meeting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Stop Work Authority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HSESC Committee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(HSESC team competency requirements)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RTPR-HSE-PRO-0011 – Communication (HSESCLT meeting as communication channel)</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RTPR-HSE-PRO-0007 – Improvement Planning (HSESCLT as improvement driver)</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RTPR-HSE-PRO-0010 – Document Control (org chart as controlled document)</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RTPR-HSE-PRO-0007 references HSESCLT for performance review governance</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RTPR-HSE-PRO-0011 references HSESCLT meetings as a communication channel</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RTPR-HSE-PRO-0044 references HSESCLT for audit governance</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how HSESC roles, responsibilities, accountabilities, and resources are established and maintained across the owner-led project — covering both the RT project team and all contractor organisations operating under the project HSESC management system. In the owner-led model, RT holds the organisational accountability that in an EPCM model would sit with the EPCM contractor.</w:t>
      </w:r>
    </w:p>
    <w:p>
      <w:pPr>
        <w:pStyle w:val="Heading2"/>
        <w:spacing w:after="60" w:before="240"/>
      </w:pPr>
      <w:r>
        <w:rPr>
          <w:rFonts w:ascii="Arial" w:cs="Arial" w:eastAsia="Arial" w:hAnsi="Arial"/>
          <w:b/>
          <w:bCs/>
          <w:color w:val="2E75B6"/>
          <w:sz w:val="22"/>
          <w:szCs w:val="22"/>
        </w:rPr>
        <w:t xml:space="preserve">HSESC Organisational Structure</w:t>
      </w:r>
    </w:p>
    <w:p>
      <w:pPr>
        <w:pStyle w:val="ListParagraph"/>
        <w:numPr>
          <w:ilvl w:val="0"/>
          <w:numId w:val="2"/>
        </w:numPr>
        <w:spacing w:after="40" w:before="40"/>
      </w:pPr>
      <w:r>
        <w:rPr>
          <w:rFonts w:ascii="Arial" w:cs="Arial" w:eastAsia="Arial" w:hAnsi="Arial"/>
          <w:b/>
          <w:bCs/>
          <w:color w:val="375623"/>
          <w:sz w:val="19"/>
          <w:szCs w:val="19"/>
        </w:rPr>
        <w:t xml:space="preserve">[APPC – Appendix C, C-1 §23.4]  </w:t>
      </w:r>
      <w:r>
        <w:rPr>
          <w:rFonts w:ascii="Arial" w:cs="Arial" w:eastAsia="Arial" w:hAnsi="Arial"/>
          <w:color w:val="2D2D2D"/>
          <w:sz w:val="19"/>
          <w:szCs w:val="19"/>
        </w:rPr>
        <w:t xml:space="preserve">Require a detailed HSESC organisational chart documenting all key HSESC roles across the owner team and contractor organisations, updated whenever changes occur and maintained current for the project duration.</w:t>
      </w:r>
    </w:p>
    <w:p>
      <w:pPr>
        <w:pStyle w:val="ListParagraph"/>
        <w:numPr>
          <w:ilvl w:val="0"/>
          <w:numId w:val="2"/>
        </w:numPr>
        <w:spacing w:after="40" w:before="40"/>
      </w:pPr>
      <w:r>
        <w:rPr>
          <w:rFonts w:ascii="Arial" w:cs="Arial" w:eastAsia="Arial" w:hAnsi="Arial"/>
          <w:b/>
          <w:bCs/>
          <w:color w:val="375623"/>
          <w:sz w:val="19"/>
          <w:szCs w:val="19"/>
        </w:rPr>
        <w:t xml:space="preserve">[APPC – Appendix C, C-1 §23.4]  </w:t>
      </w:r>
      <w:r>
        <w:rPr>
          <w:rFonts w:ascii="Arial" w:cs="Arial" w:eastAsia="Arial" w:hAnsi="Arial"/>
          <w:color w:val="2D2D2D"/>
          <w:sz w:val="19"/>
          <w:szCs w:val="19"/>
        </w:rPr>
        <w:t xml:space="preserve">Define the minimum HSESC resourcing ratio (1 HSESC professional per 50 workers across the combined project workforce), the process for justifying any alternative ratio, and the requirement for dedicated office-based HSESC resource to support site-based personnel.</w:t>
      </w:r>
    </w:p>
    <w:p>
      <w:pPr>
        <w:pStyle w:val="ListParagraph"/>
        <w:numPr>
          <w:ilvl w:val="0"/>
          <w:numId w:val="2"/>
        </w:numPr>
        <w:spacing w:after="40" w:before="40"/>
      </w:pPr>
      <w:r>
        <w:rPr>
          <w:rFonts w:ascii="Arial" w:cs="Arial" w:eastAsia="Arial" w:hAnsi="Arial"/>
          <w:b/>
          <w:bCs/>
          <w:color w:val="C55A11"/>
          <w:sz w:val="19"/>
          <w:szCs w:val="19"/>
        </w:rPr>
        <w:t xml:space="preserve">[IFC – IFC PS1 §19]  </w:t>
      </w:r>
      <w:r>
        <w:rPr>
          <w:rFonts w:ascii="Arial" w:cs="Arial" w:eastAsia="Arial" w:hAnsi="Arial"/>
          <w:color w:val="2D2D2D"/>
          <w:sz w:val="19"/>
          <w:szCs w:val="19"/>
        </w:rPr>
        <w:t xml:space="preserve">Ensure the organisational capacity is sufficient to implement the ESMS, with defined roles covering assessment, management, monitoring, and stakeholder engagement functions throughout the project lifecycle.</w:t>
      </w:r>
    </w:p>
    <w:p>
      <w:pPr>
        <w:pStyle w:val="ListParagraph"/>
        <w:numPr>
          <w:ilvl w:val="0"/>
          <w:numId w:val="2"/>
        </w:numPr>
        <w:spacing w:after="40" w:before="40"/>
      </w:pPr>
      <w:r>
        <w:rPr>
          <w:rFonts w:ascii="Arial" w:cs="Arial" w:eastAsia="Arial" w:hAnsi="Arial"/>
          <w:b/>
          <w:bCs/>
          <w:color w:val="2F5496"/>
          <w:sz w:val="19"/>
          <w:szCs w:val="19"/>
        </w:rPr>
        <w:t xml:space="preserve">[TSM – TSM – Safe, Healthy and Respectful Workplaces Protocol, Indicator SH1]  </w:t>
      </w:r>
      <w:r>
        <w:rPr>
          <w:rFonts w:ascii="Arial" w:cs="Arial" w:eastAsia="Arial" w:hAnsi="Arial"/>
          <w:color w:val="2D2D2D"/>
          <w:sz w:val="19"/>
          <w:szCs w:val="19"/>
        </w:rPr>
        <w:t xml:space="preserve">Require that senior management accountability for health, safety, and respectful workplace outcomes is assigned in writing to a named individual at the most senior level of the project organisation.</w:t>
      </w:r>
    </w:p>
    <w:p>
      <w:pPr>
        <w:pStyle w:val="Heading2"/>
        <w:spacing w:after="60" w:before="240"/>
      </w:pPr>
      <w:r>
        <w:rPr>
          <w:rFonts w:ascii="Arial" w:cs="Arial" w:eastAsia="Arial" w:hAnsi="Arial"/>
          <w:b/>
          <w:bCs/>
          <w:color w:val="2E75B6"/>
          <w:sz w:val="22"/>
          <w:szCs w:val="22"/>
        </w:rPr>
        <w:t xml:space="preserve">Leadership and Accountability</w:t>
      </w:r>
    </w:p>
    <w:p>
      <w:pPr>
        <w:pStyle w:val="ListParagraph"/>
        <w:numPr>
          <w:ilvl w:val="0"/>
          <w:numId w:val="2"/>
        </w:numPr>
        <w:spacing w:after="40" w:before="40"/>
      </w:pPr>
      <w:r>
        <w:rPr>
          <w:rFonts w:ascii="Arial" w:cs="Arial" w:eastAsia="Arial" w:hAnsi="Arial"/>
          <w:b/>
          <w:bCs/>
          <w:color w:val="375623"/>
          <w:sz w:val="19"/>
          <w:szCs w:val="19"/>
        </w:rPr>
        <w:t xml:space="preserve">[APPC – Appendix C, C-1 §23.2]  </w:t>
      </w:r>
      <w:r>
        <w:rPr>
          <w:rFonts w:ascii="Arial" w:cs="Arial" w:eastAsia="Arial" w:hAnsi="Arial"/>
          <w:color w:val="2D2D2D"/>
          <w:sz w:val="19"/>
          <w:szCs w:val="19"/>
        </w:rPr>
        <w:t xml:space="preserve">Require that the project's most senior leader demonstrates visible HSESC leadership through regular site attendance, direct workforce engagement, and public commitment to project HSESC objectives.</w:t>
      </w:r>
    </w:p>
    <w:p>
      <w:pPr>
        <w:pStyle w:val="ListParagraph"/>
        <w:numPr>
          <w:ilvl w:val="0"/>
          <w:numId w:val="2"/>
        </w:numPr>
        <w:spacing w:after="40" w:before="40"/>
      </w:pPr>
      <w:r>
        <w:rPr>
          <w:rFonts w:ascii="Arial" w:cs="Arial" w:eastAsia="Arial" w:hAnsi="Arial"/>
          <w:b/>
          <w:bCs/>
          <w:color w:val="375623"/>
          <w:sz w:val="19"/>
          <w:szCs w:val="19"/>
        </w:rPr>
        <w:t xml:space="preserve">[APPC – Appendix C, C-1 §23.2]  </w:t>
      </w:r>
      <w:r>
        <w:rPr>
          <w:rFonts w:ascii="Arial" w:cs="Arial" w:eastAsia="Arial" w:hAnsi="Arial"/>
          <w:color w:val="2D2D2D"/>
          <w:sz w:val="19"/>
          <w:szCs w:val="19"/>
        </w:rPr>
        <w:t xml:space="preserve">Define the process for recognising and acknowledging safe and environmentally responsible work behaviours across all levels of the project organisation.</w:t>
      </w:r>
    </w:p>
    <w:p>
      <w:pPr>
        <w:pStyle w:val="ListParagraph"/>
        <w:numPr>
          <w:ilvl w:val="0"/>
          <w:numId w:val="2"/>
        </w:numPr>
        <w:spacing w:after="40" w:before="40"/>
      </w:pPr>
      <w:r>
        <w:rPr>
          <w:rFonts w:ascii="Arial" w:cs="Arial" w:eastAsia="Arial" w:hAnsi="Arial"/>
          <w:b/>
          <w:bCs/>
          <w:color w:val="7030A0"/>
          <w:sz w:val="19"/>
          <w:szCs w:val="19"/>
        </w:rPr>
        <w:t xml:space="preserve">[ICMM – ICMM Principle 5, Performance Expectation 5.1]  </w:t>
      </w:r>
      <w:r>
        <w:rPr>
          <w:rFonts w:ascii="Arial" w:cs="Arial" w:eastAsia="Arial" w:hAnsi="Arial"/>
          <w:color w:val="2D2D2D"/>
          <w:sz w:val="19"/>
          <w:szCs w:val="19"/>
        </w:rPr>
        <w:t xml:space="preserve">Implement practices that demonstrate senior leadership accountability for performance against targets for elimination of fatalities, serious injuries, and psychosocial hazards — monitored and reported against defined goals.</w:t>
      </w:r>
    </w:p>
    <w:p>
      <w:pPr>
        <w:pStyle w:val="ListParagraph"/>
        <w:numPr>
          <w:ilvl w:val="0"/>
          <w:numId w:val="2"/>
        </w:numPr>
        <w:spacing w:after="40" w:before="40"/>
      </w:pPr>
      <w:r>
        <w:rPr>
          <w:rFonts w:ascii="Arial" w:cs="Arial" w:eastAsia="Arial" w:hAnsi="Arial"/>
          <w:b/>
          <w:bCs/>
          <w:color w:val="2F5496"/>
          <w:sz w:val="19"/>
          <w:szCs w:val="19"/>
        </w:rPr>
        <w:t xml:space="preserve">[TSM – TSM – Safe, Healthy and Respectful Workplaces Protocol, Indicator SH1]  </w:t>
      </w:r>
      <w:r>
        <w:rPr>
          <w:rFonts w:ascii="Arial" w:cs="Arial" w:eastAsia="Arial" w:hAnsi="Arial"/>
          <w:color w:val="2D2D2D"/>
          <w:sz w:val="19"/>
          <w:szCs w:val="19"/>
        </w:rPr>
        <w:t xml:space="preserve">Set safety and health targets from senior management, communicate them to all project personnel, and monitor and report performance against them at defined intervals.</w:t>
      </w:r>
    </w:p>
    <w:p>
      <w:pPr>
        <w:pStyle w:val="Heading2"/>
        <w:spacing w:after="60" w:before="240"/>
      </w:pPr>
      <w:r>
        <w:rPr>
          <w:rFonts w:ascii="Arial" w:cs="Arial" w:eastAsia="Arial" w:hAnsi="Arial"/>
          <w:b/>
          <w:bCs/>
          <w:color w:val="2E75B6"/>
          <w:sz w:val="22"/>
          <w:szCs w:val="22"/>
        </w:rPr>
        <w:t xml:space="preserve">HSESC Leadership Team</w:t>
      </w:r>
    </w:p>
    <w:p>
      <w:pPr>
        <w:pStyle w:val="ListParagraph"/>
        <w:numPr>
          <w:ilvl w:val="0"/>
          <w:numId w:val="2"/>
        </w:numPr>
        <w:spacing w:after="40" w:before="40"/>
      </w:pPr>
      <w:r>
        <w:rPr>
          <w:rFonts w:ascii="Arial" w:cs="Arial" w:eastAsia="Arial" w:hAnsi="Arial"/>
          <w:b/>
          <w:bCs/>
          <w:color w:val="375623"/>
          <w:sz w:val="19"/>
          <w:szCs w:val="19"/>
        </w:rPr>
        <w:t xml:space="preserve">[APPC – Appendix C, C-1 §23.3]  </w:t>
      </w:r>
      <w:r>
        <w:rPr>
          <w:rFonts w:ascii="Arial" w:cs="Arial" w:eastAsia="Arial" w:hAnsi="Arial"/>
          <w:color w:val="2D2D2D"/>
          <w:sz w:val="19"/>
          <w:szCs w:val="19"/>
        </w:rPr>
        <w:t xml:space="preserve">Require establishment of a project HSESCLT at each significant work location, comprising senior project leadership and HSESC function representatives.</w:t>
      </w:r>
    </w:p>
    <w:p>
      <w:pPr>
        <w:pStyle w:val="ListParagraph"/>
        <w:numPr>
          <w:ilvl w:val="0"/>
          <w:numId w:val="2"/>
        </w:numPr>
        <w:spacing w:after="40" w:before="40"/>
      </w:pPr>
      <w:r>
        <w:rPr>
          <w:rFonts w:ascii="Arial" w:cs="Arial" w:eastAsia="Arial" w:hAnsi="Arial"/>
          <w:b/>
          <w:bCs/>
          <w:color w:val="375623"/>
          <w:sz w:val="19"/>
          <w:szCs w:val="19"/>
        </w:rPr>
        <w:t xml:space="preserve">[APPC – Appendix C, C-1 §23.3]  </w:t>
      </w:r>
      <w:r>
        <w:rPr>
          <w:rFonts w:ascii="Arial" w:cs="Arial" w:eastAsia="Arial" w:hAnsi="Arial"/>
          <w:color w:val="2D2D2D"/>
          <w:sz w:val="19"/>
          <w:szCs w:val="19"/>
        </w:rPr>
        <w:t xml:space="preserve">Define HSESCLT meeting frequency (monthly minimum), agenda requirements covering performance, audit findings, incident trends, corrective actions, and CRM performance; minute recording and distribution obligations; and the requirement that HSESC issues take priority at all management meetings.</w:t>
      </w:r>
    </w:p>
    <w:p>
      <w:pPr>
        <w:pStyle w:val="ListParagraph"/>
        <w:numPr>
          <w:ilvl w:val="0"/>
          <w:numId w:val="2"/>
        </w:numPr>
        <w:spacing w:after="40" w:before="40"/>
      </w:pPr>
      <w:r>
        <w:rPr>
          <w:rFonts w:ascii="Arial" w:cs="Arial" w:eastAsia="Arial" w:hAnsi="Arial"/>
          <w:b/>
          <w:bCs/>
          <w:color w:val="375623"/>
          <w:sz w:val="19"/>
          <w:szCs w:val="19"/>
        </w:rPr>
        <w:t xml:space="preserve">[APPC – Appendix C, C-1 §24]  </w:t>
      </w:r>
      <w:r>
        <w:rPr>
          <w:rFonts w:ascii="Arial" w:cs="Arial" w:eastAsia="Arial" w:hAnsi="Arial"/>
          <w:color w:val="2D2D2D"/>
          <w:sz w:val="19"/>
          <w:szCs w:val="19"/>
        </w:rPr>
        <w:t xml:space="preserve">Require the HSESCLT to actively promote Stop Work Authority (SWA), granting all personnel the unconditional right and responsibility to stop work without fear of retribution when a safety condition could result in harm. Require SWA events to be documented, reported, and shared as learning.</w:t>
      </w:r>
    </w:p>
    <w:p>
      <w:pPr>
        <w:pStyle w:val="Heading2"/>
        <w:spacing w:after="60" w:before="240"/>
      </w:pPr>
      <w:r>
        <w:rPr>
          <w:rFonts w:ascii="Arial" w:cs="Arial" w:eastAsia="Arial" w:hAnsi="Arial"/>
          <w:b/>
          <w:bCs/>
          <w:color w:val="2E75B6"/>
          <w:sz w:val="22"/>
          <w:szCs w:val="22"/>
        </w:rPr>
        <w:t xml:space="preserve">Roles and Responsibilities</w:t>
      </w:r>
    </w:p>
    <w:p>
      <w:pPr>
        <w:pStyle w:val="ListParagraph"/>
        <w:numPr>
          <w:ilvl w:val="0"/>
          <w:numId w:val="2"/>
        </w:numPr>
        <w:spacing w:after="40" w:before="40"/>
      </w:pPr>
      <w:r>
        <w:rPr>
          <w:rFonts w:ascii="Arial" w:cs="Arial" w:eastAsia="Arial" w:hAnsi="Arial"/>
          <w:b/>
          <w:bCs/>
          <w:color w:val="375623"/>
          <w:sz w:val="19"/>
          <w:szCs w:val="19"/>
        </w:rPr>
        <w:t xml:space="preserve">[APPC – Appendix C, C-1 §23.4]  </w:t>
      </w:r>
      <w:r>
        <w:rPr>
          <w:rFonts w:ascii="Arial" w:cs="Arial" w:eastAsia="Arial" w:hAnsi="Arial"/>
          <w:color w:val="2D2D2D"/>
          <w:sz w:val="19"/>
          <w:szCs w:val="19"/>
        </w:rPr>
        <w:t xml:space="preserve">Require a detailed listing of HSESC roles and responsibilities for all key personnel, including interface responsibilities between the RT project team and contractor organisations, submitted within 30 days of the Effective Date.</w:t>
      </w:r>
    </w:p>
    <w:p>
      <w:pPr>
        <w:pStyle w:val="ListParagraph"/>
        <w:numPr>
          <w:ilvl w:val="0"/>
          <w:numId w:val="2"/>
        </w:numPr>
        <w:spacing w:after="40" w:before="40"/>
      </w:pPr>
      <w:r>
        <w:rPr>
          <w:rFonts w:ascii="Arial" w:cs="Arial" w:eastAsia="Arial" w:hAnsi="Arial"/>
          <w:b/>
          <w:bCs/>
          <w:color w:val="C55A11"/>
          <w:sz w:val="19"/>
          <w:szCs w:val="19"/>
        </w:rPr>
        <w:t xml:space="preserve">[IFC – IFC PS1 §19]  </w:t>
      </w:r>
      <w:r>
        <w:rPr>
          <w:rFonts w:ascii="Arial" w:cs="Arial" w:eastAsia="Arial" w:hAnsi="Arial"/>
          <w:color w:val="2D2D2D"/>
          <w:sz w:val="19"/>
          <w:szCs w:val="19"/>
        </w:rPr>
        <w:t xml:space="preserve">Ensure that personnel responsible for implementing the management system have the training, skills, experience, and technical capacity required for their specific roles.</w:t>
      </w:r>
    </w:p>
    <w:p>
      <w:pPr>
        <w:pStyle w:val="ListParagraph"/>
        <w:numPr>
          <w:ilvl w:val="0"/>
          <w:numId w:val="2"/>
        </w:numPr>
        <w:spacing w:after="40" w:before="40"/>
      </w:pPr>
      <w:r>
        <w:rPr>
          <w:rFonts w:ascii="Arial" w:cs="Arial" w:eastAsia="Arial" w:hAnsi="Arial"/>
          <w:b/>
          <w:bCs/>
          <w:color w:val="BF9000"/>
          <w:sz w:val="19"/>
          <w:szCs w:val="19"/>
        </w:rPr>
        <w:t xml:space="preserve">[OSHA – OSHA RP 2016 – Management Leadership]  </w:t>
      </w:r>
      <w:r>
        <w:rPr>
          <w:rFonts w:ascii="Arial" w:cs="Arial" w:eastAsia="Arial" w:hAnsi="Arial"/>
          <w:color w:val="2D2D2D"/>
          <w:sz w:val="19"/>
          <w:szCs w:val="19"/>
        </w:rPr>
        <w:t xml:space="preserve">Ensure supervisors at all levels understand their HSESC responsibilities and have the authority and resources necessary to fulfil them effectively.</w:t>
      </w:r>
    </w:p>
    <w:p>
      <w:pPr>
        <w:pStyle w:val="Heading2"/>
        <w:spacing w:after="60" w:before="240"/>
      </w:pPr>
      <w:r>
        <w:rPr>
          <w:rFonts w:ascii="Arial" w:cs="Arial" w:eastAsia="Arial" w:hAnsi="Arial"/>
          <w:b/>
          <w:bCs/>
          <w:color w:val="2E75B6"/>
          <w:sz w:val="22"/>
          <w:szCs w:val="22"/>
        </w:rPr>
        <w:t xml:space="preserve">HSESC Committee</w:t>
      </w:r>
    </w:p>
    <w:p>
      <w:pPr>
        <w:pStyle w:val="ListParagraph"/>
        <w:numPr>
          <w:ilvl w:val="0"/>
          <w:numId w:val="2"/>
        </w:numPr>
        <w:spacing w:after="40" w:before="40"/>
      </w:pPr>
      <w:r>
        <w:rPr>
          <w:rFonts w:ascii="Arial" w:cs="Arial" w:eastAsia="Arial" w:hAnsi="Arial"/>
          <w:b/>
          <w:bCs/>
          <w:color w:val="375623"/>
          <w:sz w:val="19"/>
          <w:szCs w:val="19"/>
        </w:rPr>
        <w:t xml:space="preserve">[APPC – Appendix C, C-1 §38.5]  </w:t>
      </w:r>
      <w:r>
        <w:rPr>
          <w:rFonts w:ascii="Arial" w:cs="Arial" w:eastAsia="Arial" w:hAnsi="Arial"/>
          <w:color w:val="2D2D2D"/>
          <w:sz w:val="19"/>
          <w:szCs w:val="19"/>
        </w:rPr>
        <w:t xml:space="preserve">Require each site to have an operational HSESC committee including representatives from all work groups and contractor organisations, meeting at regular planned intervals with documented minutes available to all personnel.</w:t>
      </w:r>
    </w:p>
    <w:p>
      <w:pPr>
        <w:pStyle w:val="ListParagraph"/>
        <w:numPr>
          <w:ilvl w:val="0"/>
          <w:numId w:val="2"/>
        </w:numPr>
        <w:spacing w:after="40" w:before="40"/>
      </w:pPr>
      <w:r>
        <w:rPr>
          <w:rFonts w:ascii="Arial" w:cs="Arial" w:eastAsia="Arial" w:hAnsi="Arial"/>
          <w:b/>
          <w:bCs/>
          <w:color w:val="C55A11"/>
          <w:sz w:val="19"/>
          <w:szCs w:val="19"/>
        </w:rPr>
        <w:t xml:space="preserve">[IFC – IFC PS2 §36]  </w:t>
      </w:r>
      <w:r>
        <w:rPr>
          <w:rFonts w:ascii="Arial" w:cs="Arial" w:eastAsia="Arial" w:hAnsi="Arial"/>
          <w:color w:val="2D2D2D"/>
          <w:sz w:val="19"/>
          <w:szCs w:val="19"/>
        </w:rPr>
        <w:t xml:space="preserve">Ensure workers have effective mechanisms to raise workplace concerns and that their participation in identifying and managing HSESC risks is actively supported.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Insert the project HSESC organisational chart. This must show RT project team HSESC roles AND the key HSESC roles within each major contractor organisation. Update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HSESCLT composition for this project by position title: who from the RT project team, who from each major contractor. The procedure sets the minimum requirements; the project sets the specific membership list.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HSESCLT meeting schedule for this project (specific day and frequency). The procedure requires monthly minimum — the project may set a higher frequency for high-risk phases.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Confirm the Stop Work Authority communication method for this project: how is SWA trained; where are SWA cards or posters displayed; how are SWA events recorded and communicated. Insert the project-specific SWA process flowchart.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C-1 §23.4.8]  </w:t>
            </w:r>
            <w:r>
              <w:rPr>
                <w:rFonts w:ascii="Arial" w:cs="Arial" w:eastAsia="Arial" w:hAnsi="Arial"/>
                <w:color w:val="2D2D2D"/>
                <w:sz w:val="19"/>
                <w:szCs w:val="19"/>
              </w:rPr>
              <w:t xml:space="preserve">Require the project to submit an updated HSESC organisational chart to the Company and ensure it reflects any changes for the duration of the contract. Updates must be submitted within an agreed timeframe following any change to key HSESC personnel.</w:t>
            </w:r>
          </w:p>
          <w:p>
            <w:pPr>
              <w:pStyle w:val="ListParagraph"/>
              <w:numPr>
                <w:ilvl w:val="0"/>
                <w:numId w:val="2"/>
              </w:numPr>
              <w:spacing w:after="40" w:before="40"/>
            </w:pPr>
            <w:r>
              <w:rPr>
                <w:rFonts w:ascii="Arial" w:cs="Arial" w:eastAsia="Arial" w:hAnsi="Arial"/>
                <w:b/>
                <w:bCs/>
                <w:color w:val="375623"/>
                <w:sz w:val="19"/>
                <w:szCs w:val="19"/>
              </w:rPr>
              <w:t xml:space="preserve">[APPC – Appendix C, C-1 §23.3.6]  </w:t>
            </w:r>
            <w:r>
              <w:rPr>
                <w:rFonts w:ascii="Arial" w:cs="Arial" w:eastAsia="Arial" w:hAnsi="Arial"/>
                <w:color w:val="2D2D2D"/>
                <w:sz w:val="19"/>
                <w:szCs w:val="19"/>
              </w:rPr>
              <w:t xml:space="preserve">Require the HSESCLT to identify and reward personnel and teams demonstrating high standards of HSESC performance, and to ensure all HSESC concerns raised through any feedback mechanism are addressed in a timely manner.</w:t>
            </w:r>
          </w:p>
          <w:p>
            <w:pPr>
              <w:pStyle w:val="ListParagraph"/>
              <w:numPr>
                <w:ilvl w:val="0"/>
                <w:numId w:val="2"/>
              </w:numPr>
              <w:spacing w:after="40" w:before="40"/>
            </w:pPr>
            <w:r>
              <w:rPr>
                <w:rFonts w:ascii="Arial" w:cs="Arial" w:eastAsia="Arial" w:hAnsi="Arial"/>
                <w:b/>
                <w:bCs/>
                <w:color w:val="375623"/>
                <w:sz w:val="19"/>
                <w:szCs w:val="19"/>
              </w:rPr>
              <w:t xml:space="preserve">[APPC – Appendix C, C-1 §23.3.8]  </w:t>
            </w:r>
            <w:r>
              <w:rPr>
                <w:rFonts w:ascii="Arial" w:cs="Arial" w:eastAsia="Arial" w:hAnsi="Arial"/>
                <w:color w:val="2D2D2D"/>
                <w:sz w:val="19"/>
                <w:szCs w:val="19"/>
              </w:rPr>
              <w:t xml:space="preserve">Require the HSESCLT to regularly review and implement corrective actions from inspections, audits, incident investigations, and near-miss reports to ensure continuous improvement in HSESC performance.</w:t>
            </w:r>
          </w:p>
          <w:p>
            <w:pPr>
              <w:pStyle w:val="Heading2Numbered_"/>
              <w:spacing w:after="40" w:before="200"/>
            </w:pPr>
            <w:r>
              <w:rPr>
                <w:rFonts w:ascii="Arial" w:cs="Arial" w:eastAsia="Arial" w:hAnsi="Arial"/>
                <w:b/>
                <w:sz w:val="20"/>
                <w:szCs w:val="20"/>
              </w:rPr>
              <w:t xml:space="preserve">Leadership Development Programme</w:t>
            </w:r>
          </w:p>
          <w:p>
            <w:pPr>
              <w:pStyle w:val="ListParagraph"/>
              <w:numPr>
                <w:ilvl w:val="0"/>
                <w:numId w:val="2"/>
              </w:numPr>
              <w:spacing w:after="40" w:before="40"/>
            </w:pPr>
            <w:r>
              <w:rPr>
                <w:rFonts w:ascii="Arial" w:cs="Arial" w:eastAsia="Arial" w:hAnsi="Arial"/>
                <w:b/>
                <w:bCs/>
                <w:color w:val="375623"/>
                <w:sz w:val="19"/>
                <w:szCs w:val="19"/>
              </w:rPr>
              <w:t xml:space="preserve">[APPC – Appendix C, C-6 §106.1.1]  </w:t>
            </w:r>
            <w:r>
              <w:rPr>
                <w:rFonts w:ascii="Arial" w:cs="Arial" w:eastAsia="Arial" w:hAnsi="Arial"/>
                <w:color w:val="2D2D2D"/>
                <w:sz w:val="19"/>
                <w:szCs w:val="19"/>
              </w:rPr>
              <w:t xml:space="preserve">Require development of a Leadership Development Implementation Plan covering all project phases: planning, pre-mobilisation, mobilisation, execution, and demobilisation. The plan must set objectives for leadership culture aligned with Company values, define key activities to establish and sustain leadership at all levels, and include a budget — refer RTPR-HSE-PRO-0050.</w:t>
            </w:r>
          </w:p>
          <w:p>
            <w:pPr>
              <w:pStyle w:val="ListParagraph"/>
              <w:numPr>
                <w:ilvl w:val="0"/>
                <w:numId w:val="2"/>
              </w:numPr>
              <w:spacing w:after="40" w:before="40"/>
            </w:pPr>
            <w:r>
              <w:rPr>
                <w:rFonts w:ascii="Arial" w:cs="Arial" w:eastAsia="Arial" w:hAnsi="Arial"/>
                <w:b/>
                <w:bCs/>
                <w:color w:val="375623"/>
                <w:sz w:val="19"/>
                <w:szCs w:val="19"/>
              </w:rPr>
              <w:t xml:space="preserve">[APPC – Appendix C, C-6 §108.0.1]  </w:t>
            </w:r>
            <w:r>
              <w:rPr>
                <w:rFonts w:ascii="Arial" w:cs="Arial" w:eastAsia="Arial" w:hAnsi="Arial"/>
                <w:color w:val="2D2D2D"/>
                <w:sz w:val="19"/>
                <w:szCs w:val="19"/>
              </w:rPr>
              <w:t xml:space="preserve">Require establishment of a Contractor Leadership Team for the project to drive the Contractor project culture. The Leadership Team must establish and maintain a charter, conduct periodic cultural assessments, develop action plans for cultural improvement, and ensure professional development and coaching of managers, superintendents, and frontline leaders — refer RTPR-HSE-PRO-0050.</w:t>
            </w:r>
          </w:p>
          <w:p>
            <w:r>
              <w:rPr>
                <w:rFonts w:ascii="Arial" w:cs="Arial" w:eastAsia="Arial" w:hAnsi="Arial"/>
                <w:color w:val="3C2A00"/>
                <w:sz w:val="17"/>
                <w:szCs w:val="17"/>
              </w:rPr>
              <w:t xml:space="preserve">Define the HSESC Committee membership for each work location on this project, including contractor representatives. The committee is separate from the HSESCLT.</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Training, Competency and Awareness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06 – Training, Competency &amp; Awareness</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RTPR-HSE-PRO-0004</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Training Matrix and Competency Register (RTPR-HSE-REG-0003)</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Training programme structure and minimum content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Induction programme requirements and phase transition triggers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SSE programme definition and thresholds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VOC process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Training record retention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RTPR-HSE-PRO-0001 – Legal Requirements (licence and certification requirements)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RTPR-HSE-PRO-0003 – Org Resources (roles requiring specific competency)</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RTPR-HSE-PRO-0010 – Document Control (training record storage)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RTPR-HSE-PRO-0043 – Records Management (retention periods for training records)</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ALL procedures reference RTPR-HSE-PRO-0004 for competency verification and record keeping</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RTPR-HSE-PRO-0008, RTPR-HSE-PRO-0014, RTPR-HSE-PRO-0015, RTPR-HSE-PRO-0021, RTPR-HSE-PRO-0024, RTPR-HSE-PRO-0025, RTPR-HSE-PRO-0046 have specific competency requirements that are documented in RTPR-HSE-REG-0003</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how the project ensures all personnel — RT project team, all contractor organisations, and visitors — have the knowledge, skills, and formal competency required to perform their work safely and in compliance with HSESC requirements. RT, as project owner, sets the minimum training standard and is responsible for verifying competency across the entire project workforce.</w:t>
      </w:r>
    </w:p>
    <w:p>
      <w:pPr>
        <w:pStyle w:val="Heading2"/>
        <w:spacing w:after="60" w:before="240"/>
      </w:pPr>
      <w:r>
        <w:rPr>
          <w:rFonts w:ascii="Arial" w:cs="Arial" w:eastAsia="Arial" w:hAnsi="Arial"/>
          <w:b/>
          <w:bCs/>
          <w:color w:val="2E75B6"/>
          <w:sz w:val="22"/>
          <w:szCs w:val="22"/>
        </w:rPr>
        <w:t xml:space="preserve">Training Needs Analysis and Programme</w:t>
      </w:r>
    </w:p>
    <w:p>
      <w:pPr>
        <w:pStyle w:val="ListParagraph"/>
        <w:numPr>
          <w:ilvl w:val="0"/>
          <w:numId w:val="2"/>
        </w:numPr>
        <w:spacing w:after="40" w:before="40"/>
      </w:pPr>
      <w:r>
        <w:rPr>
          <w:rFonts w:ascii="Arial" w:cs="Arial" w:eastAsia="Arial" w:hAnsi="Arial"/>
          <w:b/>
          <w:bCs/>
          <w:color w:val="375623"/>
          <w:sz w:val="19"/>
          <w:szCs w:val="19"/>
        </w:rPr>
        <w:t xml:space="preserve">[APPC – Appendix C, C-1 §29.2]  </w:t>
      </w:r>
      <w:r>
        <w:rPr>
          <w:rFonts w:ascii="Arial" w:cs="Arial" w:eastAsia="Arial" w:hAnsi="Arial"/>
          <w:color w:val="2D2D2D"/>
          <w:sz w:val="19"/>
          <w:szCs w:val="19"/>
        </w:rPr>
        <w:t xml:space="preserve">Require a training needs analysis for all roles before commencement of work, and a training programme developed and available within 30 days of the Effective Date, addressing regional challenges including availability of third-party training providers.</w:t>
      </w:r>
    </w:p>
    <w:p>
      <w:pPr>
        <w:pStyle w:val="ListParagraph"/>
        <w:numPr>
          <w:ilvl w:val="0"/>
          <w:numId w:val="2"/>
        </w:numPr>
        <w:spacing w:after="40" w:before="40"/>
      </w:pPr>
      <w:r>
        <w:rPr>
          <w:rFonts w:ascii="Arial" w:cs="Arial" w:eastAsia="Arial" w:hAnsi="Arial"/>
          <w:b/>
          <w:bCs/>
          <w:color w:val="375623"/>
          <w:sz w:val="19"/>
          <w:szCs w:val="19"/>
        </w:rPr>
        <w:t xml:space="preserve">[APPC – Appendix C, C-1 §29.2]  </w:t>
      </w:r>
      <w:r>
        <w:rPr>
          <w:rFonts w:ascii="Arial" w:cs="Arial" w:eastAsia="Arial" w:hAnsi="Arial"/>
          <w:color w:val="2D2D2D"/>
          <w:sz w:val="19"/>
          <w:szCs w:val="19"/>
        </w:rPr>
        <w:t xml:space="preserve">Require training materials to match workforce language and literacy levels. Where English is not the first language, require translated materials, interpreters, or localised programmes.</w:t>
      </w:r>
    </w:p>
    <w:p>
      <w:pPr>
        <w:pStyle w:val="ListParagraph"/>
        <w:numPr>
          <w:ilvl w:val="0"/>
          <w:numId w:val="2"/>
        </w:numPr>
        <w:spacing w:after="40" w:before="40"/>
      </w:pPr>
      <w:r>
        <w:rPr>
          <w:rFonts w:ascii="Arial" w:cs="Arial" w:eastAsia="Arial" w:hAnsi="Arial"/>
          <w:b/>
          <w:bCs/>
          <w:color w:val="C55A11"/>
          <w:sz w:val="19"/>
          <w:szCs w:val="19"/>
        </w:rPr>
        <w:t xml:space="preserve">[IFC – IFC PS1 §20]  </w:t>
      </w:r>
      <w:r>
        <w:rPr>
          <w:rFonts w:ascii="Arial" w:cs="Arial" w:eastAsia="Arial" w:hAnsi="Arial"/>
          <w:color w:val="2D2D2D"/>
          <w:sz w:val="19"/>
          <w:szCs w:val="19"/>
        </w:rPr>
        <w:t xml:space="preserve">Ensure training addresses the specific measures and actions required under the project management system, including the methods required to implement those actions competently.</w:t>
      </w:r>
    </w:p>
    <w:p>
      <w:pPr>
        <w:pStyle w:val="ListParagraph"/>
        <w:numPr>
          <w:ilvl w:val="0"/>
          <w:numId w:val="2"/>
        </w:numPr>
        <w:spacing w:after="40" w:before="40"/>
      </w:pPr>
      <w:r>
        <w:rPr>
          <w:rFonts w:ascii="Arial" w:cs="Arial" w:eastAsia="Arial" w:hAnsi="Arial"/>
          <w:b/>
          <w:bCs/>
          <w:color w:val="C55A11"/>
          <w:sz w:val="19"/>
          <w:szCs w:val="19"/>
        </w:rPr>
        <w:t xml:space="preserve">[IFC – IFC PS2 GN§80]  </w:t>
      </w:r>
      <w:r>
        <w:rPr>
          <w:rFonts w:ascii="Arial" w:cs="Arial" w:eastAsia="Arial" w:hAnsi="Arial"/>
          <w:color w:val="2D2D2D"/>
          <w:sz w:val="19"/>
          <w:szCs w:val="19"/>
        </w:rPr>
        <w:t xml:space="preserve">Provide OHS training to all workers on relevant aspects of their daily work, including emergency arrangements. Provide briefings to visitors and third parties accessing project premises.</w:t>
      </w:r>
    </w:p>
    <w:p>
      <w:pPr>
        <w:pStyle w:val="ListParagraph"/>
        <w:numPr>
          <w:ilvl w:val="0"/>
          <w:numId w:val="2"/>
        </w:numPr>
        <w:spacing w:after="40" w:before="40"/>
      </w:pPr>
      <w:r>
        <w:rPr>
          <w:rFonts w:ascii="Arial" w:cs="Arial" w:eastAsia="Arial" w:hAnsi="Arial"/>
          <w:b/>
          <w:bCs/>
          <w:color w:val="7030A0"/>
          <w:sz w:val="19"/>
          <w:szCs w:val="19"/>
        </w:rPr>
        <w:t xml:space="preserve">[ICMM – ICMM Principle 5, Performance Expectation 5.2]  </w:t>
      </w:r>
      <w:r>
        <w:rPr>
          <w:rFonts w:ascii="Arial" w:cs="Arial" w:eastAsia="Arial" w:hAnsi="Arial"/>
          <w:color w:val="2D2D2D"/>
          <w:sz w:val="19"/>
          <w:szCs w:val="19"/>
        </w:rPr>
        <w:t xml:space="preserve">Provide workers with training in accordance with their responsibilities for physical and psychological health and safety, and implement health surveillance and risk-based monitoring programmes based on occupational exposures.</w:t>
      </w:r>
    </w:p>
    <w:p>
      <w:pPr>
        <w:pStyle w:val="ListParagraph"/>
        <w:numPr>
          <w:ilvl w:val="0"/>
          <w:numId w:val="2"/>
        </w:numPr>
        <w:spacing w:after="40" w:before="40"/>
      </w:pPr>
      <w:r>
        <w:rPr>
          <w:rFonts w:ascii="Arial" w:cs="Arial" w:eastAsia="Arial" w:hAnsi="Arial"/>
          <w:b/>
          <w:bCs/>
          <w:color w:val="2F5496"/>
          <w:sz w:val="19"/>
          <w:szCs w:val="19"/>
        </w:rPr>
        <w:t xml:space="preserve">[TSM – TSM – Safe, Healthy and Respectful Workplaces Protocol, Indicator SH4]  </w:t>
      </w:r>
      <w:r>
        <w:rPr>
          <w:rFonts w:ascii="Arial" w:cs="Arial" w:eastAsia="Arial" w:hAnsi="Arial"/>
          <w:color w:val="2D2D2D"/>
          <w:sz w:val="19"/>
          <w:szCs w:val="19"/>
        </w:rPr>
        <w:t xml:space="preserve">Conduct risk-based training for all employees, contractors, and visitors and foster a culture of safety through ongoing awareness activities including training on psychological safety and respectful workplace conduct.</w:t>
      </w:r>
    </w:p>
    <w:p>
      <w:pPr>
        <w:pStyle w:val="Heading2"/>
        <w:spacing w:after="60" w:before="240"/>
      </w:pPr>
      <w:r>
        <w:rPr>
          <w:rFonts w:ascii="Arial" w:cs="Arial" w:eastAsia="Arial" w:hAnsi="Arial"/>
          <w:b/>
          <w:bCs/>
          <w:color w:val="2E75B6"/>
          <w:sz w:val="22"/>
          <w:szCs w:val="22"/>
        </w:rPr>
        <w:t xml:space="preserve">Competency Assurance</w:t>
      </w:r>
    </w:p>
    <w:p>
      <w:pPr>
        <w:pStyle w:val="ListParagraph"/>
        <w:numPr>
          <w:ilvl w:val="0"/>
          <w:numId w:val="2"/>
        </w:numPr>
        <w:spacing w:after="40" w:before="40"/>
      </w:pPr>
      <w:r>
        <w:rPr>
          <w:rFonts w:ascii="Arial" w:cs="Arial" w:eastAsia="Arial" w:hAnsi="Arial"/>
          <w:b/>
          <w:bCs/>
          <w:color w:val="375623"/>
          <w:sz w:val="19"/>
          <w:szCs w:val="19"/>
        </w:rPr>
        <w:t xml:space="preserve">[APPC – Appendix C, C-1 §29.3]  </w:t>
      </w:r>
      <w:r>
        <w:rPr>
          <w:rFonts w:ascii="Arial" w:cs="Arial" w:eastAsia="Arial" w:hAnsi="Arial"/>
          <w:color w:val="2D2D2D"/>
          <w:sz w:val="19"/>
          <w:szCs w:val="19"/>
        </w:rPr>
        <w:t xml:space="preserve">Define the process for competency development, initial assessment, re-verification, and ongoing assurance. Require VOC by an independent registered training organisation where available, with an approved alternative process where RTOs are unavailable.</w:t>
      </w:r>
    </w:p>
    <w:p>
      <w:pPr>
        <w:pStyle w:val="ListParagraph"/>
        <w:numPr>
          <w:ilvl w:val="0"/>
          <w:numId w:val="2"/>
        </w:numPr>
        <w:spacing w:after="40" w:before="40"/>
      </w:pPr>
      <w:r>
        <w:rPr>
          <w:rFonts w:ascii="Arial" w:cs="Arial" w:eastAsia="Arial" w:hAnsi="Arial"/>
          <w:b/>
          <w:bCs/>
          <w:color w:val="375623"/>
          <w:sz w:val="19"/>
          <w:szCs w:val="19"/>
        </w:rPr>
        <w:t xml:space="preserve">[APPC – Appendix C, C-1 §29.3]  </w:t>
      </w:r>
      <w:r>
        <w:rPr>
          <w:rFonts w:ascii="Arial" w:cs="Arial" w:eastAsia="Arial" w:hAnsi="Arial"/>
          <w:color w:val="2D2D2D"/>
          <w:sz w:val="19"/>
          <w:szCs w:val="19"/>
        </w:rPr>
        <w:t xml:space="preserve">Require identification of all high-risk work tasks that specifically require VOC. Competency must be formally documented and linked to authorisation before personnel may perform the task.</w:t>
      </w:r>
    </w:p>
    <w:p>
      <w:pPr>
        <w:pStyle w:val="ListParagraph"/>
        <w:numPr>
          <w:ilvl w:val="0"/>
          <w:numId w:val="2"/>
        </w:numPr>
        <w:spacing w:after="40" w:before="40"/>
      </w:pPr>
      <w:r>
        <w:rPr>
          <w:rFonts w:ascii="Arial" w:cs="Arial" w:eastAsia="Arial" w:hAnsi="Arial"/>
          <w:b/>
          <w:bCs/>
          <w:color w:val="BF9000"/>
          <w:sz w:val="19"/>
          <w:szCs w:val="19"/>
        </w:rPr>
        <w:t xml:space="preserve">[OSHA – OSHA RP 2016 – Education and Training]  </w:t>
      </w:r>
      <w:r>
        <w:rPr>
          <w:rFonts w:ascii="Arial" w:cs="Arial" w:eastAsia="Arial" w:hAnsi="Arial"/>
          <w:color w:val="2D2D2D"/>
          <w:sz w:val="19"/>
          <w:szCs w:val="19"/>
        </w:rPr>
        <w:t xml:space="preserve">Verify training outcomes — not just attendance — to ensure personnel can demonstrate understanding and application of safe work practices before authorisation.</w:t>
      </w:r>
    </w:p>
    <w:p>
      <w:pPr>
        <w:pStyle w:val="Heading2"/>
        <w:spacing w:after="60" w:before="240"/>
      </w:pPr>
      <w:r>
        <w:rPr>
          <w:rFonts w:ascii="Arial" w:cs="Arial" w:eastAsia="Arial" w:hAnsi="Arial"/>
          <w:b/>
          <w:bCs/>
          <w:color w:val="2E75B6"/>
          <w:sz w:val="22"/>
          <w:szCs w:val="22"/>
        </w:rPr>
        <w:t xml:space="preserve">Induction and Orientation</w:t>
      </w:r>
    </w:p>
    <w:p>
      <w:pPr>
        <w:pStyle w:val="ListParagraph"/>
        <w:numPr>
          <w:ilvl w:val="0"/>
          <w:numId w:val="2"/>
        </w:numPr>
        <w:spacing w:after="40" w:before="40"/>
      </w:pPr>
      <w:r>
        <w:rPr>
          <w:rFonts w:ascii="Arial" w:cs="Arial" w:eastAsia="Arial" w:hAnsi="Arial"/>
          <w:b/>
          <w:bCs/>
          <w:color w:val="375623"/>
          <w:sz w:val="19"/>
          <w:szCs w:val="19"/>
        </w:rPr>
        <w:t xml:space="preserve">[APPC – Appendix C, C-1 §29.6]  </w:t>
      </w:r>
      <w:r>
        <w:rPr>
          <w:rFonts w:ascii="Arial" w:cs="Arial" w:eastAsia="Arial" w:hAnsi="Arial"/>
          <w:color w:val="2D2D2D"/>
          <w:sz w:val="19"/>
          <w:szCs w:val="19"/>
        </w:rPr>
        <w:t xml:space="preserve">Require site-specific induction to be completed by all personnel before commencing work. Require tailored inductions for each project phase transition: engineering to construction; construction to commissioning; commissioning to handover to operations.</w:t>
      </w:r>
    </w:p>
    <w:p>
      <w:pPr>
        <w:pStyle w:val="ListParagraph"/>
        <w:numPr>
          <w:ilvl w:val="0"/>
          <w:numId w:val="2"/>
        </w:numPr>
        <w:spacing w:after="40" w:before="40"/>
      </w:pPr>
      <w:r>
        <w:rPr>
          <w:rFonts w:ascii="Arial" w:cs="Arial" w:eastAsia="Arial" w:hAnsi="Arial"/>
          <w:b/>
          <w:bCs/>
          <w:color w:val="375623"/>
          <w:sz w:val="19"/>
          <w:szCs w:val="19"/>
        </w:rPr>
        <w:t xml:space="preserve">[APPC – Appendix C, C-1 §29.6]  </w:t>
      </w:r>
      <w:r>
        <w:rPr>
          <w:rFonts w:ascii="Arial" w:cs="Arial" w:eastAsia="Arial" w:hAnsi="Arial"/>
          <w:color w:val="2D2D2D"/>
          <w:sz w:val="19"/>
          <w:szCs w:val="19"/>
        </w:rPr>
        <w:t xml:space="preserve">Require induction content to cover community, cultural, and heritage context, including behavioural expectations and commitments to local and Indigenous communities.</w:t>
      </w:r>
    </w:p>
    <w:p>
      <w:pPr>
        <w:pStyle w:val="ListParagraph"/>
        <w:numPr>
          <w:ilvl w:val="0"/>
          <w:numId w:val="2"/>
        </w:numPr>
        <w:spacing w:after="40" w:before="40"/>
      </w:pPr>
      <w:r>
        <w:rPr>
          <w:rFonts w:ascii="Arial" w:cs="Arial" w:eastAsia="Arial" w:hAnsi="Arial"/>
          <w:b/>
          <w:bCs/>
          <w:color w:val="C55A11"/>
          <w:sz w:val="19"/>
          <w:szCs w:val="19"/>
        </w:rPr>
        <w:t xml:space="preserve">[IFC – IFC PS7 §12]  </w:t>
      </w:r>
      <w:r>
        <w:rPr>
          <w:rFonts w:ascii="Arial" w:cs="Arial" w:eastAsia="Arial" w:hAnsi="Arial"/>
          <w:color w:val="2D2D2D"/>
          <w:sz w:val="19"/>
          <w:szCs w:val="19"/>
        </w:rPr>
        <w:t xml:space="preserve">Where Indigenous Peoples are present in the project area, require cultural awareness training content to be developed in collaboration with those communities and delivered to all personnel who interact with, or make decisions affecting, Indigenous Peoples.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and document a visitor orientation process specifying minimum content, maximum duration, and a visitor identification system (e.g., visitor access badge or coloured hard hat). The project must set its own minimum standard appropriate to the site risk profile.</w:t>
      </w:r>
    </w:p>
    <w:p>
      <w:pPr>
        <w:pStyle w:val="Heading2"/>
        <w:spacing w:after="60" w:before="240"/>
      </w:pPr>
      <w:r>
        <w:rPr>
          <w:rFonts w:ascii="Arial" w:cs="Arial" w:eastAsia="Arial" w:hAnsi="Arial"/>
          <w:b/>
          <w:bCs/>
          <w:color w:val="2E75B6"/>
          <w:sz w:val="22"/>
          <w:szCs w:val="22"/>
        </w:rPr>
        <w:t xml:space="preserve">Short Service Employee Programme</w:t>
      </w:r>
    </w:p>
    <w:p>
      <w:pPr>
        <w:pStyle w:val="ListParagraph"/>
        <w:numPr>
          <w:ilvl w:val="0"/>
          <w:numId w:val="2"/>
        </w:numPr>
        <w:spacing w:after="40" w:before="40"/>
      </w:pPr>
      <w:r>
        <w:rPr>
          <w:rFonts w:ascii="Arial" w:cs="Arial" w:eastAsia="Arial" w:hAnsi="Arial"/>
          <w:b/>
          <w:bCs/>
          <w:color w:val="375623"/>
          <w:sz w:val="19"/>
          <w:szCs w:val="19"/>
        </w:rPr>
        <w:t xml:space="preserve">[APPC – Appendix C, C-1 §29.7]  </w:t>
      </w:r>
      <w:r>
        <w:rPr>
          <w:rFonts w:ascii="Arial" w:cs="Arial" w:eastAsia="Arial" w:hAnsi="Arial"/>
          <w:color w:val="2D2D2D"/>
          <w:sz w:val="19"/>
          <w:szCs w:val="19"/>
        </w:rPr>
        <w:t xml:space="preserve">Define a programme for personnel with less than three months' experience in the same job type, requiring: visual identification (e.g., coloured hard hats, badges); assigned experienced mentors; close supervision with structured feedback; tailored training for literacy and language challenges; and a monitoring and reporting framework.</w:t>
      </w:r>
    </w:p>
    <w:p>
      <w:pPr>
        <w:pStyle w:val="ListParagraph"/>
        <w:numPr>
          <w:ilvl w:val="0"/>
          <w:numId w:val="2"/>
        </w:numPr>
        <w:spacing w:after="40" w:before="40"/>
      </w:pPr>
      <w:r>
        <w:rPr>
          <w:rFonts w:ascii="Arial" w:cs="Arial" w:eastAsia="Arial" w:hAnsi="Arial"/>
          <w:b/>
          <w:bCs/>
          <w:color w:val="C55A11"/>
          <w:sz w:val="19"/>
          <w:szCs w:val="19"/>
        </w:rPr>
        <w:t xml:space="preserve">[IFC – IFC PS2 GN§80]  </w:t>
      </w:r>
      <w:r>
        <w:rPr>
          <w:rFonts w:ascii="Arial" w:cs="Arial" w:eastAsia="Arial" w:hAnsi="Arial"/>
          <w:color w:val="2D2D2D"/>
          <w:sz w:val="19"/>
          <w:szCs w:val="19"/>
        </w:rPr>
        <w:t xml:space="preserve">Ensure workers new to specific hazards receive targeted training and closer supervision until competency is demonstrated through observation and assessment.</w:t>
      </w:r>
    </w:p>
    <w:p>
      <w:pPr>
        <w:pStyle w:val="Heading2"/>
        <w:spacing w:after="60" w:before="240"/>
      </w:pPr>
      <w:r>
        <w:rPr>
          <w:rFonts w:ascii="Arial" w:cs="Arial" w:eastAsia="Arial" w:hAnsi="Arial"/>
          <w:b/>
          <w:bCs/>
          <w:color w:val="2E75B6"/>
          <w:sz w:val="22"/>
          <w:szCs w:val="22"/>
        </w:rPr>
        <w:t xml:space="preserve">Field Supervisor Development</w:t>
      </w:r>
    </w:p>
    <w:p>
      <w:pPr>
        <w:pStyle w:val="ListParagraph"/>
        <w:numPr>
          <w:ilvl w:val="0"/>
          <w:numId w:val="2"/>
        </w:numPr>
        <w:spacing w:after="40" w:before="40"/>
      </w:pPr>
      <w:r>
        <w:rPr>
          <w:rFonts w:ascii="Arial" w:cs="Arial" w:eastAsia="Arial" w:hAnsi="Arial"/>
          <w:b/>
          <w:bCs/>
          <w:color w:val="375623"/>
          <w:sz w:val="19"/>
          <w:szCs w:val="19"/>
        </w:rPr>
        <w:t xml:space="preserve">[APPC – Appendix C, C-1 §29.4 and C-6]  </w:t>
      </w:r>
      <w:r>
        <w:rPr>
          <w:rFonts w:ascii="Arial" w:cs="Arial" w:eastAsia="Arial" w:hAnsi="Arial"/>
          <w:color w:val="2D2D2D"/>
          <w:sz w:val="19"/>
          <w:szCs w:val="19"/>
        </w:rPr>
        <w:t xml:space="preserve">Define a field supervisor training and mentoring programme addressing HSESC leadership skills, Leadership in Field (LiF) principles, and cultural and regional challenges.</w:t>
      </w:r>
    </w:p>
    <w:p>
      <w:pPr>
        <w:pStyle w:val="ListParagraph"/>
        <w:numPr>
          <w:ilvl w:val="0"/>
          <w:numId w:val="2"/>
        </w:numPr>
        <w:spacing w:after="40" w:before="40"/>
      </w:pPr>
      <w:r>
        <w:rPr>
          <w:rFonts w:ascii="Arial" w:cs="Arial" w:eastAsia="Arial" w:hAnsi="Arial"/>
          <w:b/>
          <w:bCs/>
          <w:color w:val="2F5496"/>
          <w:sz w:val="19"/>
          <w:szCs w:val="19"/>
        </w:rPr>
        <w:t xml:space="preserve">[TSM – TSM – Safe, Healthy and Respectful Workplaces Protocol, Indicator SH4]  </w:t>
      </w:r>
      <w:r>
        <w:rPr>
          <w:rFonts w:ascii="Arial" w:cs="Arial" w:eastAsia="Arial" w:hAnsi="Arial"/>
          <w:color w:val="2D2D2D"/>
          <w:sz w:val="19"/>
          <w:szCs w:val="19"/>
        </w:rPr>
        <w:t xml:space="preserve">Train supervisors to model safe behaviour, identify psychosocial hazards, and foster a respectful workplace environment in their teams.</w:t>
      </w:r>
    </w:p>
    <w:p>
      <w:pPr>
        <w:pStyle w:val="Heading2"/>
        <w:spacing w:after="60" w:before="240"/>
      </w:pPr>
      <w:r>
        <w:rPr>
          <w:rFonts w:ascii="Arial" w:cs="Arial" w:eastAsia="Arial" w:hAnsi="Arial"/>
          <w:b/>
          <w:bCs/>
          <w:color w:val="2E75B6"/>
          <w:sz w:val="22"/>
          <w:szCs w:val="22"/>
        </w:rPr>
        <w:t xml:space="preserve">Records</w:t>
      </w:r>
    </w:p>
    <w:p>
      <w:pPr>
        <w:pStyle w:val="ListParagraph"/>
        <w:numPr>
          <w:ilvl w:val="0"/>
          <w:numId w:val="2"/>
        </w:numPr>
        <w:spacing w:after="40" w:before="40"/>
      </w:pPr>
      <w:r>
        <w:rPr>
          <w:rFonts w:ascii="Arial" w:cs="Arial" w:eastAsia="Arial" w:hAnsi="Arial"/>
          <w:b/>
          <w:bCs/>
          <w:color w:val="1F3864"/>
          <w:sz w:val="19"/>
          <w:szCs w:val="19"/>
        </w:rPr>
        <w:t xml:space="preserve">[RT – RT – Management &amp; Compliance Standard]  </w:t>
      </w:r>
      <w:r>
        <w:rPr>
          <w:rFonts w:ascii="Arial" w:cs="Arial" w:eastAsia="Arial" w:hAnsi="Arial"/>
          <w:color w:val="2D2D2D"/>
          <w:sz w:val="19"/>
          <w:szCs w:val="19"/>
        </w:rPr>
        <w:t xml:space="preserve">Maintain a Training Matrix and Competency Register for all personnel capturing: required training; completed training; assessment outcomes; authorisation levels; and re-verification due dates.</w:t>
      </w:r>
    </w:p>
    <w:p>
      <w:pPr>
        <w:pStyle w:val="ListParagraph"/>
        <w:numPr>
          <w:ilvl w:val="0"/>
          <w:numId w:val="2"/>
        </w:numPr>
        <w:spacing w:after="40" w:before="40"/>
      </w:pPr>
      <w:r>
        <w:rPr>
          <w:rFonts w:ascii="Arial" w:cs="Arial" w:eastAsia="Arial" w:hAnsi="Arial"/>
          <w:b/>
          <w:bCs/>
          <w:color w:val="C55A11"/>
          <w:sz w:val="19"/>
          <w:szCs w:val="19"/>
        </w:rPr>
        <w:t xml:space="preserve">[IFC – IFC PS2 GN§80]  </w:t>
      </w:r>
      <w:r>
        <w:rPr>
          <w:rFonts w:ascii="Arial" w:cs="Arial" w:eastAsia="Arial" w:hAnsi="Arial"/>
          <w:color w:val="2D2D2D"/>
          <w:sz w:val="19"/>
          <w:szCs w:val="19"/>
        </w:rPr>
        <w:t xml:space="preserve">Retain training records and make them available for audit purposes.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CRITICAL — Insert the project Training Matrix as a table in this procedure or as Appendix A. The matrix must list every role on the project and all required training/competency by that role. All other procedures reference this document for competency requirements.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Confirm the project induction content for each phase. The procedure defines what phases require specific inductions — the project must develop the actual induction content and reference it here.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SSE identification method for this project (e.g., specific coloured hard hat, SSE badge design, buddy assignment process). This is a project decision — insert the chosen method.</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Where local VOC providers are not available, define the in-house alternative competency assessment process approved for this project. The procedure requires this is formally approved — document the approval here.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Insert the project-specific induction attendance record process and the visitor orientation badge/identification system.</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Supplier and Contractor Management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07 – Supplier &amp; Contractor Management</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RTPR-HSE-PRO-0005</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Contractor HSESC pre-qualification criteria</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Contractor onboarding HSESC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Contractor compliance monitoring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Supplier HSESC due diligence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(risk-based approach to contractor requirements)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(contractor training requirements)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(contractor incident reporting obligations)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RTPR-HSE-PRO-0010 – Document Control (contractor plan submission and approval)</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RTPR-HSE-PRO-0041 – Business Resilience (contractor ERP integration)</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RTPR-HSE-PRO-0003 references RTPR-HSE-PRO-0005 for contractor HSESC governance</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RTPR-HSE-PRO-0044 references RTPR-HSE-PRO-0005 for contractor audit scope</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how the owner-led project selects, onboards, monitors, and manages the HSESC performance of all contractor organisations and suppliers. In the owner-led model, RT carries direct responsibility for ensuring that all parties working under the project management system meet the HSESC standards established for the project — this cannot be delegated to an EPCM intermediary.</w:t>
      </w:r>
    </w:p>
    <w:p>
      <w:pPr>
        <w:pStyle w:val="Heading2"/>
        <w:spacing w:after="60" w:before="240"/>
      </w:pPr>
      <w:r>
        <w:rPr>
          <w:rFonts w:ascii="Arial" w:cs="Arial" w:eastAsia="Arial" w:hAnsi="Arial"/>
          <w:b/>
          <w:bCs/>
          <w:color w:val="2E75B6"/>
          <w:sz w:val="22"/>
          <w:szCs w:val="22"/>
        </w:rPr>
        <w:t xml:space="preserve">Pre-qualification and Selection</w:t>
      </w:r>
    </w:p>
    <w:p>
      <w:pPr>
        <w:pStyle w:val="ListParagraph"/>
        <w:numPr>
          <w:ilvl w:val="0"/>
          <w:numId w:val="2"/>
        </w:numPr>
        <w:spacing w:after="40" w:before="40"/>
      </w:pPr>
      <w:r>
        <w:rPr>
          <w:rFonts w:ascii="Arial" w:cs="Arial" w:eastAsia="Arial" w:hAnsi="Arial"/>
          <w:b/>
          <w:bCs/>
          <w:color w:val="375623"/>
          <w:sz w:val="19"/>
          <w:szCs w:val="19"/>
        </w:rPr>
        <w:t xml:space="preserve">[APPC – Appendix C, C-1 §22.5]  </w:t>
      </w:r>
      <w:r>
        <w:rPr>
          <w:rFonts w:ascii="Arial" w:cs="Arial" w:eastAsia="Arial" w:hAnsi="Arial"/>
          <w:color w:val="2D2D2D"/>
          <w:sz w:val="19"/>
          <w:szCs w:val="19"/>
        </w:rPr>
        <w:t xml:space="preserve">Require that all proposed contractor organisations are evaluated for HSESC performance capability before award, with a documented evaluation provided to the relevant project authority. Reserve the right to review and approve contractor selection on HSESC grounds.</w:t>
      </w:r>
    </w:p>
    <w:p>
      <w:pPr>
        <w:pStyle w:val="ListParagraph"/>
        <w:numPr>
          <w:ilvl w:val="0"/>
          <w:numId w:val="2"/>
        </w:numPr>
        <w:spacing w:after="40" w:before="40"/>
      </w:pPr>
      <w:r>
        <w:rPr>
          <w:rFonts w:ascii="Arial" w:cs="Arial" w:eastAsia="Arial" w:hAnsi="Arial"/>
          <w:b/>
          <w:bCs/>
          <w:color w:val="375623"/>
          <w:sz w:val="19"/>
          <w:szCs w:val="19"/>
        </w:rPr>
        <w:t xml:space="preserve">[APPC – Appendix C, C-1 §22.5]  </w:t>
      </w:r>
      <w:r>
        <w:rPr>
          <w:rFonts w:ascii="Arial" w:cs="Arial" w:eastAsia="Arial" w:hAnsi="Arial"/>
          <w:color w:val="2D2D2D"/>
          <w:sz w:val="19"/>
          <w:szCs w:val="19"/>
        </w:rPr>
        <w:t xml:space="preserve">Define the minimum HSESC criteria used in contractor evaluation: safety record and frequency rates; management system maturity; training and competency capability; incident history; and demonstrated CRM programme capability.</w:t>
      </w:r>
    </w:p>
    <w:p>
      <w:pPr>
        <w:pStyle w:val="ListParagraph"/>
        <w:numPr>
          <w:ilvl w:val="0"/>
          <w:numId w:val="2"/>
        </w:numPr>
        <w:spacing w:after="40" w:before="40"/>
      </w:pPr>
      <w:r>
        <w:rPr>
          <w:rFonts w:ascii="Arial" w:cs="Arial" w:eastAsia="Arial" w:hAnsi="Arial"/>
          <w:b/>
          <w:bCs/>
          <w:color w:val="C55A11"/>
          <w:sz w:val="19"/>
          <w:szCs w:val="19"/>
        </w:rPr>
        <w:t xml:space="preserve">[IFC – IFC PS1 §21 and Guidance Note §GN36]  </w:t>
      </w:r>
      <w:r>
        <w:rPr>
          <w:rFonts w:ascii="Arial" w:cs="Arial" w:eastAsia="Arial" w:hAnsi="Arial"/>
          <w:color w:val="2D2D2D"/>
          <w:sz w:val="19"/>
          <w:szCs w:val="19"/>
        </w:rPr>
        <w:t xml:space="preserve">Ensure that the scope of HSESC requirements communicated to contractors is proportionate to the risks associated with their scope of work — high-risk scopes require more extensive HSESC obligations than low-risk administrative scopes.</w:t>
      </w:r>
    </w:p>
    <w:p>
      <w:pPr>
        <w:pStyle w:val="ListParagraph"/>
        <w:numPr>
          <w:ilvl w:val="0"/>
          <w:numId w:val="2"/>
        </w:numPr>
        <w:spacing w:after="40" w:before="40"/>
      </w:pPr>
      <w:r>
        <w:rPr>
          <w:rFonts w:ascii="Arial" w:cs="Arial" w:eastAsia="Arial" w:hAnsi="Arial"/>
          <w:b/>
          <w:bCs/>
          <w:color w:val="2F5496"/>
          <w:sz w:val="19"/>
          <w:szCs w:val="19"/>
        </w:rPr>
        <w:t xml:space="preserve">[TSM – TSM – Safe, Healthy and Respectful Workplaces Protocol, Indicator SH1]  </w:t>
      </w:r>
      <w:r>
        <w:rPr>
          <w:rFonts w:ascii="Arial" w:cs="Arial" w:eastAsia="Arial" w:hAnsi="Arial"/>
          <w:color w:val="2D2D2D"/>
          <w:sz w:val="19"/>
          <w:szCs w:val="19"/>
        </w:rPr>
        <w:t xml:space="preserve">Confirm that accountability for the safety and health performance of contracted workers is retained at the project owner level and not treated as solely the contractor's responsibility.</w:t>
      </w:r>
    </w:p>
    <w:p>
      <w:pPr>
        <w:pStyle w:val="Heading2"/>
        <w:spacing w:after="60" w:before="240"/>
      </w:pPr>
      <w:r>
        <w:rPr>
          <w:rFonts w:ascii="Arial" w:cs="Arial" w:eastAsia="Arial" w:hAnsi="Arial"/>
          <w:b/>
          <w:bCs/>
          <w:color w:val="2E75B6"/>
          <w:sz w:val="22"/>
          <w:szCs w:val="22"/>
        </w:rPr>
        <w:t xml:space="preserve">HSESC Requirements Communication and Alignment</w:t>
      </w:r>
    </w:p>
    <w:p>
      <w:pPr>
        <w:pStyle w:val="ListParagraph"/>
        <w:numPr>
          <w:ilvl w:val="0"/>
          <w:numId w:val="2"/>
        </w:numPr>
        <w:spacing w:after="40" w:before="40"/>
      </w:pPr>
      <w:r>
        <w:rPr>
          <w:rFonts w:ascii="Arial" w:cs="Arial" w:eastAsia="Arial" w:hAnsi="Arial"/>
          <w:b/>
          <w:bCs/>
          <w:color w:val="375623"/>
          <w:sz w:val="19"/>
          <w:szCs w:val="19"/>
        </w:rPr>
        <w:t xml:space="preserve">[APPC – Appendix C, C-1 §22.5]  </w:t>
      </w:r>
      <w:r>
        <w:rPr>
          <w:rFonts w:ascii="Arial" w:cs="Arial" w:eastAsia="Arial" w:hAnsi="Arial"/>
          <w:color w:val="2D2D2D"/>
          <w:sz w:val="19"/>
          <w:szCs w:val="19"/>
        </w:rPr>
        <w:t xml:space="preserve">Require that all applicable HSESC requirements are communicated to contractor organisations as part of the onboarding process, and that contractor HSESC plans are aligned with the project HSESC management system before work commences.</w:t>
      </w:r>
    </w:p>
    <w:p>
      <w:pPr>
        <w:pStyle w:val="ListParagraph"/>
        <w:numPr>
          <w:ilvl w:val="0"/>
          <w:numId w:val="2"/>
        </w:numPr>
        <w:spacing w:after="40" w:before="40"/>
      </w:pPr>
      <w:r>
        <w:rPr>
          <w:rFonts w:ascii="Arial" w:cs="Arial" w:eastAsia="Arial" w:hAnsi="Arial"/>
          <w:b/>
          <w:bCs/>
          <w:color w:val="C55A11"/>
          <w:sz w:val="19"/>
          <w:szCs w:val="19"/>
        </w:rPr>
        <w:t xml:space="preserve">[IFC – IFC PS1 Guidance Note §GN33]  </w:t>
      </w:r>
      <w:r>
        <w:rPr>
          <w:rFonts w:ascii="Arial" w:cs="Arial" w:eastAsia="Arial" w:hAnsi="Arial"/>
          <w:color w:val="2D2D2D"/>
          <w:sz w:val="19"/>
          <w:szCs w:val="19"/>
        </w:rPr>
        <w:t xml:space="preserve">Embed HSESC obligations in contractual terms, including requirements for compliance with the project HSESC management system, participation in audits and inspections, and mandatory incident reporting.</w:t>
      </w:r>
    </w:p>
    <w:p>
      <w:pPr>
        <w:pStyle w:val="ListParagraph"/>
        <w:numPr>
          <w:ilvl w:val="0"/>
          <w:numId w:val="2"/>
        </w:numPr>
        <w:spacing w:after="40" w:before="40"/>
      </w:pPr>
      <w:r>
        <w:rPr>
          <w:rFonts w:ascii="Arial" w:cs="Arial" w:eastAsia="Arial" w:hAnsi="Arial"/>
          <w:b/>
          <w:bCs/>
          <w:color w:val="375623"/>
          <w:sz w:val="19"/>
          <w:szCs w:val="19"/>
        </w:rPr>
        <w:t xml:space="preserve">[APPC – Appendix C, C-1 §22.5]  </w:t>
      </w:r>
      <w:r>
        <w:rPr>
          <w:rFonts w:ascii="Arial" w:cs="Arial" w:eastAsia="Arial" w:hAnsi="Arial"/>
          <w:color w:val="2D2D2D"/>
          <w:sz w:val="19"/>
          <w:szCs w:val="19"/>
        </w:rPr>
        <w:t xml:space="preserve">Require contractor Emergency Response Plans to be integrated into the project ERP so that response is seamlessly coordinated across all organisations on site.</w:t>
      </w:r>
    </w:p>
    <w:p>
      <w:pPr>
        <w:pStyle w:val="Heading2"/>
        <w:spacing w:after="60" w:before="240"/>
      </w:pPr>
      <w:r>
        <w:rPr>
          <w:rFonts w:ascii="Arial" w:cs="Arial" w:eastAsia="Arial" w:hAnsi="Arial"/>
          <w:b/>
          <w:bCs/>
          <w:color w:val="2E75B6"/>
          <w:sz w:val="22"/>
          <w:szCs w:val="22"/>
        </w:rPr>
        <w:t xml:space="preserve">Ongoing Monitoring and Compliance</w:t>
      </w:r>
    </w:p>
    <w:p>
      <w:pPr>
        <w:pStyle w:val="ListParagraph"/>
        <w:numPr>
          <w:ilvl w:val="0"/>
          <w:numId w:val="2"/>
        </w:numPr>
        <w:spacing w:after="40" w:before="40"/>
      </w:pPr>
      <w:r>
        <w:rPr>
          <w:rFonts w:ascii="Arial" w:cs="Arial" w:eastAsia="Arial" w:hAnsi="Arial"/>
          <w:b/>
          <w:bCs/>
          <w:color w:val="375623"/>
          <w:sz w:val="19"/>
          <w:szCs w:val="19"/>
        </w:rPr>
        <w:t xml:space="preserve">[APPC – Appendix C, C-1 §34]  </w:t>
      </w:r>
      <w:r>
        <w:rPr>
          <w:rFonts w:ascii="Arial" w:cs="Arial" w:eastAsia="Arial" w:hAnsi="Arial"/>
          <w:color w:val="2D2D2D"/>
          <w:sz w:val="19"/>
          <w:szCs w:val="19"/>
        </w:rPr>
        <w:t xml:space="preserve">Require monitoring of contractor HSESC compliance through regular performance reviews and inspections. Document all compliance activities including selection, onboarding, and inspection records.</w:t>
      </w:r>
    </w:p>
    <w:p>
      <w:pPr>
        <w:pStyle w:val="ListParagraph"/>
        <w:numPr>
          <w:ilvl w:val="0"/>
          <w:numId w:val="2"/>
        </w:numPr>
        <w:spacing w:after="40" w:before="40"/>
      </w:pPr>
      <w:r>
        <w:rPr>
          <w:rFonts w:ascii="Arial" w:cs="Arial" w:eastAsia="Arial" w:hAnsi="Arial"/>
          <w:b/>
          <w:bCs/>
          <w:color w:val="C55A11"/>
          <w:sz w:val="19"/>
          <w:szCs w:val="19"/>
        </w:rPr>
        <w:t xml:space="preserve">[IFC – IFC PS2 §25]  </w:t>
      </w:r>
      <w:r>
        <w:rPr>
          <w:rFonts w:ascii="Arial" w:cs="Arial" w:eastAsia="Arial" w:hAnsi="Arial"/>
          <w:color w:val="2D2D2D"/>
          <w:sz w:val="19"/>
          <w:szCs w:val="19"/>
        </w:rPr>
        <w:t xml:space="preserve">Establish policies and procedures for managing and monitoring the performance of contracted workers in relation to the requirements of this management system.</w:t>
      </w:r>
    </w:p>
    <w:p>
      <w:pPr>
        <w:pStyle w:val="ListParagraph"/>
        <w:numPr>
          <w:ilvl w:val="0"/>
          <w:numId w:val="2"/>
        </w:numPr>
        <w:spacing w:after="40" w:before="40"/>
      </w:pPr>
      <w:r>
        <w:rPr>
          <w:rFonts w:ascii="Arial" w:cs="Arial" w:eastAsia="Arial" w:hAnsi="Arial"/>
          <w:b/>
          <w:bCs/>
          <w:color w:val="BF9000"/>
          <w:sz w:val="19"/>
          <w:szCs w:val="19"/>
        </w:rPr>
        <w:t xml:space="preserve">[OSHA – OSHA RP 2016 – Multiemployer Worksites]  </w:t>
      </w:r>
      <w:r>
        <w:rPr>
          <w:rFonts w:ascii="Arial" w:cs="Arial" w:eastAsia="Arial" w:hAnsi="Arial"/>
          <w:color w:val="2D2D2D"/>
          <w:sz w:val="19"/>
          <w:szCs w:val="19"/>
        </w:rPr>
        <w:t xml:space="preserve">Define the project's role as the controlling employer — responsible for ensuring that all contractors comply with HSESC requirements and that contractor workers are protected from hazards created by any employer on the site.</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 contractor HSESC performance rating process that triggers escalating responses to non-compliance — from corrective action plans through to work suspension — with defined thresholds for each escalation level. The project must set and document these thresholds based on the project risk profile.</w:t>
      </w:r>
    </w:p>
    <w:p>
      <w:pPr>
        <w:pStyle w:val="Heading2"/>
        <w:spacing w:after="60" w:before="240"/>
      </w:pPr>
      <w:r>
        <w:rPr>
          <w:rFonts w:ascii="Arial" w:cs="Arial" w:eastAsia="Arial" w:hAnsi="Arial"/>
          <w:b/>
          <w:bCs/>
          <w:color w:val="2E75B6"/>
          <w:sz w:val="22"/>
          <w:szCs w:val="22"/>
        </w:rPr>
        <w:t xml:space="preserve">Supplier Management</w:t>
      </w:r>
    </w:p>
    <w:p>
      <w:pPr>
        <w:pStyle w:val="ListParagraph"/>
        <w:numPr>
          <w:ilvl w:val="0"/>
          <w:numId w:val="2"/>
        </w:numPr>
        <w:spacing w:after="40" w:before="40"/>
      </w:pPr>
      <w:r>
        <w:rPr>
          <w:rFonts w:ascii="Arial" w:cs="Arial" w:eastAsia="Arial" w:hAnsi="Arial"/>
          <w:b/>
          <w:bCs/>
          <w:color w:val="375623"/>
          <w:sz w:val="19"/>
          <w:szCs w:val="19"/>
        </w:rPr>
        <w:t xml:space="preserve">[APPC – Appendix C, C-1 §22.6]  </w:t>
      </w:r>
      <w:r>
        <w:rPr>
          <w:rFonts w:ascii="Arial" w:cs="Arial" w:eastAsia="Arial" w:hAnsi="Arial"/>
          <w:color w:val="2D2D2D"/>
          <w:sz w:val="19"/>
          <w:szCs w:val="19"/>
        </w:rPr>
        <w:t xml:space="preserve">Identify and manage HSESC risks associated with procurement of materials, equipment, services, and labour. Suppliers are outside the Appendix C framework but must be addressed through a dedicated HSESC risk management approach for procurement activities.</w:t>
      </w:r>
    </w:p>
    <w:p>
      <w:pPr>
        <w:pStyle w:val="ListParagraph"/>
        <w:numPr>
          <w:ilvl w:val="0"/>
          <w:numId w:val="2"/>
        </w:numPr>
        <w:spacing w:after="40" w:before="40"/>
      </w:pPr>
      <w:r>
        <w:rPr>
          <w:rFonts w:ascii="Arial" w:cs="Arial" w:eastAsia="Arial" w:hAnsi="Arial"/>
          <w:b/>
          <w:bCs/>
          <w:color w:val="C55A11"/>
          <w:sz w:val="19"/>
          <w:szCs w:val="19"/>
        </w:rPr>
        <w:t xml:space="preserve">[IFC – IFC PS2 §27–30]  </w:t>
      </w:r>
      <w:r>
        <w:rPr>
          <w:rFonts w:ascii="Arial" w:cs="Arial" w:eastAsia="Arial" w:hAnsi="Arial"/>
          <w:color w:val="2D2D2D"/>
          <w:sz w:val="19"/>
          <w:szCs w:val="19"/>
        </w:rPr>
        <w:t xml:space="preserve">Identify primary supply chain risks and, where there are significant occupational health and safety issues associated with suppliers, establish processes to address those risks proportionate to the level of supply chain control.</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minimum HSESC due diligence requirements for high-risk suppliers (e.g., hazardous materials, explosives, scaffolding systems, lifting equipment), specifying the information to be collected, assessed, and documented before procurement approval.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contractor HSESC pre-qualification scorecard for this project — the minimum score required for approval, and the criteria weighting. The procedure defines the categories; the project sets the specific criteria and thresholds.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List the specific deliverables each contractor must submit before mobilisation and insert submission due dates relative to the project programme. Reference the project Deliverables Schedule (RTPR-HSE-REG-0002).</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contractor HSESC non-compliance escalation matrix: what triggers a verbal warning vs written notice vs suspension of work. The procedure requires this to be documented — insert the project-specific matrix.</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C-1 §22.6.1]  </w:t>
            </w:r>
            <w:r>
              <w:rPr>
                <w:rFonts w:ascii="Arial" w:cs="Arial" w:eastAsia="Arial" w:hAnsi="Arial"/>
                <w:color w:val="2D2D2D"/>
                <w:sz w:val="19"/>
                <w:szCs w:val="19"/>
              </w:rPr>
              <w:t xml:space="preserve">Suppliers of products and/or services are excluded from the Appendix C framework. A separate HSESC risk management approach must be developed for procurement activities, identifying and managing HSESC risks associated with the procurement of materials, equipment, services, and labour.</w:t>
            </w:r>
          </w:p>
          <w:p>
            <w:pPr>
              <w:pStyle w:val="ListParagraph"/>
              <w:numPr>
                <w:ilvl w:val="0"/>
                <w:numId w:val="2"/>
              </w:numPr>
              <w:spacing w:after="40" w:before="40"/>
            </w:pPr>
            <w:r>
              <w:rPr>
                <w:rFonts w:ascii="Arial" w:cs="Arial" w:eastAsia="Arial" w:hAnsi="Arial"/>
                <w:b/>
                <w:bCs/>
                <w:color w:val="375623"/>
                <w:sz w:val="19"/>
                <w:szCs w:val="19"/>
              </w:rPr>
              <w:t xml:space="preserve">[APPC – Appendix C, C-1 §22.3.1]  </w:t>
            </w:r>
            <w:r>
              <w:rPr>
                <w:rFonts w:ascii="Arial" w:cs="Arial" w:eastAsia="Arial" w:hAnsi="Arial"/>
                <w:color w:val="2D2D2D"/>
                <w:sz w:val="19"/>
                <w:szCs w:val="19"/>
              </w:rPr>
              <w:t xml:space="preserve">Require preparation and implementation of an HSESC Execution Readiness Plan for all locations where work is performed, agreed with the Company before work commences. The plan must demonstrate that all HSESC systems, personnel, permits, training, and resources are in place and verified before any contractor mobilises to site.</w:t>
            </w:r>
          </w:p>
          <w:p>
            <w:pPr>
              <w:pStyle w:val="ListParagraph"/>
              <w:numPr>
                <w:ilvl w:val="0"/>
                <w:numId w:val="2"/>
              </w:numPr>
              <w:spacing w:after="40" w:before="40"/>
            </w:pPr>
            <w:r>
              <w:rPr>
                <w:rFonts w:ascii="Arial" w:cs="Arial" w:eastAsia="Arial" w:hAnsi="Arial"/>
                <w:b/>
                <w:bCs/>
                <w:color w:val="375623"/>
                <w:sz w:val="19"/>
                <w:szCs w:val="19"/>
              </w:rPr>
              <w:t xml:space="preserve">[APPC – Appendix C, C-1 §34.1]  </w:t>
            </w:r>
            <w:r>
              <w:rPr>
                <w:rFonts w:ascii="Arial" w:cs="Arial" w:eastAsia="Arial" w:hAnsi="Arial"/>
                <w:color w:val="2D2D2D"/>
                <w:sz w:val="19"/>
                <w:szCs w:val="19"/>
              </w:rPr>
              <w:t xml:space="preserve">Require that all Appendix C requirements are communicated to subcontractors as part of the onboarding process, and that all subcontractor HSESC plans are aligned with the project HSESCMP and meet Company expectations before work commences.</w:t>
            </w:r>
          </w:p>
          <w:p>
            <w:pPr>
              <w:pStyle w:val="ListParagraph"/>
              <w:numPr>
                <w:ilvl w:val="0"/>
                <w:numId w:val="2"/>
              </w:numPr>
              <w:spacing w:after="40" w:before="40"/>
            </w:pPr>
            <w:r>
              <w:rPr>
                <w:rFonts w:ascii="Arial" w:cs="Arial" w:eastAsia="Arial" w:hAnsi="Arial"/>
                <w:b/>
                <w:bCs/>
                <w:color w:val="375623"/>
                <w:sz w:val="19"/>
                <w:szCs w:val="19"/>
              </w:rPr>
              <w:t xml:space="preserve">[APPC – Appendix C, C-1 §34.3]  </w:t>
            </w:r>
            <w:r>
              <w:rPr>
                <w:rFonts w:ascii="Arial" w:cs="Arial" w:eastAsia="Arial" w:hAnsi="Arial"/>
                <w:color w:val="2D2D2D"/>
                <w:sz w:val="19"/>
                <w:szCs w:val="19"/>
              </w:rPr>
              <w:t xml:space="preserve">Require monitoring of subcontractor compliance with HSESC requirements through regular performance reviews and inspections. Document all subcontractor HSESC compliance activities including selection, onboarding, and inspection records.</w:t>
            </w:r>
          </w:p>
          <w:p>
            <w:r>
              <w:rPr>
                <w:rFonts w:ascii="Arial" w:cs="Arial" w:eastAsia="Arial" w:hAnsi="Arial"/>
                <w:color w:val="3C2A00"/>
                <w:sz w:val="17"/>
                <w:szCs w:val="17"/>
              </w:rPr>
              <w:t xml:space="preserve">List the key suppliers for this project with elevated HSESC risk (e.g., explosives, scaffolding systems, heavy lift contractors) and define the specific due diligence requirements for each category.</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Fitness for Work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RTPR-HSE-PRO-0006</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Fitness for work medical assessment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D&amp;A testing programme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Working hour limits and fatigue thresholds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Thermal stress acclimatisation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Return to work process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RTPR-HSE-PRO-0001 – Legal Requirements (applicable FFW legislation)</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RTPR-HSE-PRO-0003 – Org Resources (accountable role for FFW programme)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(FFW awareness training)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(FFW-related incidents)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RTPR-HSE-PRO-0026 – Vehicles (FFW requirements for drivers)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RTPR-HSE-PRO-0042 – Monitoring (USG testing as leading indicator)</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RTPR-HSE-PRO-0026 references RTPR-HSE-PRO-0006 for driver fitness requirements</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RTPR-HSE-PRO-0018 references RTPR-HSE-PRO-0006 for aviation personnel fitness</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the requirements for ensuring all project personnel are physically, psychologically, and behaviourally fit to safely perform their duties throughout the project. In the owner-led model, RT sets the minimum fitness for work standard for the project and all contractors must meet or exceed it.</w:t>
      </w:r>
    </w:p>
    <w:p>
      <w:pPr>
        <w:pStyle w:val="Heading2"/>
        <w:spacing w:after="60" w:before="240"/>
      </w:pPr>
      <w:r>
        <w:rPr>
          <w:rFonts w:ascii="Arial" w:cs="Arial" w:eastAsia="Arial" w:hAnsi="Arial"/>
          <w:b/>
          <w:bCs/>
          <w:color w:val="2E75B6"/>
          <w:sz w:val="22"/>
          <w:szCs w:val="22"/>
        </w:rPr>
        <w:t xml:space="preserve">Pre-placement Medical Assessments</w:t>
      </w:r>
    </w:p>
    <w:p>
      <w:pPr>
        <w:pStyle w:val="ListParagraph"/>
        <w:numPr>
          <w:ilvl w:val="0"/>
          <w:numId w:val="2"/>
        </w:numPr>
        <w:spacing w:after="40" w:before="40"/>
      </w:pPr>
      <w:r>
        <w:rPr>
          <w:rFonts w:ascii="Arial" w:cs="Arial" w:eastAsia="Arial" w:hAnsi="Arial"/>
          <w:b/>
          <w:bCs/>
          <w:color w:val="375623"/>
          <w:sz w:val="19"/>
          <w:szCs w:val="19"/>
        </w:rPr>
        <w:t xml:space="preserve">[APPC – Appendix C, C-2 §69.1]  </w:t>
      </w:r>
      <w:r>
        <w:rPr>
          <w:rFonts w:ascii="Arial" w:cs="Arial" w:eastAsia="Arial" w:hAnsi="Arial"/>
          <w:color w:val="2D2D2D"/>
          <w:sz w:val="19"/>
          <w:szCs w:val="19"/>
        </w:rPr>
        <w:t xml:space="preserve">Require pre-placement medical assessment by a licensed physician for all personnel before mobilisation to site. Define roles requiring job-specific medical examinations based on job sensitivity or physical demands. Require assessments for job transfers, ERT personnel, and return to work following injury or illness.</w:t>
      </w:r>
    </w:p>
    <w:p>
      <w:pPr>
        <w:pStyle w:val="ListParagraph"/>
        <w:numPr>
          <w:ilvl w:val="0"/>
          <w:numId w:val="2"/>
        </w:numPr>
        <w:spacing w:after="40" w:before="40"/>
      </w:pPr>
      <w:r>
        <w:rPr>
          <w:rFonts w:ascii="Arial" w:cs="Arial" w:eastAsia="Arial" w:hAnsi="Arial"/>
          <w:b/>
          <w:bCs/>
          <w:color w:val="C55A11"/>
          <w:sz w:val="19"/>
          <w:szCs w:val="19"/>
        </w:rPr>
        <w:t xml:space="preserve">[IFC – IFC PS2 §24 and GN§82]  </w:t>
      </w:r>
      <w:r>
        <w:rPr>
          <w:rFonts w:ascii="Arial" w:cs="Arial" w:eastAsia="Arial" w:hAnsi="Arial"/>
          <w:color w:val="2D2D2D"/>
          <w:sz w:val="19"/>
          <w:szCs w:val="19"/>
        </w:rPr>
        <w:t xml:space="preserve">Ensure workers assigned to positions with heightened physical health demands have health assessments appropriate to the specific risks of those positions, and that medical confidentiality is maintained throughout.</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medical assessment categories (pre-placement, periodic, return-to-work, fitness-for-task) and the minimum health standards for each role category, documented and reviewed in consultation with the project's occupational health provider.</w:t>
      </w:r>
    </w:p>
    <w:p>
      <w:pPr>
        <w:pStyle w:val="Heading2"/>
        <w:spacing w:after="60" w:before="240"/>
      </w:pPr>
      <w:r>
        <w:rPr>
          <w:rFonts w:ascii="Arial" w:cs="Arial" w:eastAsia="Arial" w:hAnsi="Arial"/>
          <w:b/>
          <w:bCs/>
          <w:color w:val="2E75B6"/>
          <w:sz w:val="22"/>
          <w:szCs w:val="22"/>
        </w:rPr>
        <w:t xml:space="preserve">Alcohol and Other Drug Requirements</w:t>
      </w:r>
    </w:p>
    <w:p>
      <w:pPr>
        <w:pStyle w:val="ListParagraph"/>
        <w:numPr>
          <w:ilvl w:val="0"/>
          <w:numId w:val="2"/>
        </w:numPr>
        <w:spacing w:after="40" w:before="40"/>
      </w:pPr>
      <w:r>
        <w:rPr>
          <w:rFonts w:ascii="Arial" w:cs="Arial" w:eastAsia="Arial" w:hAnsi="Arial"/>
          <w:b/>
          <w:bCs/>
          <w:color w:val="375623"/>
          <w:sz w:val="19"/>
          <w:szCs w:val="19"/>
        </w:rPr>
        <w:t xml:space="preserve">[APPC – Appendix C, C-2 §69.2]  </w:t>
      </w:r>
      <w:r>
        <w:rPr>
          <w:rFonts w:ascii="Arial" w:cs="Arial" w:eastAsia="Arial" w:hAnsi="Arial"/>
          <w:color w:val="2D2D2D"/>
          <w:sz w:val="19"/>
          <w:szCs w:val="19"/>
        </w:rPr>
        <w:t xml:space="preserve">Require all personnel to participate in the project drug and alcohol testing programme. Require pre-start alcohol testing (BAC of zero on automatic test, or negative on passive test, before starting work). Require non-negative drug screens to be followed by confirmatory testing reviewed by trained personnel before any action is taken.</w:t>
      </w:r>
    </w:p>
    <w:p>
      <w:pPr>
        <w:pStyle w:val="ListParagraph"/>
        <w:numPr>
          <w:ilvl w:val="0"/>
          <w:numId w:val="2"/>
        </w:numPr>
        <w:spacing w:after="40" w:before="40"/>
      </w:pPr>
      <w:r>
        <w:rPr>
          <w:rFonts w:ascii="Arial" w:cs="Arial" w:eastAsia="Arial" w:hAnsi="Arial"/>
          <w:b/>
          <w:bCs/>
          <w:color w:val="375623"/>
          <w:sz w:val="19"/>
          <w:szCs w:val="19"/>
        </w:rPr>
        <w:t xml:space="preserve">[APPC – Appendix C, C-2 §69.2]  </w:t>
      </w:r>
      <w:r>
        <w:rPr>
          <w:rFonts w:ascii="Arial" w:cs="Arial" w:eastAsia="Arial" w:hAnsi="Arial"/>
          <w:color w:val="2D2D2D"/>
          <w:sz w:val="19"/>
          <w:szCs w:val="19"/>
        </w:rPr>
        <w:t xml:space="preserve">Define cut-off levels per AS4308 for both immunoassay screening and GC-MS confirmatory testing, and define the disciplinary process for positive results.</w:t>
      </w:r>
    </w:p>
    <w:p>
      <w:pPr>
        <w:pStyle w:val="ListParagraph"/>
        <w:numPr>
          <w:ilvl w:val="0"/>
          <w:numId w:val="2"/>
        </w:numPr>
        <w:spacing w:after="40" w:before="40"/>
      </w:pPr>
      <w:r>
        <w:rPr>
          <w:rFonts w:ascii="Arial" w:cs="Arial" w:eastAsia="Arial" w:hAnsi="Arial"/>
          <w:b/>
          <w:bCs/>
          <w:color w:val="375623"/>
          <w:sz w:val="19"/>
          <w:szCs w:val="19"/>
        </w:rPr>
        <w:t xml:space="preserve">[APPC – Appendix C, C-2 §69.2]  </w:t>
      </w:r>
      <w:r>
        <w:rPr>
          <w:rFonts w:ascii="Arial" w:cs="Arial" w:eastAsia="Arial" w:hAnsi="Arial"/>
          <w:color w:val="2D2D2D"/>
          <w:sz w:val="19"/>
          <w:szCs w:val="19"/>
        </w:rPr>
        <w:t xml:space="preserve">List substances covered: alcohol; cannabis (including synthetic cannabinoids); opiate analgesics; hallucinogens; volatile substances; stimulants; and impairing prescription or over-the-counter medications.</w:t>
      </w:r>
    </w:p>
    <w:p>
      <w:pPr>
        <w:pStyle w:val="ListParagraph"/>
        <w:numPr>
          <w:ilvl w:val="0"/>
          <w:numId w:val="2"/>
        </w:numPr>
        <w:spacing w:after="40" w:before="40"/>
      </w:pPr>
      <w:r>
        <w:rPr>
          <w:rFonts w:ascii="Arial" w:cs="Arial" w:eastAsia="Arial" w:hAnsi="Arial"/>
          <w:b/>
          <w:bCs/>
          <w:color w:val="C55A11"/>
          <w:sz w:val="19"/>
          <w:szCs w:val="19"/>
        </w:rPr>
        <w:t xml:space="preserve">[IFC – IFC PS2 §23]  </w:t>
      </w:r>
      <w:r>
        <w:rPr>
          <w:rFonts w:ascii="Arial" w:cs="Arial" w:eastAsia="Arial" w:hAnsi="Arial"/>
          <w:color w:val="2D2D2D"/>
          <w:sz w:val="19"/>
          <w:szCs w:val="19"/>
        </w:rPr>
        <w:t xml:space="preserve">Promote a safe and healthy work environment and implement controls proportionate to identified substance use risks in the project workforce and local community context.</w:t>
      </w:r>
    </w:p>
    <w:p>
      <w:pPr>
        <w:pStyle w:val="Heading2"/>
        <w:spacing w:after="60" w:before="240"/>
      </w:pPr>
      <w:r>
        <w:rPr>
          <w:rFonts w:ascii="Arial" w:cs="Arial" w:eastAsia="Arial" w:hAnsi="Arial"/>
          <w:b/>
          <w:bCs/>
          <w:color w:val="2E75B6"/>
          <w:sz w:val="22"/>
          <w:szCs w:val="22"/>
        </w:rPr>
        <w:t xml:space="preserve">Fatigue Management</w:t>
      </w:r>
    </w:p>
    <w:p>
      <w:pPr>
        <w:pStyle w:val="ListParagraph"/>
        <w:numPr>
          <w:ilvl w:val="0"/>
          <w:numId w:val="2"/>
        </w:numPr>
        <w:spacing w:after="40" w:before="40"/>
      </w:pPr>
      <w:r>
        <w:rPr>
          <w:rFonts w:ascii="Arial" w:cs="Arial" w:eastAsia="Arial" w:hAnsi="Arial"/>
          <w:b/>
          <w:bCs/>
          <w:color w:val="375623"/>
          <w:sz w:val="19"/>
          <w:szCs w:val="19"/>
        </w:rPr>
        <w:t xml:space="preserve">[APPC – Appendix C, C-2 §69.4]  </w:t>
      </w:r>
      <w:r>
        <w:rPr>
          <w:rFonts w:ascii="Arial" w:cs="Arial" w:eastAsia="Arial" w:hAnsi="Arial"/>
          <w:color w:val="2D2D2D"/>
          <w:sz w:val="19"/>
          <w:szCs w:val="19"/>
        </w:rPr>
        <w:t xml:space="preserve">Define working hour limits: normal hours not to exceed 12 per day; work beyond 12 hours up to a maximum of 14 hours per day requires prior designated manager approval; a continuous 10-hour break is required before the next shift, excluding transport time.</w:t>
      </w:r>
    </w:p>
    <w:p>
      <w:pPr>
        <w:pStyle w:val="ListParagraph"/>
        <w:numPr>
          <w:ilvl w:val="0"/>
          <w:numId w:val="2"/>
        </w:numPr>
        <w:spacing w:after="40" w:before="40"/>
      </w:pPr>
      <w:r>
        <w:rPr>
          <w:rFonts w:ascii="Arial" w:cs="Arial" w:eastAsia="Arial" w:hAnsi="Arial"/>
          <w:b/>
          <w:bCs/>
          <w:color w:val="375623"/>
          <w:sz w:val="19"/>
          <w:szCs w:val="19"/>
        </w:rPr>
        <w:t xml:space="preserve">[APPC – Appendix C, C-2 §69.4]  </w:t>
      </w:r>
      <w:r>
        <w:rPr>
          <w:rFonts w:ascii="Arial" w:cs="Arial" w:eastAsia="Arial" w:hAnsi="Arial"/>
          <w:color w:val="2D2D2D"/>
          <w:sz w:val="19"/>
          <w:szCs w:val="19"/>
        </w:rPr>
        <w:t xml:space="preserve">Define self-reporting requirements for personnel experiencing fatigue impairment, the process for monitoring fatigue levels, and the criteria for standing down personnel.</w:t>
      </w:r>
    </w:p>
    <w:p>
      <w:pPr>
        <w:pStyle w:val="ListParagraph"/>
        <w:numPr>
          <w:ilvl w:val="0"/>
          <w:numId w:val="2"/>
        </w:numPr>
        <w:spacing w:after="40" w:before="40"/>
      </w:pPr>
      <w:r>
        <w:rPr>
          <w:rFonts w:ascii="Arial" w:cs="Arial" w:eastAsia="Arial" w:hAnsi="Arial"/>
          <w:b/>
          <w:bCs/>
          <w:color w:val="C55A11"/>
          <w:sz w:val="19"/>
          <w:szCs w:val="19"/>
        </w:rPr>
        <w:t xml:space="preserve">[IFC – IFC PS2 §11]  </w:t>
      </w:r>
      <w:r>
        <w:rPr>
          <w:rFonts w:ascii="Arial" w:cs="Arial" w:eastAsia="Arial" w:hAnsi="Arial"/>
          <w:color w:val="2D2D2D"/>
          <w:sz w:val="19"/>
          <w:szCs w:val="19"/>
        </w:rPr>
        <w:t xml:space="preserve">Ensure working hour arrangements comply with applicable national law and, where more stringent than national requirements, with Good International Industry Practice, particularly in the context of physically demanding or safety-critical roles.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 fatigue risk scoring or assessment process for scheduling decisions, particularly for FIFO rosters, extended travel days, and night work. The project must set and document its own acceptable fatigue risk threshold.</w:t>
      </w:r>
    </w:p>
    <w:p>
      <w:pPr>
        <w:pStyle w:val="Heading2"/>
        <w:spacing w:after="60" w:before="240"/>
      </w:pPr>
      <w:r>
        <w:rPr>
          <w:rFonts w:ascii="Arial" w:cs="Arial" w:eastAsia="Arial" w:hAnsi="Arial"/>
          <w:b/>
          <w:bCs/>
          <w:color w:val="2E75B6"/>
          <w:sz w:val="22"/>
          <w:szCs w:val="22"/>
        </w:rPr>
        <w:t xml:space="preserve">Thermal Stress Management</w:t>
      </w:r>
    </w:p>
    <w:p>
      <w:pPr>
        <w:pStyle w:val="ListParagraph"/>
        <w:numPr>
          <w:ilvl w:val="0"/>
          <w:numId w:val="2"/>
        </w:numPr>
        <w:spacing w:after="40" w:before="40"/>
      </w:pPr>
      <w:r>
        <w:rPr>
          <w:rFonts w:ascii="Arial" w:cs="Arial" w:eastAsia="Arial" w:hAnsi="Arial"/>
          <w:b/>
          <w:bCs/>
          <w:color w:val="375623"/>
          <w:sz w:val="19"/>
          <w:szCs w:val="19"/>
        </w:rPr>
        <w:t xml:space="preserve">[APPC – Appendix C, C-2 §69.3]  </w:t>
      </w:r>
      <w:r>
        <w:rPr>
          <w:rFonts w:ascii="Arial" w:cs="Arial" w:eastAsia="Arial" w:hAnsi="Arial"/>
          <w:color w:val="2D2D2D"/>
          <w:sz w:val="19"/>
          <w:szCs w:val="19"/>
        </w:rPr>
        <w:t xml:space="preserve">Require acclimatisation periods for new workers and personnel returning from extended leave or illness; define heat stress recognition training requirements; implement buddy system or active supervision; require hydration testing using Urine Specific Gravity (USG) per Company standards with results reported as a project leading indicator.</w:t>
      </w:r>
    </w:p>
    <w:p>
      <w:pPr>
        <w:pStyle w:val="ListParagraph"/>
        <w:numPr>
          <w:ilvl w:val="0"/>
          <w:numId w:val="2"/>
        </w:numPr>
        <w:spacing w:after="40" w:before="40"/>
      </w:pPr>
      <w:r>
        <w:rPr>
          <w:rFonts w:ascii="Arial" w:cs="Arial" w:eastAsia="Arial" w:hAnsi="Arial"/>
          <w:b/>
          <w:bCs/>
          <w:color w:val="C55A11"/>
          <w:sz w:val="19"/>
          <w:szCs w:val="19"/>
        </w:rPr>
        <w:t xml:space="preserve">[IFC – IFC EHS Guidelines §2.3]  </w:t>
      </w:r>
      <w:r>
        <w:rPr>
          <w:rFonts w:ascii="Arial" w:cs="Arial" w:eastAsia="Arial" w:hAnsi="Arial"/>
          <w:color w:val="2D2D2D"/>
          <w:sz w:val="19"/>
          <w:szCs w:val="19"/>
        </w:rPr>
        <w:t xml:space="preserve">Identify and assess heat stress risk for outdoor work and hot process environments and implement engineering, administrative, and PPE controls to maintain core body temperature within safe limits.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site-specific wet bulb globe temperature (WBGT) or equivalent thresholds and corresponding work-rest schedules, documented for each season and validated by the project's occupational health provider.</w:t>
      </w:r>
    </w:p>
    <w:p>
      <w:pPr>
        <w:pStyle w:val="Heading2"/>
        <w:spacing w:after="60" w:before="240"/>
      </w:pPr>
      <w:r>
        <w:rPr>
          <w:rFonts w:ascii="Arial" w:cs="Arial" w:eastAsia="Arial" w:hAnsi="Arial"/>
          <w:b/>
          <w:bCs/>
          <w:color w:val="2E75B6"/>
          <w:sz w:val="22"/>
          <w:szCs w:val="22"/>
        </w:rPr>
        <w:t xml:space="preserve">Return to Work and Case Management</w:t>
      </w:r>
    </w:p>
    <w:p>
      <w:pPr>
        <w:pStyle w:val="ListParagraph"/>
        <w:numPr>
          <w:ilvl w:val="0"/>
          <w:numId w:val="2"/>
        </w:numPr>
        <w:spacing w:after="40" w:before="40"/>
      </w:pPr>
      <w:r>
        <w:rPr>
          <w:rFonts w:ascii="Arial" w:cs="Arial" w:eastAsia="Arial" w:hAnsi="Arial"/>
          <w:b/>
          <w:bCs/>
          <w:color w:val="375623"/>
          <w:sz w:val="19"/>
          <w:szCs w:val="19"/>
        </w:rPr>
        <w:t xml:space="preserve">[APPC – Appendix C, C-1 §39.9]  </w:t>
      </w:r>
      <w:r>
        <w:rPr>
          <w:rFonts w:ascii="Arial" w:cs="Arial" w:eastAsia="Arial" w:hAnsi="Arial"/>
          <w:color w:val="2D2D2D"/>
          <w:sz w:val="19"/>
          <w:szCs w:val="19"/>
        </w:rPr>
        <w:t xml:space="preserve">Define the process for safely returning personnel to work following injury or illness, including medical clearance requirements, work modification options, rehabilitation access, and case management throughout recovery.</w:t>
      </w:r>
    </w:p>
    <w:p>
      <w:pPr>
        <w:pStyle w:val="ListParagraph"/>
        <w:numPr>
          <w:ilvl w:val="0"/>
          <w:numId w:val="2"/>
        </w:numPr>
        <w:spacing w:after="40" w:before="40"/>
      </w:pPr>
      <w:r>
        <w:rPr>
          <w:rFonts w:ascii="Arial" w:cs="Arial" w:eastAsia="Arial" w:hAnsi="Arial"/>
          <w:b/>
          <w:bCs/>
          <w:color w:val="375623"/>
          <w:sz w:val="19"/>
          <w:szCs w:val="19"/>
        </w:rPr>
        <w:t xml:space="preserve">[APPC – Appendix C, C-1 §39.9]  </w:t>
      </w:r>
      <w:r>
        <w:rPr>
          <w:rFonts w:ascii="Arial" w:cs="Arial" w:eastAsia="Arial" w:hAnsi="Arial"/>
          <w:color w:val="2D2D2D"/>
          <w:sz w:val="19"/>
          <w:szCs w:val="19"/>
        </w:rPr>
        <w:t xml:space="preserve">Require project owner agreement before any contractor personnel return to work following an injury or illness, to ensure consistency of classification and case management.</w:t>
      </w:r>
    </w:p>
    <w:p>
      <w:pPr>
        <w:pStyle w:val="ListParagraph"/>
        <w:numPr>
          <w:ilvl w:val="0"/>
          <w:numId w:val="2"/>
        </w:numPr>
        <w:spacing w:after="40" w:before="40"/>
      </w:pPr>
      <w:r>
        <w:rPr>
          <w:rFonts w:ascii="Arial" w:cs="Arial" w:eastAsia="Arial" w:hAnsi="Arial"/>
          <w:b/>
          <w:bCs/>
          <w:color w:val="C55A11"/>
          <w:sz w:val="19"/>
          <w:szCs w:val="19"/>
        </w:rPr>
        <w:t xml:space="preserve">[IFC – IFC PS2 §24]  </w:t>
      </w:r>
      <w:r>
        <w:rPr>
          <w:rFonts w:ascii="Arial" w:cs="Arial" w:eastAsia="Arial" w:hAnsi="Arial"/>
          <w:color w:val="2D2D2D"/>
          <w:sz w:val="19"/>
          <w:szCs w:val="19"/>
        </w:rPr>
        <w:t xml:space="preserve">Ensure injured workers receive appropriate medical treatment, rehabilitation services, and are treated with demonstrated care throughout their recovery, and that return-to-work decisions are based on medical clearance not operational convenience.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medical assessment provider and the specific pre-placement medical standard for each role category (e.g., office-based, site-based non-operational, HME operator, ERT member). Insert as a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D&amp;A testing schedule: pre-placement testing; random testing frequency (% of workforce per quarter); for-cause testing triggers. These are project decisions within the bounds the procedure sets.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project-specific fatigue risk scoring approach for FIFO rosters and extended travel days. The procedure sets the hour limits — the project must define how fatigue risk is assessed for scheduling decisions.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WBGT thresholds and work-rest schedules specific to the project location and season. These must be validated by the project occupational health provider before the first high-temperature period.</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§69.2.0.2]  </w:t>
            </w:r>
            <w:r>
              <w:rPr>
                <w:rFonts w:ascii="Arial" w:cs="Arial" w:eastAsia="Arial" w:hAnsi="Arial"/>
                <w:color w:val="2D2D2D"/>
                <w:sz w:val="19"/>
                <w:szCs w:val="19"/>
              </w:rPr>
              <w:t xml:space="preserve">Require all personnel to register a blood alcohol concentration (BAC) of zero on an automatic test, or a negative result on a passive test, before starting work at any location. Pre-start alcohol testing must be conducted using an approved testing device.</w:t>
            </w:r>
          </w:p>
          <w:p>
            <w:pPr>
              <w:pStyle w:val="ListParagraph"/>
              <w:numPr>
                <w:ilvl w:val="0"/>
                <w:numId w:val="2"/>
              </w:numPr>
              <w:spacing w:after="40" w:before="40"/>
            </w:pPr>
            <w:r>
              <w:rPr>
                <w:rFonts w:ascii="Arial" w:cs="Arial" w:eastAsia="Arial" w:hAnsi="Arial"/>
                <w:b/>
                <w:bCs/>
                <w:color w:val="375623"/>
                <w:sz w:val="19"/>
                <w:szCs w:val="19"/>
              </w:rPr>
              <w:t xml:space="preserve">[APPC – Appendix C, C-2 §69.2.0.4]  </w:t>
            </w:r>
            <w:r>
              <w:rPr>
                <w:rFonts w:ascii="Arial" w:cs="Arial" w:eastAsia="Arial" w:hAnsi="Arial"/>
                <w:color w:val="2D2D2D"/>
                <w:sz w:val="19"/>
                <w:szCs w:val="19"/>
              </w:rPr>
              <w:t xml:space="preserve">Require that a non-negative drug screen is followed up with a confirmatory test. Confirmatory test results must be reviewed by trained personnel before any disciplinary or administrative action is taken.</w:t>
            </w:r>
          </w:p>
          <w:p>
            <w:pPr>
              <w:pStyle w:val="ListParagraph"/>
              <w:numPr>
                <w:ilvl w:val="0"/>
                <w:numId w:val="2"/>
              </w:numPr>
              <w:spacing w:after="40" w:before="40"/>
            </w:pPr>
            <w:r>
              <w:rPr>
                <w:rFonts w:ascii="Arial" w:cs="Arial" w:eastAsia="Arial" w:hAnsi="Arial"/>
                <w:b/>
                <w:bCs/>
                <w:color w:val="375623"/>
                <w:sz w:val="19"/>
                <w:szCs w:val="19"/>
              </w:rPr>
              <w:t xml:space="preserve">[APPC – Appendix C, C-2 §69.2.1]  </w:t>
            </w:r>
            <w:r>
              <w:rPr>
                <w:rFonts w:ascii="Arial" w:cs="Arial" w:eastAsia="Arial" w:hAnsi="Arial"/>
                <w:color w:val="2D2D2D"/>
                <w:sz w:val="19"/>
                <w:szCs w:val="19"/>
              </w:rPr>
              <w:t xml:space="preserve">Define the substances covered by the drug and alcohol testing programme: alcohol; cannabis including synthetic cannabinoids; opiate analgesics; hallucinogens; volatile substances; stimulants; and impairing prescription or over-the-counter medications.</w:t>
            </w:r>
          </w:p>
          <w:p>
            <w:pPr>
              <w:pStyle w:val="ListParagraph"/>
              <w:numPr>
                <w:ilvl w:val="0"/>
                <w:numId w:val="2"/>
              </w:numPr>
              <w:spacing w:after="40" w:before="40"/>
            </w:pPr>
            <w:r>
              <w:rPr>
                <w:rFonts w:ascii="Arial" w:cs="Arial" w:eastAsia="Arial" w:hAnsi="Arial"/>
                <w:b/>
                <w:bCs/>
                <w:color w:val="375623"/>
                <w:sz w:val="19"/>
                <w:szCs w:val="19"/>
              </w:rPr>
              <w:t xml:space="preserve">[APPC – Appendix C, C-2 §69.4.3]  </w:t>
            </w:r>
            <w:r>
              <w:rPr>
                <w:rFonts w:ascii="Arial" w:cs="Arial" w:eastAsia="Arial" w:hAnsi="Arial"/>
                <w:color w:val="2D2D2D"/>
                <w:sz w:val="19"/>
                <w:szCs w:val="19"/>
              </w:rPr>
              <w:t xml:space="preserve">Define working hour limits: normal working hours must not exceed 12 hours per day. Work beyond 12 hours up to a maximum of 14 hours per day requires prior approval from a designated Contractor manager. A minimum continuous 10-hour break is required between shifts, excluding travel time.</w:t>
            </w:r>
          </w:p>
          <w:p>
            <w:pPr>
              <w:pStyle w:val="ListParagraph"/>
              <w:numPr>
                <w:ilvl w:val="0"/>
                <w:numId w:val="2"/>
              </w:numPr>
              <w:spacing w:after="40" w:before="40"/>
            </w:pPr>
            <w:r>
              <w:rPr>
                <w:rFonts w:ascii="Arial" w:cs="Arial" w:eastAsia="Arial" w:hAnsi="Arial"/>
                <w:b/>
                <w:bCs/>
                <w:color w:val="375623"/>
                <w:sz w:val="19"/>
                <w:szCs w:val="19"/>
              </w:rPr>
              <w:t xml:space="preserve">[APPC – Appendix C, C-1 §39.9.2]  </w:t>
            </w:r>
            <w:r>
              <w:rPr>
                <w:rFonts w:ascii="Arial" w:cs="Arial" w:eastAsia="Arial" w:hAnsi="Arial"/>
                <w:color w:val="2D2D2D"/>
                <w:sz w:val="19"/>
                <w:szCs w:val="19"/>
              </w:rPr>
              <w:t xml:space="preserve">Define case management requirements for injured personnel: medical clearance requirements and documentation of work restrictions or accommodations; a process for modifying work duties to enable the injured person to return to meaningful work; and regular review and updates to align with Company requirements and ensure continuous improvement in case management and return-to-work practices.</w:t>
            </w:r>
          </w:p>
          <w:p>
            <w:r>
              <w:rPr>
                <w:rFonts w:ascii="Arial" w:cs="Arial" w:eastAsia="Arial" w:hAnsi="Arial"/>
                <w:color w:val="3C2A00"/>
                <w:sz w:val="17"/>
                <w:szCs w:val="17"/>
              </w:rPr>
              <w:t xml:space="preserve">Define the acclimatisation programme duration and supervision requirements for this project. The procedure requires one — the project sets the specific number of days and the assessment criteria.</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Management Improvement Planning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04 – Management Improvement Planning</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RTPR-HSE-PRO-0007</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Performance review schedule and minimum content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HSESC KPI framework and minimum leading/lagging indicators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Corrective and preventive action severity classification</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Lessons learned sharing process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RTPR-HSE-PRO-0003 – Org Resources (HSESCLT as review governance body)</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(incident data as review input)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RTPR-HSE-PRO-0042 – Monitoring (monitoring data as review input)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RTPR-HSE-PRO-0044 – Auditing (audit findings as review input)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RTPR-HSE-PRO-0045 – Management Review (formal management review vs operational review distinction)</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RTPR-HSE-PRO-0045 references RTPR-HSE-PRO-0007 for operational performance data</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RTPR-HSE-PRO-0042 references RTPR-HSE-PRO-0007 for leading indicator targets</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how the owner-led project analyses HSESC performance, identifies improvement opportunities across all domains, develops targeted improvement plans, and tracks actions to closure. Continuous improvement is not optional in this management system — it is a core performance expectation against which the project will be assessed.</w:t>
      </w:r>
    </w:p>
    <w:p>
      <w:pPr>
        <w:pStyle w:val="Heading2"/>
        <w:spacing w:after="60" w:before="240"/>
      </w:pPr>
      <w:r>
        <w:rPr>
          <w:rFonts w:ascii="Arial" w:cs="Arial" w:eastAsia="Arial" w:hAnsi="Arial"/>
          <w:b/>
          <w:bCs/>
          <w:color w:val="2E75B6"/>
          <w:sz w:val="22"/>
          <w:szCs w:val="22"/>
        </w:rPr>
        <w:t xml:space="preserve">HSESC Performance Reviews</w:t>
      </w:r>
    </w:p>
    <w:p>
      <w:pPr>
        <w:pStyle w:val="ListParagraph"/>
        <w:numPr>
          <w:ilvl w:val="0"/>
          <w:numId w:val="2"/>
        </w:numPr>
        <w:spacing w:after="40" w:before="40"/>
      </w:pPr>
      <w:r>
        <w:rPr>
          <w:rFonts w:ascii="Arial" w:cs="Arial" w:eastAsia="Arial" w:hAnsi="Arial"/>
          <w:b/>
          <w:bCs/>
          <w:color w:val="375623"/>
          <w:sz w:val="19"/>
          <w:szCs w:val="19"/>
        </w:rPr>
        <w:t xml:space="preserve">[APPC – Appendix C, C-1 §40.2]  </w:t>
      </w:r>
      <w:r>
        <w:rPr>
          <w:rFonts w:ascii="Arial" w:cs="Arial" w:eastAsia="Arial" w:hAnsi="Arial"/>
          <w:color w:val="2D2D2D"/>
          <w:sz w:val="19"/>
          <w:szCs w:val="19"/>
        </w:rPr>
        <w:t xml:space="preserve">Define HSESC Performance Review frequency across project phases: Pre-mobilisation; Quarterly Execution; Commissioning Readiness; and End of Contract. Define minimum content: leading and lagging indicator review; audit findings; incident trends; CRM performance; SMM maturity; community feedback; environmental performance; legal compliance status; and status of previous actions.</w:t>
      </w:r>
    </w:p>
    <w:p>
      <w:pPr>
        <w:pStyle w:val="ListParagraph"/>
        <w:numPr>
          <w:ilvl w:val="0"/>
          <w:numId w:val="2"/>
        </w:numPr>
        <w:spacing w:after="40" w:before="40"/>
      </w:pPr>
      <w:r>
        <w:rPr>
          <w:rFonts w:ascii="Arial" w:cs="Arial" w:eastAsia="Arial" w:hAnsi="Arial"/>
          <w:b/>
          <w:bCs/>
          <w:color w:val="375623"/>
          <w:sz w:val="19"/>
          <w:szCs w:val="19"/>
        </w:rPr>
        <w:t xml:space="preserve">[APPC – Appendix C, C-1 §40.2]  </w:t>
      </w:r>
      <w:r>
        <w:rPr>
          <w:rFonts w:ascii="Arial" w:cs="Arial" w:eastAsia="Arial" w:hAnsi="Arial"/>
          <w:color w:val="2D2D2D"/>
          <w:sz w:val="19"/>
          <w:szCs w:val="19"/>
        </w:rPr>
        <w:t xml:space="preserve">Require that both positive outcomes and improvement opportunities are captured as lessons learned, and that lessons are actively shared across all contractor organisations on the project.</w:t>
      </w:r>
    </w:p>
    <w:p>
      <w:pPr>
        <w:pStyle w:val="ListParagraph"/>
        <w:numPr>
          <w:ilvl w:val="0"/>
          <w:numId w:val="2"/>
        </w:numPr>
        <w:spacing w:after="40" w:before="40"/>
      </w:pPr>
      <w:r>
        <w:rPr>
          <w:rFonts w:ascii="Arial" w:cs="Arial" w:eastAsia="Arial" w:hAnsi="Arial"/>
          <w:b/>
          <w:bCs/>
          <w:color w:val="2F5496"/>
          <w:sz w:val="19"/>
          <w:szCs w:val="19"/>
        </w:rPr>
        <w:t xml:space="preserve">[TSM – TSM – Safe, Healthy and Respectful Workplaces Protocol, Indicator SH2]  </w:t>
      </w:r>
      <w:r>
        <w:rPr>
          <w:rFonts w:ascii="Arial" w:cs="Arial" w:eastAsia="Arial" w:hAnsi="Arial"/>
          <w:color w:val="2D2D2D"/>
          <w:sz w:val="19"/>
          <w:szCs w:val="19"/>
        </w:rPr>
        <w:t xml:space="preserve">Set and monitor measurable safety and health targets for continuous improvement, reporting progress against targets as a core component of each performance review.</w:t>
      </w:r>
    </w:p>
    <w:p>
      <w:pPr>
        <w:pStyle w:val="ListParagraph"/>
        <w:numPr>
          <w:ilvl w:val="0"/>
          <w:numId w:val="2"/>
        </w:numPr>
        <w:spacing w:after="40" w:before="40"/>
      </w:pPr>
      <w:r>
        <w:rPr>
          <w:rFonts w:ascii="Arial" w:cs="Arial" w:eastAsia="Arial" w:hAnsi="Arial"/>
          <w:b/>
          <w:bCs/>
          <w:color w:val="7030A0"/>
          <w:sz w:val="19"/>
          <w:szCs w:val="19"/>
        </w:rPr>
        <w:t xml:space="preserve">[ICMM – ICMM Principle 5, Performance Expectation 5.1]  </w:t>
      </w:r>
      <w:r>
        <w:rPr>
          <w:rFonts w:ascii="Arial" w:cs="Arial" w:eastAsia="Arial" w:hAnsi="Arial"/>
          <w:color w:val="2D2D2D"/>
          <w:sz w:val="19"/>
          <w:szCs w:val="19"/>
        </w:rPr>
        <w:t xml:space="preserve">Monitor performance continuously for the elimination of workplace fatalities, serious injuries, and psychosocial hazards, and use performance data to drive documented improvement actions.</w:t>
      </w:r>
    </w:p>
    <w:p>
      <w:pPr>
        <w:pStyle w:val="Heading2"/>
        <w:spacing w:after="60" w:before="240"/>
      </w:pPr>
      <w:r>
        <w:rPr>
          <w:rFonts w:ascii="Arial" w:cs="Arial" w:eastAsia="Arial" w:hAnsi="Arial"/>
          <w:b/>
          <w:bCs/>
          <w:color w:val="2E75B6"/>
          <w:sz w:val="22"/>
          <w:szCs w:val="22"/>
        </w:rPr>
        <w:t xml:space="preserve">HSESC Metrics and KPIs</w:t>
      </w:r>
    </w:p>
    <w:p>
      <w:pPr>
        <w:pStyle w:val="ListParagraph"/>
        <w:numPr>
          <w:ilvl w:val="0"/>
          <w:numId w:val="2"/>
        </w:numPr>
        <w:spacing w:after="40" w:before="40"/>
      </w:pPr>
      <w:r>
        <w:rPr>
          <w:rFonts w:ascii="Arial" w:cs="Arial" w:eastAsia="Arial" w:hAnsi="Arial"/>
          <w:b/>
          <w:bCs/>
          <w:color w:val="375623"/>
          <w:sz w:val="19"/>
          <w:szCs w:val="19"/>
        </w:rPr>
        <w:t xml:space="preserve">[APPC – Appendix C, C-1 §41.3]  </w:t>
      </w:r>
      <w:r>
        <w:rPr>
          <w:rFonts w:ascii="Arial" w:cs="Arial" w:eastAsia="Arial" w:hAnsi="Arial"/>
          <w:color w:val="2D2D2D"/>
          <w:sz w:val="19"/>
          <w:szCs w:val="19"/>
        </w:rPr>
        <w:t xml:space="preserve">Define a suite of agreed HSESC KPIs including both leading (proactive) and lagging (reactive) indicators. Require that KPIs are clear, specific, and measurable, and reported to the relevant project authority at agreed intervals.</w:t>
      </w:r>
    </w:p>
    <w:p>
      <w:pPr>
        <w:pStyle w:val="ListParagraph"/>
        <w:numPr>
          <w:ilvl w:val="0"/>
          <w:numId w:val="2"/>
        </w:numPr>
        <w:spacing w:after="40" w:before="40"/>
      </w:pPr>
      <w:r>
        <w:rPr>
          <w:rFonts w:ascii="Arial" w:cs="Arial" w:eastAsia="Arial" w:hAnsi="Arial"/>
          <w:b/>
          <w:bCs/>
          <w:color w:val="C55A11"/>
          <w:sz w:val="19"/>
          <w:szCs w:val="19"/>
        </w:rPr>
        <w:t xml:space="preserve">[IFC – IFC PS1 §22]  </w:t>
      </w:r>
      <w:r>
        <w:rPr>
          <w:rFonts w:ascii="Arial" w:cs="Arial" w:eastAsia="Arial" w:hAnsi="Arial"/>
          <w:color w:val="2D2D2D"/>
          <w:sz w:val="19"/>
          <w:szCs w:val="19"/>
        </w:rPr>
        <w:t xml:space="preserve">Define quantitative indicators of environmental and social performance that can be monitored consistently over the project lifecycle and used to assess the effectiveness of management controls.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its minimum leading indicator targets (e.g., CRM verification completion rate; pre-start meeting completion rate; hazard observation rate per 100 workers; training completion rate) and establish these as project performance commitments before site mobilisation.</w:t>
      </w:r>
    </w:p>
    <w:p>
      <w:pPr>
        <w:pStyle w:val="Heading2"/>
        <w:spacing w:after="60" w:before="240"/>
      </w:pPr>
      <w:r>
        <w:rPr>
          <w:rFonts w:ascii="Arial" w:cs="Arial" w:eastAsia="Arial" w:hAnsi="Arial"/>
          <w:b/>
          <w:bCs/>
          <w:color w:val="2E75B6"/>
          <w:sz w:val="22"/>
          <w:szCs w:val="22"/>
        </w:rPr>
        <w:t xml:space="preserve">Corrective and Preventive Action</w:t>
      </w:r>
    </w:p>
    <w:p>
      <w:pPr>
        <w:pStyle w:val="ListParagraph"/>
        <w:numPr>
          <w:ilvl w:val="0"/>
          <w:numId w:val="2"/>
        </w:numPr>
        <w:spacing w:after="40" w:before="40"/>
      </w:pPr>
      <w:r>
        <w:rPr>
          <w:rFonts w:ascii="Arial" w:cs="Arial" w:eastAsia="Arial" w:hAnsi="Arial"/>
          <w:b/>
          <w:bCs/>
          <w:color w:val="375623"/>
          <w:sz w:val="19"/>
          <w:szCs w:val="19"/>
        </w:rPr>
        <w:t xml:space="preserve">[APPC – Appendix C, C-1 §41.1]  </w:t>
      </w:r>
      <w:r>
        <w:rPr>
          <w:rFonts w:ascii="Arial" w:cs="Arial" w:eastAsia="Arial" w:hAnsi="Arial"/>
          <w:color w:val="2D2D2D"/>
          <w:sz w:val="19"/>
          <w:szCs w:val="19"/>
        </w:rPr>
        <w:t xml:space="preserve">Define a process for recording, tracking, and closing out all corrective and preventive actions from audits, inspections, incident investigations, hazard observations, MoC assessments, and community engagement. Require severity ranking (high/medium/low), assigned due dates and owners, and monthly closeout reports.</w:t>
      </w:r>
    </w:p>
    <w:p>
      <w:pPr>
        <w:pStyle w:val="ListParagraph"/>
        <w:numPr>
          <w:ilvl w:val="0"/>
          <w:numId w:val="2"/>
        </w:numPr>
        <w:spacing w:after="40" w:before="40"/>
      </w:pPr>
      <w:r>
        <w:rPr>
          <w:rFonts w:ascii="Arial" w:cs="Arial" w:eastAsia="Arial" w:hAnsi="Arial"/>
          <w:b/>
          <w:bCs/>
          <w:color w:val="C55A11"/>
          <w:sz w:val="19"/>
          <w:szCs w:val="19"/>
        </w:rPr>
        <w:t xml:space="preserve">[IFC – IFC PS1 §11]  </w:t>
      </w:r>
      <w:r>
        <w:rPr>
          <w:rFonts w:ascii="Arial" w:cs="Arial" w:eastAsia="Arial" w:hAnsi="Arial"/>
          <w:color w:val="2D2D2D"/>
          <w:sz w:val="19"/>
          <w:szCs w:val="19"/>
        </w:rPr>
        <w:t xml:space="preserve">Ensure that corrective actions are implemented within timeframes proportionate to the severity of the finding, and that their effectiveness is verified before the action is formally closed.</w:t>
      </w:r>
    </w:p>
    <w:p>
      <w:pPr>
        <w:pStyle w:val="ListParagraph"/>
        <w:numPr>
          <w:ilvl w:val="0"/>
          <w:numId w:val="2"/>
        </w:numPr>
        <w:spacing w:after="40" w:before="40"/>
      </w:pPr>
      <w:r>
        <w:rPr>
          <w:rFonts w:ascii="Arial" w:cs="Arial" w:eastAsia="Arial" w:hAnsi="Arial"/>
          <w:b/>
          <w:bCs/>
          <w:color w:val="BF9000"/>
          <w:sz w:val="19"/>
          <w:szCs w:val="19"/>
        </w:rPr>
        <w:t xml:space="preserve">[OSHA – OSHA RP 2016 – Program Evaluation and Improvement]  </w:t>
      </w:r>
      <w:r>
        <w:rPr>
          <w:rFonts w:ascii="Arial" w:cs="Arial" w:eastAsia="Arial" w:hAnsi="Arial"/>
          <w:color w:val="2D2D2D"/>
          <w:sz w:val="19"/>
          <w:szCs w:val="19"/>
        </w:rPr>
        <w:t xml:space="preserve">Use multiple data sources — inspection findings, near miss reports, hazard observations, incident data, and leading indicators — to identify systemic programme deficiencies and direct improvement efforts at root causes rather than individual events.</w:t>
      </w:r>
    </w:p>
    <w:p>
      <w:pPr>
        <w:pStyle w:val="Heading2"/>
        <w:spacing w:after="60" w:before="240"/>
      </w:pPr>
      <w:r>
        <w:rPr>
          <w:rFonts w:ascii="Arial" w:cs="Arial" w:eastAsia="Arial" w:hAnsi="Arial"/>
          <w:b/>
          <w:bCs/>
          <w:color w:val="2E75B6"/>
          <w:sz w:val="22"/>
          <w:szCs w:val="22"/>
        </w:rPr>
        <w:t xml:space="preserve">Lessons Learned and Continuous Improvement</w:t>
      </w:r>
    </w:p>
    <w:p>
      <w:pPr>
        <w:pStyle w:val="ListParagraph"/>
        <w:numPr>
          <w:ilvl w:val="0"/>
          <w:numId w:val="2"/>
        </w:numPr>
        <w:spacing w:after="40" w:before="40"/>
      </w:pPr>
      <w:r>
        <w:rPr>
          <w:rFonts w:ascii="Arial" w:cs="Arial" w:eastAsia="Arial" w:hAnsi="Arial"/>
          <w:b/>
          <w:bCs/>
          <w:color w:val="375623"/>
          <w:sz w:val="19"/>
          <w:szCs w:val="19"/>
        </w:rPr>
        <w:t xml:space="preserve">[APPC – Appendix C, C-1 §41.2]  </w:t>
      </w:r>
      <w:r>
        <w:rPr>
          <w:rFonts w:ascii="Arial" w:cs="Arial" w:eastAsia="Arial" w:hAnsi="Arial"/>
          <w:color w:val="2D2D2D"/>
          <w:sz w:val="19"/>
          <w:szCs w:val="19"/>
        </w:rPr>
        <w:t xml:space="preserve">Define how lessons learned from incidents, investigations, near misses, audits, and inspections are captured, shared across all project contractor organisations, and incorporated into procedures, JHAs, training materials, and risk registers.</w:t>
      </w:r>
    </w:p>
    <w:p>
      <w:pPr>
        <w:pStyle w:val="ListParagraph"/>
        <w:numPr>
          <w:ilvl w:val="0"/>
          <w:numId w:val="2"/>
        </w:numPr>
        <w:spacing w:after="40" w:before="40"/>
      </w:pPr>
      <w:r>
        <w:rPr>
          <w:rFonts w:ascii="Arial" w:cs="Arial" w:eastAsia="Arial" w:hAnsi="Arial"/>
          <w:b/>
          <w:bCs/>
          <w:color w:val="C55A11"/>
          <w:sz w:val="19"/>
          <w:szCs w:val="19"/>
        </w:rPr>
        <w:t xml:space="preserve">[IFC – IFC PS1 §7]  </w:t>
      </w:r>
      <w:r>
        <w:rPr>
          <w:rFonts w:ascii="Arial" w:cs="Arial" w:eastAsia="Arial" w:hAnsi="Arial"/>
          <w:color w:val="2D2D2D"/>
          <w:sz w:val="19"/>
          <w:szCs w:val="19"/>
        </w:rPr>
        <w:t xml:space="preserve">Ensure that adaptive management actions — triggered by unexpected impacts, changed conditions, or monitoring exceedances — are recorded and tracked to verify effectiveness.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specific project KPI targets before mobilisation. The procedure lists minimum required indicators — the project must set the numerical targets (e.g., minimum hazard observation rate per 100 workers per month; CRM verification completion % target). Insert as a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performance review schedule with specific dates relative to the project programme phases.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action severity classification thresholds: what makes an action 'high' vs 'medium' vs 'low' for this project context.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C-1 §41.1.7]  </w:t>
            </w:r>
            <w:r>
              <w:rPr>
                <w:rFonts w:ascii="Arial" w:cs="Arial" w:eastAsia="Arial" w:hAnsi="Arial"/>
                <w:color w:val="2D2D2D"/>
                <w:sz w:val="19"/>
                <w:szCs w:val="19"/>
              </w:rPr>
              <w:t xml:space="preserve">Require that the action tracking register includes actions from community engagement processes, complaints, and incidents or events affecting the community. These actions must be tracked and resolved within the same system as all other HSESC corrective actions, with resolution incorporated into broader risk management and mitigation measures.</w:t>
            </w:r>
          </w:p>
          <w:p>
            <w:pPr>
              <w:pStyle w:val="ListParagraph"/>
              <w:numPr>
                <w:ilvl w:val="0"/>
                <w:numId w:val="2"/>
              </w:numPr>
              <w:spacing w:after="40" w:before="40"/>
            </w:pPr>
            <w:r>
              <w:rPr>
                <w:rFonts w:ascii="Arial" w:cs="Arial" w:eastAsia="Arial" w:hAnsi="Arial"/>
                <w:b/>
                <w:bCs/>
                <w:color w:val="375623"/>
                <w:sz w:val="19"/>
                <w:szCs w:val="19"/>
              </w:rPr>
              <w:t xml:space="preserve">[APPC – Appendix C, C-8 §1.0.1]  </w:t>
            </w:r>
            <w:r>
              <w:rPr>
                <w:rFonts w:ascii="Arial" w:cs="Arial" w:eastAsia="Arial" w:hAnsi="Arial"/>
                <w:color w:val="2D2D2D"/>
                <w:sz w:val="19"/>
                <w:szCs w:val="19"/>
              </w:rPr>
              <w:t xml:space="preserve">Require the monthly HSESC Contractor Report to be submitted no later than the first Friday of each month, using the Company-approved template. The content of the monthly report must be agreed with the Company before the first submission. The report may be submitted as a standalone document or as part of an aligned project reporting framework.</w:t>
            </w:r>
          </w:p>
          <w:p>
            <w:r>
              <w:rPr>
                <w:rFonts w:ascii="Arial" w:cs="Arial" w:eastAsia="Arial" w:hAnsi="Arial"/>
                <w:color w:val="3C2A00"/>
                <w:sz w:val="17"/>
                <w:szCs w:val="17"/>
              </w:rPr>
              <w:t xml:space="preserve">Define how lessons learned are shared with contractor organisations on this project (distribution mechanism, meeting, portal). The procedure requires it — the project implements it.</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Working at Heights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RTPR-HSE-PRO-0008</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Height threshold definition for this project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Hierarchy of controls for working at height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Anchor point load requirements (15kN/21kN)</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MEWP operational requirements and spotter triggers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DROPS programme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Working at heights rescue plan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(risk assessment for height work)</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(height work competency — documented in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(height permit raised via PTW system — refer RTPR-HSE-PRO-0021 for process)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RTPR-HSE-PRO-0024 – Isolation (energy isolation before height work on plant)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RTPR-HSE-PRO-0027 – PPE (fall protection equipment requirements)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RTPR-HSE-PRO-0046 – Scaffolding (scaffold use governed by RTPR-HSE-PRO-0046, not this procedure)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(report height incidents via RTPR-HSE-PRO-0009)</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RTPR-HSE-PRO-0046 – Scaffolding references RTPR-HSE-PRO-0008 for fall protection during use</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RTPR-HSE-PRO-0030 – Over Water references RTPR-HSE-PRO-0008 for height controls near water</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RTPR-HSE-PRO-0047 – Commissioning references RTPR-HSE-PRO-0008 for height controls during commissioning</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applies to all work where a person could fall two metres or more — or where local legislation sets a lower threshold — and covers all platforms (fixed, mobile, temporary), fall arrest systems, MEWP operations, crane suspended workboxes, and dropped object prevention. Scaffolding erection, use, and dismantling is addressed in the standalone Scaffolding Procedure.</w:t>
      </w:r>
    </w:p>
    <w:p>
      <w:pPr>
        <w:pStyle w:val="Heading2"/>
        <w:spacing w:after="60" w:before="240"/>
      </w:pPr>
      <w:r>
        <w:rPr>
          <w:rFonts w:ascii="Arial" w:cs="Arial" w:eastAsia="Arial" w:hAnsi="Arial"/>
          <w:b/>
          <w:bCs/>
          <w:color w:val="2E75B6"/>
          <w:sz w:val="22"/>
          <w:szCs w:val="22"/>
        </w:rPr>
        <w:t xml:space="preserve">Hierarchy of Controls</w:t>
      </w:r>
    </w:p>
    <w:p>
      <w:pPr>
        <w:pStyle w:val="ListParagraph"/>
        <w:numPr>
          <w:ilvl w:val="0"/>
          <w:numId w:val="2"/>
        </w:numPr>
        <w:spacing w:after="40" w:before="40"/>
      </w:pPr>
      <w:r>
        <w:rPr>
          <w:rFonts w:ascii="Arial" w:cs="Arial" w:eastAsia="Arial" w:hAnsi="Arial"/>
          <w:b/>
          <w:bCs/>
          <w:color w:val="1F3864"/>
          <w:sz w:val="19"/>
          <w:szCs w:val="19"/>
        </w:rPr>
        <w:t xml:space="preserve">[RT – RT C4 – Fall from Height Standard]  </w:t>
      </w:r>
      <w:r>
        <w:rPr>
          <w:rFonts w:ascii="Arial" w:cs="Arial" w:eastAsia="Arial" w:hAnsi="Arial"/>
          <w:color w:val="2D2D2D"/>
          <w:sz w:val="19"/>
          <w:szCs w:val="19"/>
        </w:rPr>
        <w:t xml:space="preserve">Require the hierarchy of controls to be applied: eliminate the need to work at height first; then engineer out through fixed platforms, guardrails, or elevated work platforms; then administrative controls including permits and JHAs; then PPE (fall arrest) only as a last resort with documented justification.</w:t>
      </w:r>
    </w:p>
    <w:p>
      <w:pPr>
        <w:pStyle w:val="ListParagraph"/>
        <w:numPr>
          <w:ilvl w:val="0"/>
          <w:numId w:val="2"/>
        </w:numPr>
        <w:spacing w:after="40" w:before="40"/>
      </w:pPr>
      <w:r>
        <w:rPr>
          <w:rFonts w:ascii="Arial" w:cs="Arial" w:eastAsia="Arial" w:hAnsi="Arial"/>
          <w:b/>
          <w:bCs/>
          <w:color w:val="375623"/>
          <w:sz w:val="19"/>
          <w:szCs w:val="19"/>
        </w:rPr>
        <w:t xml:space="preserve">[APPC – Appendix C, C-2 §54.1.1]  </w:t>
      </w:r>
      <w:r>
        <w:rPr>
          <w:rFonts w:ascii="Arial" w:cs="Arial" w:eastAsia="Arial" w:hAnsi="Arial"/>
          <w:color w:val="2D2D2D"/>
          <w:sz w:val="19"/>
          <w:szCs w:val="19"/>
        </w:rPr>
        <w:t xml:space="preserve">Require a documented Working at Heights Permit for all work at height, integrated with the site PTW system, prioritising elimination and engineered access equipment over administrative controls and PPE.</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Prioritise the use of collective protective measures (barriers, guardrails, safety nets) over individual fall protection (harnesses, lanyards) wherever collective measures are feasible.</w:t>
      </w:r>
    </w:p>
    <w:p>
      <w:pPr>
        <w:pStyle w:val="Heading2"/>
        <w:spacing w:after="60" w:before="240"/>
      </w:pPr>
      <w:r>
        <w:rPr>
          <w:rFonts w:ascii="Arial" w:cs="Arial" w:eastAsia="Arial" w:hAnsi="Arial"/>
          <w:b/>
          <w:bCs/>
          <w:color w:val="2E75B6"/>
          <w:sz w:val="22"/>
          <w:szCs w:val="22"/>
        </w:rPr>
        <w:t xml:space="preserve">Fall Protection Systems and Anchor Points</w:t>
      </w:r>
    </w:p>
    <w:p>
      <w:pPr>
        <w:pStyle w:val="ListParagraph"/>
        <w:numPr>
          <w:ilvl w:val="0"/>
          <w:numId w:val="2"/>
        </w:numPr>
        <w:spacing w:after="40" w:before="40"/>
      </w:pPr>
      <w:r>
        <w:rPr>
          <w:rFonts w:ascii="Arial" w:cs="Arial" w:eastAsia="Arial" w:hAnsi="Arial"/>
          <w:b/>
          <w:bCs/>
          <w:color w:val="1F3864"/>
          <w:sz w:val="19"/>
          <w:szCs w:val="19"/>
        </w:rPr>
        <w:t xml:space="preserve">[RT – RT C4 – Fall from Height Standard]  </w:t>
      </w:r>
      <w:r>
        <w:rPr>
          <w:rFonts w:ascii="Arial" w:cs="Arial" w:eastAsia="Arial" w:hAnsi="Arial"/>
          <w:color w:val="2D2D2D"/>
          <w:sz w:val="19"/>
          <w:szCs w:val="19"/>
        </w:rPr>
        <w:t xml:space="preserve">Require all anchor systems (permanent and temporary) to withstand a minimum static load of 15 kN for single-person use or 21 kN for two-person use, or higher where required by local legislation or the manufacturer. Require anchors to be clearly marked with intended use, maximum users, and inspection/certification status.</w:t>
      </w:r>
    </w:p>
    <w:p>
      <w:pPr>
        <w:pStyle w:val="ListParagraph"/>
        <w:numPr>
          <w:ilvl w:val="0"/>
          <w:numId w:val="2"/>
        </w:numPr>
        <w:spacing w:after="40" w:before="40"/>
      </w:pPr>
      <w:r>
        <w:rPr>
          <w:rFonts w:ascii="Arial" w:cs="Arial" w:eastAsia="Arial" w:hAnsi="Arial"/>
          <w:b/>
          <w:bCs/>
          <w:color w:val="1F3864"/>
          <w:sz w:val="19"/>
          <w:szCs w:val="19"/>
        </w:rPr>
        <w:t xml:space="preserve">[RT – RT C4 – Fall from Height Standard]  </w:t>
      </w:r>
      <w:r>
        <w:rPr>
          <w:rFonts w:ascii="Arial" w:cs="Arial" w:eastAsia="Arial" w:hAnsi="Arial"/>
          <w:color w:val="2D2D2D"/>
          <w:sz w:val="19"/>
          <w:szCs w:val="19"/>
        </w:rPr>
        <w:t xml:space="preserve">Require full-body harness to be used and attached to an approved anchor point when working at two metres or more outside the protection of a platform with compliant handrails. Require fall protection equipment to minimise fall distances.</w:t>
      </w:r>
    </w:p>
    <w:p>
      <w:pPr>
        <w:pStyle w:val="ListParagraph"/>
        <w:numPr>
          <w:ilvl w:val="0"/>
          <w:numId w:val="2"/>
        </w:numPr>
        <w:spacing w:after="40" w:before="40"/>
      </w:pPr>
      <w:r>
        <w:rPr>
          <w:rFonts w:ascii="Arial" w:cs="Arial" w:eastAsia="Arial" w:hAnsi="Arial"/>
          <w:b/>
          <w:bCs/>
          <w:color w:val="375623"/>
          <w:sz w:val="19"/>
          <w:szCs w:val="19"/>
        </w:rPr>
        <w:t xml:space="preserve">[APPC – Appendix C, C-2 §54.1.2]  </w:t>
      </w:r>
      <w:r>
        <w:rPr>
          <w:rFonts w:ascii="Arial" w:cs="Arial" w:eastAsia="Arial" w:hAnsi="Arial"/>
          <w:color w:val="2D2D2D"/>
          <w:sz w:val="19"/>
          <w:szCs w:val="19"/>
        </w:rPr>
        <w:t xml:space="preserve">Define rope access requirements: equipment must meet national or international standards; operations must align with a globally recognised framework (IRATA/SPRAT or equivalent).</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Ensure anchor points are independently certified, that their load ratings are documented, and that they are inspected before each use by a competent person.</w:t>
      </w:r>
    </w:p>
    <w:p>
      <w:pPr>
        <w:pStyle w:val="Heading2"/>
        <w:spacing w:after="60" w:before="240"/>
      </w:pPr>
      <w:r>
        <w:rPr>
          <w:rFonts w:ascii="Arial" w:cs="Arial" w:eastAsia="Arial" w:hAnsi="Arial"/>
          <w:b/>
          <w:bCs/>
          <w:color w:val="2E75B6"/>
          <w:sz w:val="22"/>
          <w:szCs w:val="22"/>
        </w:rPr>
        <w:t xml:space="preserve">Platform Requirements</w:t>
      </w:r>
    </w:p>
    <w:p>
      <w:pPr>
        <w:pStyle w:val="ListParagraph"/>
        <w:numPr>
          <w:ilvl w:val="0"/>
          <w:numId w:val="2"/>
        </w:numPr>
        <w:spacing w:after="40" w:before="40"/>
      </w:pPr>
      <w:r>
        <w:rPr>
          <w:rFonts w:ascii="Arial" w:cs="Arial" w:eastAsia="Arial" w:hAnsi="Arial"/>
          <w:b/>
          <w:bCs/>
          <w:color w:val="1F3864"/>
          <w:sz w:val="19"/>
          <w:szCs w:val="19"/>
        </w:rPr>
        <w:t xml:space="preserve">[RT – RT C4 – Fall from Height Standard]  </w:t>
      </w:r>
      <w:r>
        <w:rPr>
          <w:rFonts w:ascii="Arial" w:cs="Arial" w:eastAsia="Arial" w:hAnsi="Arial"/>
          <w:color w:val="2D2D2D"/>
          <w:sz w:val="19"/>
          <w:szCs w:val="19"/>
        </w:rPr>
        <w:t xml:space="preserve">Require all fixed, mobile, and temporary platforms to be designed by a competent person for static and dynamic loads, with load ratings displayed. Require non-slip surfaces, secured openings and voids, handrails at a minimum of 900mm from the floor, and safe access and egress.</w:t>
      </w:r>
    </w:p>
    <w:p>
      <w:pPr>
        <w:pStyle w:val="ListParagraph"/>
        <w:numPr>
          <w:ilvl w:val="0"/>
          <w:numId w:val="2"/>
        </w:numPr>
        <w:spacing w:after="40" w:before="40"/>
      </w:pPr>
      <w:r>
        <w:rPr>
          <w:rFonts w:ascii="Arial" w:cs="Arial" w:eastAsia="Arial" w:hAnsi="Arial"/>
          <w:b/>
          <w:bCs/>
          <w:color w:val="375623"/>
          <w:sz w:val="19"/>
          <w:szCs w:val="19"/>
        </w:rPr>
        <w:t xml:space="preserve">[APPC – Appendix C, C-2 §54.1.5]  </w:t>
      </w:r>
      <w:r>
        <w:rPr>
          <w:rFonts w:ascii="Arial" w:cs="Arial" w:eastAsia="Arial" w:hAnsi="Arial"/>
          <w:color w:val="2D2D2D"/>
          <w:sz w:val="19"/>
          <w:szCs w:val="19"/>
        </w:rPr>
        <w:t xml:space="preserve">Require work platforms to incorporate dropped object prevention measures: toe boards; mesh or barricading below elevated work areas; and tool tethering requirements for all tools used at height.</w:t>
      </w:r>
    </w:p>
    <w:p>
      <w:pPr>
        <w:pStyle w:val="Heading2"/>
        <w:spacing w:after="60" w:before="240"/>
      </w:pPr>
      <w:r>
        <w:rPr>
          <w:rFonts w:ascii="Arial" w:cs="Arial" w:eastAsia="Arial" w:hAnsi="Arial"/>
          <w:b/>
          <w:bCs/>
          <w:color w:val="2E75B6"/>
          <w:sz w:val="22"/>
          <w:szCs w:val="22"/>
        </w:rPr>
        <w:t xml:space="preserve">Open Edge Protection</w:t>
      </w:r>
    </w:p>
    <w:p>
      <w:pPr>
        <w:pStyle w:val="ListParagraph"/>
        <w:numPr>
          <w:ilvl w:val="0"/>
          <w:numId w:val="2"/>
        </w:numPr>
        <w:spacing w:after="40" w:before="40"/>
      </w:pPr>
      <w:r>
        <w:rPr>
          <w:rFonts w:ascii="Arial" w:cs="Arial" w:eastAsia="Arial" w:hAnsi="Arial"/>
          <w:b/>
          <w:bCs/>
          <w:color w:val="1F3864"/>
          <w:sz w:val="19"/>
          <w:szCs w:val="19"/>
        </w:rPr>
        <w:t xml:space="preserve">[RT – RT C4 – Fall from Height Standard]  </w:t>
      </w:r>
      <w:r>
        <w:rPr>
          <w:rFonts w:ascii="Arial" w:cs="Arial" w:eastAsia="Arial" w:hAnsi="Arial"/>
          <w:color w:val="2D2D2D"/>
          <w:sz w:val="19"/>
          <w:szCs w:val="19"/>
        </w:rPr>
        <w:t xml:space="preserve">Require a continuous physical barrier along all exposed perimeters with fall potential. Apply a risk-based approach to determine suitable edge protection for all open edges including excavations, water surfaces, and geotechnical hazards such as pit walls and windrows.</w:t>
      </w:r>
    </w:p>
    <w:p>
      <w:pPr>
        <w:pStyle w:val="ListParagraph"/>
        <w:numPr>
          <w:ilvl w:val="0"/>
          <w:numId w:val="2"/>
        </w:numPr>
        <w:spacing w:after="40" w:before="40"/>
      </w:pPr>
      <w:r>
        <w:rPr>
          <w:rFonts w:ascii="Arial" w:cs="Arial" w:eastAsia="Arial" w:hAnsi="Arial"/>
          <w:b/>
          <w:bCs/>
          <w:color w:val="1F3864"/>
          <w:sz w:val="19"/>
          <w:szCs w:val="19"/>
        </w:rPr>
        <w:t xml:space="preserve">[RT – RT C4 – Fall from Height Standard]  </w:t>
      </w:r>
      <w:r>
        <w:rPr>
          <w:rFonts w:ascii="Arial" w:cs="Arial" w:eastAsia="Arial" w:hAnsi="Arial"/>
          <w:color w:val="2D2D2D"/>
          <w:sz w:val="19"/>
          <w:szCs w:val="19"/>
        </w:rPr>
        <w:t xml:space="preserve">Prohibit personnel from sitting on, standing on, or bending over edge protection without a fall restraint or arrest system in place.</w:t>
      </w:r>
    </w:p>
    <w:p>
      <w:pPr>
        <w:pStyle w:val="Heading2"/>
        <w:spacing w:after="60" w:before="240"/>
      </w:pPr>
      <w:r>
        <w:rPr>
          <w:rFonts w:ascii="Arial" w:cs="Arial" w:eastAsia="Arial" w:hAnsi="Arial"/>
          <w:b/>
          <w:bCs/>
          <w:color w:val="2E75B6"/>
          <w:sz w:val="22"/>
          <w:szCs w:val="22"/>
        </w:rPr>
        <w:t xml:space="preserve">Mobile Elevating Work Platforms (MEWPs)</w:t>
      </w:r>
    </w:p>
    <w:p>
      <w:pPr>
        <w:pStyle w:val="ListParagraph"/>
        <w:numPr>
          <w:ilvl w:val="0"/>
          <w:numId w:val="2"/>
        </w:numPr>
        <w:spacing w:after="40" w:before="40"/>
      </w:pPr>
      <w:r>
        <w:rPr>
          <w:rFonts w:ascii="Arial" w:cs="Arial" w:eastAsia="Arial" w:hAnsi="Arial"/>
          <w:b/>
          <w:bCs/>
          <w:color w:val="375623"/>
          <w:sz w:val="19"/>
          <w:szCs w:val="19"/>
        </w:rPr>
        <w:t xml:space="preserve">[APPC – Appendix C, C-2 §54.2]  </w:t>
      </w:r>
      <w:r>
        <w:rPr>
          <w:rFonts w:ascii="Arial" w:cs="Arial" w:eastAsia="Arial" w:hAnsi="Arial"/>
          <w:color w:val="2D2D2D"/>
          <w:sz w:val="19"/>
          <w:szCs w:val="19"/>
        </w:rPr>
        <w:t xml:space="preserve">Require MEWP operators to be trained, assessed as competent, and formally authorised. Require fall restraint (prioritised over arrest) attached to a certified manufacturer anchor point at all times in the basket. Require pre-use inspection against an equipment-specific checklist.</w:t>
      </w:r>
    </w:p>
    <w:p>
      <w:pPr>
        <w:pStyle w:val="ListParagraph"/>
        <w:numPr>
          <w:ilvl w:val="0"/>
          <w:numId w:val="2"/>
        </w:numPr>
        <w:spacing w:after="40" w:before="40"/>
      </w:pPr>
      <w:r>
        <w:rPr>
          <w:rFonts w:ascii="Arial" w:cs="Arial" w:eastAsia="Arial" w:hAnsi="Arial"/>
          <w:b/>
          <w:bCs/>
          <w:color w:val="375623"/>
          <w:sz w:val="19"/>
          <w:szCs w:val="19"/>
        </w:rPr>
        <w:t xml:space="preserve">[APPC – Appendix C, C-2 §54.2.2]  </w:t>
      </w:r>
      <w:r>
        <w:rPr>
          <w:rFonts w:ascii="Arial" w:cs="Arial" w:eastAsia="Arial" w:hAnsi="Arial"/>
          <w:color w:val="2D2D2D"/>
          <w:sz w:val="19"/>
          <w:szCs w:val="19"/>
        </w:rPr>
        <w:t xml:space="preserve">Require secondary anti-entrapment systems (crush protection devices). Define spotter requirements when working within 30m of overhead powerlines, when MEWP movement is required, or where contact with structures is identified through risk assessment.</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Ensure MEWPs are operated within their rated capacity and on ground conditions assessed as adequate for the equipment type and load.</w:t>
      </w:r>
    </w:p>
    <w:p>
      <w:pPr>
        <w:pStyle w:val="Heading2"/>
        <w:spacing w:after="60" w:before="240"/>
      </w:pPr>
      <w:r>
        <w:rPr>
          <w:rFonts w:ascii="Arial" w:cs="Arial" w:eastAsia="Arial" w:hAnsi="Arial"/>
          <w:b/>
          <w:bCs/>
          <w:color w:val="2E75B6"/>
          <w:sz w:val="22"/>
          <w:szCs w:val="22"/>
        </w:rPr>
        <w:t xml:space="preserve">Crane Suspended Workboxes</w:t>
      </w:r>
    </w:p>
    <w:p>
      <w:pPr>
        <w:pStyle w:val="ListParagraph"/>
        <w:numPr>
          <w:ilvl w:val="0"/>
          <w:numId w:val="2"/>
        </w:numPr>
        <w:spacing w:after="40" w:before="40"/>
      </w:pPr>
      <w:r>
        <w:rPr>
          <w:rFonts w:ascii="Arial" w:cs="Arial" w:eastAsia="Arial" w:hAnsi="Arial"/>
          <w:b/>
          <w:bCs/>
          <w:color w:val="375623"/>
          <w:sz w:val="19"/>
          <w:szCs w:val="19"/>
        </w:rPr>
        <w:t xml:space="preserve">[APPC – Appendix C, C-2 §54.3]  </w:t>
      </w:r>
      <w:r>
        <w:rPr>
          <w:rFonts w:ascii="Arial" w:cs="Arial" w:eastAsia="Arial" w:hAnsi="Arial"/>
          <w:color w:val="2D2D2D"/>
          <w:sz w:val="19"/>
          <w:szCs w:val="19"/>
        </w:rPr>
        <w:t xml:space="preserve">Require a specific risk assessment and documented lift plan for every crane suspended workbox operation. Require the workbox to be individually identified and marked with maximum load capacity. Define operational restrictions and conditions under which workbox operations are prohibited.</w:t>
      </w:r>
    </w:p>
    <w:p>
      <w:pPr>
        <w:pStyle w:val="ListParagraph"/>
        <w:numPr>
          <w:ilvl w:val="0"/>
          <w:numId w:val="2"/>
        </w:numPr>
        <w:spacing w:after="40" w:before="40"/>
      </w:pPr>
      <w:r>
        <w:rPr>
          <w:rFonts w:ascii="Arial" w:cs="Arial" w:eastAsia="Arial" w:hAnsi="Arial"/>
          <w:b/>
          <w:bCs/>
          <w:color w:val="1F3864"/>
          <w:sz w:val="19"/>
          <w:szCs w:val="19"/>
        </w:rPr>
        <w:t xml:space="preserve">[RT – RT C6 – Lifting Operations Standard]  </w:t>
      </w:r>
      <w:r>
        <w:rPr>
          <w:rFonts w:ascii="Arial" w:cs="Arial" w:eastAsia="Arial" w:hAnsi="Arial"/>
          <w:color w:val="2D2D2D"/>
          <w:sz w:val="19"/>
          <w:szCs w:val="19"/>
        </w:rPr>
        <w:t xml:space="preserve">Ensure that crane suspended workbox operations meet all requirements of the cranes and lifting critical controls, including operator competency, pre-operational checks, exclusion zones, and no-person-under-suspended-load rule.</w:t>
      </w:r>
    </w:p>
    <w:p>
      <w:pPr>
        <w:pStyle w:val="Heading2"/>
        <w:spacing w:after="60" w:before="240"/>
      </w:pPr>
      <w:r>
        <w:rPr>
          <w:rFonts w:ascii="Arial" w:cs="Arial" w:eastAsia="Arial" w:hAnsi="Arial"/>
          <w:b/>
          <w:bCs/>
          <w:color w:val="2E75B6"/>
          <w:sz w:val="22"/>
          <w:szCs w:val="22"/>
        </w:rPr>
        <w:t xml:space="preserve">Dropped Object Prevention</w:t>
      </w:r>
    </w:p>
    <w:p>
      <w:pPr>
        <w:pStyle w:val="ListParagraph"/>
        <w:numPr>
          <w:ilvl w:val="0"/>
          <w:numId w:val="2"/>
        </w:numPr>
        <w:spacing w:after="40" w:before="40"/>
      </w:pPr>
      <w:r>
        <w:rPr>
          <w:rFonts w:ascii="Arial" w:cs="Arial" w:eastAsia="Arial" w:hAnsi="Arial"/>
          <w:b/>
          <w:bCs/>
          <w:color w:val="1F3864"/>
          <w:sz w:val="19"/>
          <w:szCs w:val="19"/>
        </w:rPr>
        <w:t xml:space="preserve">[RT – RT Falling Objects Standard]  </w:t>
      </w:r>
      <w:r>
        <w:rPr>
          <w:rFonts w:ascii="Arial" w:cs="Arial" w:eastAsia="Arial" w:hAnsi="Arial"/>
          <w:color w:val="2D2D2D"/>
          <w:sz w:val="19"/>
          <w:szCs w:val="19"/>
        </w:rPr>
        <w:t xml:space="preserve">Require a Dropped Object Prevention System (DROPS) including a DROPS register. Require all tools and equipment to be secured when working at height using appropriate lanyards, tethering, or tool belts. Define exclusion zone requirements below all elevated work areas, with rated overhead protection for walkways.</w:t>
      </w:r>
    </w:p>
    <w:p>
      <w:pPr>
        <w:pStyle w:val="ListParagraph"/>
        <w:numPr>
          <w:ilvl w:val="0"/>
          <w:numId w:val="2"/>
        </w:numPr>
        <w:spacing w:after="40" w:before="40"/>
      </w:pPr>
      <w:r>
        <w:rPr>
          <w:rFonts w:ascii="Arial" w:cs="Arial" w:eastAsia="Arial" w:hAnsi="Arial"/>
          <w:b/>
          <w:bCs/>
          <w:color w:val="375623"/>
          <w:sz w:val="19"/>
          <w:szCs w:val="19"/>
        </w:rPr>
        <w:t xml:space="preserve">[APPC – Appendix C, C-2 §54.4]  </w:t>
      </w:r>
      <w:r>
        <w:rPr>
          <w:rFonts w:ascii="Arial" w:cs="Arial" w:eastAsia="Arial" w:hAnsi="Arial"/>
          <w:color w:val="2D2D2D"/>
          <w:sz w:val="19"/>
          <w:szCs w:val="19"/>
        </w:rPr>
        <w:t xml:space="preserve">Require risk assessment for securing device compatibility, load capacity (exceeding tool weight plus dynamic forces), and suitability of attachment points. Include requirements for drop mats and equipment containers for small parts.</w:t>
      </w:r>
    </w:p>
    <w:p>
      <w:pPr>
        <w:pStyle w:val="ListParagraph"/>
        <w:numPr>
          <w:ilvl w:val="0"/>
          <w:numId w:val="2"/>
        </w:numPr>
        <w:spacing w:after="40" w:before="40"/>
      </w:pPr>
      <w:r>
        <w:rPr>
          <w:rFonts w:ascii="Arial" w:cs="Arial" w:eastAsia="Arial" w:hAnsi="Arial"/>
          <w:b/>
          <w:bCs/>
          <w:color w:val="1F3864"/>
          <w:sz w:val="19"/>
          <w:szCs w:val="19"/>
        </w:rPr>
        <w:t xml:space="preserve">[RT – RT Falling Objects Standard]  </w:t>
      </w:r>
      <w:r>
        <w:rPr>
          <w:rFonts w:ascii="Arial" w:cs="Arial" w:eastAsia="Arial" w:hAnsi="Arial"/>
          <w:color w:val="2D2D2D"/>
          <w:sz w:val="19"/>
          <w:szCs w:val="19"/>
        </w:rPr>
        <w:t xml:space="preserve">Require classification of dropped object events using the DROPS Online Calculator for severity assessment and reporting.</w:t>
      </w:r>
    </w:p>
    <w:p>
      <w:pPr>
        <w:pStyle w:val="Heading2"/>
        <w:spacing w:after="60" w:before="240"/>
      </w:pPr>
      <w:r>
        <w:rPr>
          <w:rFonts w:ascii="Arial" w:cs="Arial" w:eastAsia="Arial" w:hAnsi="Arial"/>
          <w:b/>
          <w:bCs/>
          <w:color w:val="2E75B6"/>
          <w:sz w:val="22"/>
          <w:szCs w:val="22"/>
        </w:rPr>
        <w:t xml:space="preserve">Inspection and Emergency Response</w:t>
      </w:r>
    </w:p>
    <w:p>
      <w:pPr>
        <w:pStyle w:val="ListParagraph"/>
        <w:numPr>
          <w:ilvl w:val="0"/>
          <w:numId w:val="2"/>
        </w:numPr>
        <w:spacing w:after="40" w:before="40"/>
      </w:pPr>
      <w:r>
        <w:rPr>
          <w:rFonts w:ascii="Arial" w:cs="Arial" w:eastAsia="Arial" w:hAnsi="Arial"/>
          <w:b/>
          <w:bCs/>
          <w:color w:val="1F3864"/>
          <w:sz w:val="19"/>
          <w:szCs w:val="19"/>
        </w:rPr>
        <w:t xml:space="preserve">[RT – RT C4 – Fall from Height Standard]  </w:t>
      </w:r>
      <w:r>
        <w:rPr>
          <w:rFonts w:ascii="Arial" w:cs="Arial" w:eastAsia="Arial" w:hAnsi="Arial"/>
          <w:color w:val="2D2D2D"/>
          <w:sz w:val="19"/>
          <w:szCs w:val="19"/>
        </w:rPr>
        <w:t xml:space="preserve">Require pre-use inspection of all fall protection equipment, ladders, non-motorised platforms, and MEWPs before every use. Require all height access equipment to be individually identifiable in an equipment register with visible inspection status.</w:t>
      </w:r>
    </w:p>
    <w:p>
      <w:pPr>
        <w:pStyle w:val="ListParagraph"/>
        <w:numPr>
          <w:ilvl w:val="0"/>
          <w:numId w:val="2"/>
        </w:numPr>
        <w:spacing w:after="40" w:before="40"/>
      </w:pPr>
      <w:r>
        <w:rPr>
          <w:rFonts w:ascii="Arial" w:cs="Arial" w:eastAsia="Arial" w:hAnsi="Arial"/>
          <w:b/>
          <w:bCs/>
          <w:color w:val="1F3864"/>
          <w:sz w:val="19"/>
          <w:szCs w:val="19"/>
        </w:rPr>
        <w:t xml:space="preserve">[RT – RT C4 – Fall from Height Standard]  </w:t>
      </w:r>
      <w:r>
        <w:rPr>
          <w:rFonts w:ascii="Arial" w:cs="Arial" w:eastAsia="Arial" w:hAnsi="Arial"/>
          <w:color w:val="2D2D2D"/>
          <w:sz w:val="19"/>
          <w:szCs w:val="19"/>
        </w:rPr>
        <w:t xml:space="preserve">Require a task-specific emergency rescue plan to be in place before work at heights commences, covering emergency scenarios, rescue equipment locations, rescue method (non-entry rescue preferred), and communication procedures. Require rescue drills on a risk-based frequency.</w:t>
      </w:r>
    </w:p>
    <w:p>
      <w:pPr>
        <w:pStyle w:val="ListParagraph"/>
        <w:numPr>
          <w:ilvl w:val="0"/>
          <w:numId w:val="2"/>
        </w:numPr>
        <w:spacing w:after="40" w:before="40"/>
      </w:pPr>
      <w:r>
        <w:rPr>
          <w:rFonts w:ascii="Arial" w:cs="Arial" w:eastAsia="Arial" w:hAnsi="Arial"/>
          <w:b/>
          <w:bCs/>
          <w:color w:val="375623"/>
          <w:sz w:val="19"/>
          <w:szCs w:val="19"/>
        </w:rPr>
        <w:t xml:space="preserve">[APPC – Appendix C, C-2 §54.1.3]  </w:t>
      </w:r>
      <w:r>
        <w:rPr>
          <w:rFonts w:ascii="Arial" w:cs="Arial" w:eastAsia="Arial" w:hAnsi="Arial"/>
          <w:color w:val="2D2D2D"/>
          <w:sz w:val="19"/>
          <w:szCs w:val="19"/>
        </w:rPr>
        <w:t xml:space="preserve">Define the post-event suspension requirements for fall arrest equipment subject to an arrest load — equipment must be removed from service immediately and inspected by the manufacturer or competent person before return to use.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Confirm the project height threshold — the procedure uses 2m as the default. If applicable legislation in the project jurisdiction sets a lower threshold, insert the lower figure and document the legislative reference.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DROPS register format and assign the DROPS register owner for this project.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MEWP exclusion zone approach — the procedure sets the 30m powerline trigger. For this project, identify all areas with overhead powerlines and insert a map reference or exclusion zone register.</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§54.2.1]  </w:t>
            </w:r>
            <w:r>
              <w:rPr>
                <w:rFonts w:ascii="Arial" w:cs="Arial" w:eastAsia="Arial" w:hAnsi="Arial"/>
                <w:color w:val="2D2D2D"/>
                <w:sz w:val="19"/>
                <w:szCs w:val="19"/>
              </w:rPr>
              <w:t xml:space="preserve">Require a qualified spotter holding the same qualifications as the MWP operator to be assigned during all elevated operations, not limited to powerline proximity situations. The spotter must maintain direct visual contact with the platform and personnel at all times.</w:t>
            </w:r>
          </w:p>
          <w:p>
            <w:pPr>
              <w:pStyle w:val="ListParagraph"/>
              <w:numPr>
                <w:ilvl w:val="0"/>
                <w:numId w:val="2"/>
              </w:numPr>
              <w:spacing w:after="40" w:before="40"/>
            </w:pPr>
            <w:r>
              <w:rPr>
                <w:rFonts w:ascii="Arial" w:cs="Arial" w:eastAsia="Arial" w:hAnsi="Arial"/>
                <w:b/>
                <w:bCs/>
                <w:color w:val="375623"/>
                <w:sz w:val="19"/>
                <w:szCs w:val="19"/>
              </w:rPr>
              <w:t xml:space="preserve">[APPC – Appendix C, C-2 §54.2.4.1]  </w:t>
            </w:r>
            <w:r>
              <w:rPr>
                <w:rFonts w:ascii="Arial" w:cs="Arial" w:eastAsia="Arial" w:hAnsi="Arial"/>
                <w:color w:val="2D2D2D"/>
                <w:sz w:val="19"/>
                <w:szCs w:val="19"/>
              </w:rPr>
              <w:t xml:space="preserve">Require all MEWPs mobilised to site to be fitted with an anti-crushing or anti-entrapment device. Where available, this device must be an OEM-approved pressure-sensitive system. Where an OEM pressure-sensitive device is not available, an alternative approved device must be fitted and approved by the Company representative before use on site.</w:t>
            </w:r>
          </w:p>
          <w:p>
            <w:pPr>
              <w:pStyle w:val="ListParagraph"/>
              <w:numPr>
                <w:ilvl w:val="0"/>
                <w:numId w:val="2"/>
              </w:numPr>
              <w:spacing w:after="40" w:before="40"/>
            </w:pPr>
            <w:r>
              <w:rPr>
                <w:rFonts w:ascii="Arial" w:cs="Arial" w:eastAsia="Arial" w:hAnsi="Arial"/>
                <w:b/>
                <w:bCs/>
                <w:color w:val="375623"/>
                <w:sz w:val="19"/>
                <w:szCs w:val="19"/>
              </w:rPr>
              <w:t xml:space="preserve">[APPC – Appendix C, C-2 §54.2.4.3]  </w:t>
            </w:r>
            <w:r>
              <w:rPr>
                <w:rFonts w:ascii="Arial" w:cs="Arial" w:eastAsia="Arial" w:hAnsi="Arial"/>
                <w:color w:val="2D2D2D"/>
                <w:sz w:val="19"/>
                <w:szCs w:val="19"/>
              </w:rPr>
              <w:t xml:space="preserve">Require all MEWPs to have ground-level controls that allow operation of the platform from the ground, including in cases of operator entrapment in the basket.</w:t>
            </w:r>
          </w:p>
          <w:p>
            <w:pPr>
              <w:pStyle w:val="ListParagraph"/>
              <w:numPr>
                <w:ilvl w:val="0"/>
                <w:numId w:val="2"/>
              </w:numPr>
              <w:spacing w:after="40" w:before="40"/>
            </w:pPr>
            <w:r>
              <w:rPr>
                <w:rFonts w:ascii="Arial" w:cs="Arial" w:eastAsia="Arial" w:hAnsi="Arial"/>
                <w:b/>
                <w:bCs/>
                <w:color w:val="375623"/>
                <w:sz w:val="19"/>
                <w:szCs w:val="19"/>
              </w:rPr>
              <w:t xml:space="preserve">[APPC – Appendix C, C-2 §54.3.3]  </w:t>
            </w:r>
            <w:r>
              <w:rPr>
                <w:rFonts w:ascii="Arial" w:cs="Arial" w:eastAsia="Arial" w:hAnsi="Arial"/>
                <w:color w:val="2D2D2D"/>
                <w:sz w:val="19"/>
                <w:szCs w:val="19"/>
              </w:rPr>
              <w:t xml:space="preserve">Require all crane suspended workboxes to be clearly marked with: Safe Working Load (payload capacity); date of last inspection; the designation "PB" (personnel basket); and a unique identifying number.</w:t>
            </w:r>
          </w:p>
          <w:p>
            <w:pPr>
              <w:pStyle w:val="ListParagraph"/>
              <w:numPr>
                <w:ilvl w:val="0"/>
                <w:numId w:val="2"/>
              </w:numPr>
              <w:spacing w:after="40" w:before="40"/>
            </w:pPr>
            <w:r>
              <w:rPr>
                <w:rFonts w:ascii="Arial" w:cs="Arial" w:eastAsia="Arial" w:hAnsi="Arial"/>
                <w:b/>
                <w:bCs/>
                <w:color w:val="375623"/>
                <w:sz w:val="19"/>
                <w:szCs w:val="19"/>
              </w:rPr>
              <w:t xml:space="preserve">[APPC – Appendix C, C-2 §54.3.4]  </w:t>
            </w:r>
            <w:r>
              <w:rPr>
                <w:rFonts w:ascii="Arial" w:cs="Arial" w:eastAsia="Arial" w:hAnsi="Arial"/>
                <w:color w:val="2D2D2D"/>
                <w:sz w:val="19"/>
                <w:szCs w:val="19"/>
              </w:rPr>
              <w:t xml:space="preserve">Require a competent rigger in radio contact with the crane operator to ride in the man cage whenever it is occupied. Rigging equipment used for man cage operations must not be used for any other purpose. Workboxes must not be used over water.</w:t>
            </w:r>
          </w:p>
          <w:p>
            <w:pPr>
              <w:pStyle w:val="ListParagraph"/>
              <w:numPr>
                <w:ilvl w:val="0"/>
                <w:numId w:val="2"/>
              </w:numPr>
              <w:spacing w:after="40" w:before="40"/>
            </w:pPr>
            <w:r>
              <w:rPr>
                <w:rFonts w:ascii="Arial" w:cs="Arial" w:eastAsia="Arial" w:hAnsi="Arial"/>
                <w:b/>
                <w:bCs/>
                <w:color w:val="375623"/>
                <w:sz w:val="19"/>
                <w:szCs w:val="19"/>
              </w:rPr>
              <w:t xml:space="preserve">[APPC – Appendix C, C-2 §54.4.4.2]  </w:t>
            </w:r>
            <w:r>
              <w:rPr>
                <w:rFonts w:ascii="Arial" w:cs="Arial" w:eastAsia="Arial" w:hAnsi="Arial"/>
                <w:color w:val="2D2D2D"/>
                <w:sz w:val="19"/>
                <w:szCs w:val="19"/>
              </w:rPr>
              <w:t xml:space="preserve">Require that areas below elevated work activities are barricaded off, extending outward at a minimum of 15 degrees from the highest point of the elevated work area. Barricaded areas must be signposted to restrict unauthorised access and monitored by a spotter where overhead work is active.</w:t>
            </w:r>
          </w:p>
          <w:p>
            <w:r>
              <w:rPr>
                <w:rFonts w:ascii="Arial" w:cs="Arial" w:eastAsia="Arial" w:hAnsi="Arial"/>
                <w:color w:val="3C2A00"/>
                <w:sz w:val="17"/>
                <w:szCs w:val="17"/>
              </w:rPr>
              <w:t xml:space="preserve">Define the project-specific rescue planning process: who prepares rescue plans, who approves them, where they are kept, how often they are tested. The procedure requires rescue plans — the project defines the governance.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anchor system inspection and certification process: who inspects, what documentation is required, where records are kept (reference RTPR-HSE-REG-0003 via RTPR-HSE-PRO-0004).</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Incident and Action Management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14 – Incident Investigation &amp; Action Management</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RTPR-HSE-PRO-0009</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Incident classification matrix (all categories)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Verbal notification timeline (1 hour)</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Email notification content requirements (end of shift)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HSESC Incident Reporting Form (RTPR-HSE-REG-0020)</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Investigation methodology by classification</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Terms of Reference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Just culture and consequence management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Regulatory reporting obligations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(5×5 matrix for actual and MRO classification)</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(investigation team competency)</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RTPR-HSE-PRO-0007 – Improvement Planning (incident data as input)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RTPR-HSE-PRO-0010 – Document Control (investigation records)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RTPR-HSE-PRO-0043 – Records Management (investigation record retention)</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ALL procedures reference RTPR-HSE-PRO-0009 for incident reporting — no other procedure re-states notification timelines or classification</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RTPR-HSE-PRO-0042 references RTPR-HSE-PRO-0009 for incident data as monitoring input</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RTPR-HSE-PRO-0044 references RTPR-HSE-PRO-0009 for audit of incident management</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reporting, notifying, investigating, and actioning all incidents, near misses, and hazard observations across the owner-led project. As project owner, RT sets the incident classification system, determines the investigation methodology, and owns the corrective action process for all incidents occurring under the project management system.</w:t>
      </w:r>
    </w:p>
    <w:p>
      <w:pPr>
        <w:pStyle w:val="Heading2"/>
        <w:spacing w:after="60" w:before="240"/>
      </w:pPr>
      <w:r>
        <w:rPr>
          <w:rFonts w:ascii="Arial" w:cs="Arial" w:eastAsia="Arial" w:hAnsi="Arial"/>
          <w:b/>
          <w:bCs/>
          <w:color w:val="2E75B6"/>
          <w:sz w:val="22"/>
          <w:szCs w:val="22"/>
        </w:rPr>
        <w:t xml:space="preserve">Incident Classification</w:t>
      </w:r>
    </w:p>
    <w:p>
      <w:pPr>
        <w:pStyle w:val="ListParagraph"/>
        <w:numPr>
          <w:ilvl w:val="0"/>
          <w:numId w:val="2"/>
        </w:numPr>
        <w:spacing w:after="40" w:before="40"/>
      </w:pPr>
      <w:r>
        <w:rPr>
          <w:rFonts w:ascii="Arial" w:cs="Arial" w:eastAsia="Arial" w:hAnsi="Arial"/>
          <w:b/>
          <w:bCs/>
          <w:color w:val="1F3864"/>
          <w:sz w:val="19"/>
          <w:szCs w:val="19"/>
        </w:rPr>
        <w:t xml:space="preserve">[RT – RT – Incident Reporting and Investigation Standard]  </w:t>
      </w:r>
      <w:r>
        <w:rPr>
          <w:rFonts w:ascii="Arial" w:cs="Arial" w:eastAsia="Arial" w:hAnsi="Arial"/>
          <w:color w:val="2D2D2D"/>
          <w:sz w:val="19"/>
          <w:szCs w:val="19"/>
        </w:rPr>
        <w:t xml:space="preserve">Define all project incident categories per the RT classification matrix: First Aid Case; Near Miss; Medical Treatment Case Injury (MTCI); Lost Day Injury (LDI); Restricted Workday Injury (RWDI); Potentially Fatal Incident (PFI); Significant Potential Incident (SPI); Fatality; Property Damage; Vehicle Incident; Process Safety Incident; Environmental (Low/Medium/Significant/High); Community (Low/Medium/High); and Security Event.</w:t>
      </w:r>
    </w:p>
    <w:p>
      <w:pPr>
        <w:pStyle w:val="ListParagraph"/>
        <w:numPr>
          <w:ilvl w:val="0"/>
          <w:numId w:val="2"/>
        </w:numPr>
        <w:spacing w:after="40" w:before="40"/>
      </w:pPr>
      <w:r>
        <w:rPr>
          <w:rFonts w:ascii="Arial" w:cs="Arial" w:eastAsia="Arial" w:hAnsi="Arial"/>
          <w:b/>
          <w:bCs/>
          <w:color w:val="1F3864"/>
          <w:sz w:val="19"/>
          <w:szCs w:val="19"/>
        </w:rPr>
        <w:t xml:space="preserve">[RT – RT – Incident Reporting and Investigation Standard]  </w:t>
      </w:r>
      <w:r>
        <w:rPr>
          <w:rFonts w:ascii="Arial" w:cs="Arial" w:eastAsia="Arial" w:hAnsi="Arial"/>
          <w:color w:val="2D2D2D"/>
          <w:sz w:val="19"/>
          <w:szCs w:val="19"/>
        </w:rPr>
        <w:t xml:space="preserve">Require assessment of both actual outcome and Maximum Reasonable Outcome (MRO) severity using the RT 5×5 Risk Matrix for all incidents. Require dropped object events and near misses to be classified using the DROPS Online Calculator.</w:t>
      </w:r>
    </w:p>
    <w:p>
      <w:pPr>
        <w:pStyle w:val="ListParagraph"/>
        <w:numPr>
          <w:ilvl w:val="0"/>
          <w:numId w:val="2"/>
        </w:numPr>
        <w:spacing w:after="40" w:before="40"/>
      </w:pPr>
      <w:r>
        <w:rPr>
          <w:rFonts w:ascii="Arial" w:cs="Arial" w:eastAsia="Arial" w:hAnsi="Arial"/>
          <w:b/>
          <w:bCs/>
          <w:color w:val="C55A11"/>
          <w:sz w:val="19"/>
          <w:szCs w:val="19"/>
        </w:rPr>
        <w:t xml:space="preserve">[IFC – IFC PS2 GN§81]  </w:t>
      </w:r>
      <w:r>
        <w:rPr>
          <w:rFonts w:ascii="Arial" w:cs="Arial" w:eastAsia="Arial" w:hAnsi="Arial"/>
          <w:color w:val="2D2D2D"/>
          <w:sz w:val="19"/>
          <w:szCs w:val="19"/>
        </w:rPr>
        <w:t xml:space="preserve">Ensure that occupational injuries, illnesses, and fatalities are documented and reported consistently, and that reporting does not create perverse incentives that discourage reporting of minor injuries or near misses.</w:t>
      </w:r>
    </w:p>
    <w:p>
      <w:pPr>
        <w:pStyle w:val="Heading2"/>
        <w:spacing w:after="60" w:before="240"/>
      </w:pPr>
      <w:r>
        <w:rPr>
          <w:rFonts w:ascii="Arial" w:cs="Arial" w:eastAsia="Arial" w:hAnsi="Arial"/>
          <w:b/>
          <w:bCs/>
          <w:color w:val="2E75B6"/>
          <w:sz w:val="22"/>
          <w:szCs w:val="22"/>
        </w:rPr>
        <w:t xml:space="preserve">Incident Notification Timelines</w:t>
      </w:r>
    </w:p>
    <w:p>
      <w:pPr>
        <w:pStyle w:val="ListParagraph"/>
        <w:numPr>
          <w:ilvl w:val="0"/>
          <w:numId w:val="2"/>
        </w:numPr>
        <w:spacing w:after="40" w:before="40"/>
      </w:pPr>
      <w:r>
        <w:rPr>
          <w:rFonts w:ascii="Arial" w:cs="Arial" w:eastAsia="Arial" w:hAnsi="Arial"/>
          <w:b/>
          <w:bCs/>
          <w:color w:val="375623"/>
          <w:sz w:val="19"/>
          <w:szCs w:val="19"/>
        </w:rPr>
        <w:t xml:space="preserve">[APPC – Appendix C, C-1 §39.2]  </w:t>
      </w:r>
      <w:r>
        <w:rPr>
          <w:rFonts w:ascii="Arial" w:cs="Arial" w:eastAsia="Arial" w:hAnsi="Arial"/>
          <w:color w:val="2D2D2D"/>
          <w:sz w:val="19"/>
          <w:szCs w:val="19"/>
        </w:rPr>
        <w:t xml:space="preserve">Require verbal notification to the project owner within one hour of all work-related injuries or incidents; significant injuries or fatalities involving community members; and any project-related incident affecting community safety, health, or trust.</w:t>
      </w:r>
    </w:p>
    <w:p>
      <w:pPr>
        <w:pStyle w:val="ListParagraph"/>
        <w:numPr>
          <w:ilvl w:val="0"/>
          <w:numId w:val="2"/>
        </w:numPr>
        <w:spacing w:after="40" w:before="40"/>
      </w:pPr>
      <w:r>
        <w:rPr>
          <w:rFonts w:ascii="Arial" w:cs="Arial" w:eastAsia="Arial" w:hAnsi="Arial"/>
          <w:b/>
          <w:bCs/>
          <w:color w:val="375623"/>
          <w:sz w:val="19"/>
          <w:szCs w:val="19"/>
        </w:rPr>
        <w:t xml:space="preserve">[APPC – Appendix C, C-1 §39.2]  </w:t>
      </w:r>
      <w:r>
        <w:rPr>
          <w:rFonts w:ascii="Arial" w:cs="Arial" w:eastAsia="Arial" w:hAnsi="Arial"/>
          <w:color w:val="2D2D2D"/>
          <w:sz w:val="19"/>
          <w:szCs w:val="19"/>
        </w:rPr>
        <w:t xml:space="preserve">Require initial incident details to be sent by email by end of the shift covering: date/time; location; persons involved; description; draft classification (actual and MRO); actions taken; contributing factors; relevant history; next steps; and required follow-up.</w:t>
      </w:r>
    </w:p>
    <w:p>
      <w:pPr>
        <w:pStyle w:val="ListParagraph"/>
        <w:numPr>
          <w:ilvl w:val="0"/>
          <w:numId w:val="2"/>
        </w:numPr>
        <w:spacing w:after="40" w:before="40"/>
      </w:pPr>
      <w:r>
        <w:rPr>
          <w:rFonts w:ascii="Arial" w:cs="Arial" w:eastAsia="Arial" w:hAnsi="Arial"/>
          <w:b/>
          <w:bCs/>
          <w:color w:val="375623"/>
          <w:sz w:val="19"/>
          <w:szCs w:val="19"/>
        </w:rPr>
        <w:t xml:space="preserve">[APPC – Appendix C, C-1 §39.2]  </w:t>
      </w:r>
      <w:r>
        <w:rPr>
          <w:rFonts w:ascii="Arial" w:cs="Arial" w:eastAsia="Arial" w:hAnsi="Arial"/>
          <w:color w:val="2D2D2D"/>
          <w:sz w:val="19"/>
          <w:szCs w:val="19"/>
        </w:rPr>
        <w:t xml:space="preserve">Require the HSESC Incident Reporting Form to be submitted to the project owner within 24 hours. Define the full investigation timeline matrix by incident classification (First Aid through Fatality) including Orange Banner, Terms of Reference, draft and final report due dates, and Red Banner requirements.</w:t>
      </w:r>
    </w:p>
    <w:p>
      <w:pPr>
        <w:pStyle w:val="Heading2"/>
        <w:spacing w:after="60" w:before="240"/>
      </w:pPr>
      <w:r>
        <w:rPr>
          <w:rFonts w:ascii="Arial" w:cs="Arial" w:eastAsia="Arial" w:hAnsi="Arial"/>
          <w:b/>
          <w:bCs/>
          <w:color w:val="2E75B6"/>
          <w:sz w:val="22"/>
          <w:szCs w:val="22"/>
        </w:rPr>
        <w:t xml:space="preserve">Incident Investigation</w:t>
      </w:r>
    </w:p>
    <w:p>
      <w:pPr>
        <w:pStyle w:val="ListParagraph"/>
        <w:numPr>
          <w:ilvl w:val="0"/>
          <w:numId w:val="2"/>
        </w:numPr>
        <w:spacing w:after="40" w:before="40"/>
      </w:pPr>
      <w:r>
        <w:rPr>
          <w:rFonts w:ascii="Arial" w:cs="Arial" w:eastAsia="Arial" w:hAnsi="Arial"/>
          <w:b/>
          <w:bCs/>
          <w:color w:val="1F3864"/>
          <w:sz w:val="19"/>
          <w:szCs w:val="19"/>
        </w:rPr>
        <w:t xml:space="preserve">[RT – RT – Incident Reporting and Investigation Standard]  </w:t>
      </w:r>
      <w:r>
        <w:rPr>
          <w:rFonts w:ascii="Arial" w:cs="Arial" w:eastAsia="Arial" w:hAnsi="Arial"/>
          <w:color w:val="2D2D2D"/>
          <w:sz w:val="19"/>
          <w:szCs w:val="19"/>
        </w:rPr>
        <w:t xml:space="preserve">Require investigation methodology calibrated to incident classification: 5-Why analysis for First Aid Cases and near misses; Taproot or RCA for MTCIs, LDIs, vehicle incidents, and significant incidents; independent external investigation for fatalities. All investigations must identify system and human/behavioural root causes.</w:t>
      </w:r>
    </w:p>
    <w:p>
      <w:pPr>
        <w:pStyle w:val="ListParagraph"/>
        <w:numPr>
          <w:ilvl w:val="0"/>
          <w:numId w:val="2"/>
        </w:numPr>
        <w:spacing w:after="40" w:before="40"/>
      </w:pPr>
      <w:r>
        <w:rPr>
          <w:rFonts w:ascii="Arial" w:cs="Arial" w:eastAsia="Arial" w:hAnsi="Arial"/>
          <w:b/>
          <w:bCs/>
          <w:color w:val="375623"/>
          <w:sz w:val="19"/>
          <w:szCs w:val="19"/>
        </w:rPr>
        <w:t xml:space="preserve">[APPC – Appendix C, C-1 §39.5]  </w:t>
      </w:r>
      <w:r>
        <w:rPr>
          <w:rFonts w:ascii="Arial" w:cs="Arial" w:eastAsia="Arial" w:hAnsi="Arial"/>
          <w:color w:val="2D2D2D"/>
          <w:sz w:val="19"/>
          <w:szCs w:val="19"/>
        </w:rPr>
        <w:t xml:space="preserve">Require a Terms of Reference to be submitted to the project owner at least 48 hours before investigation commencement. Require investigation teams to be led by project management personnel trained in RCA.</w:t>
      </w:r>
    </w:p>
    <w:p>
      <w:pPr>
        <w:pStyle w:val="ListParagraph"/>
        <w:numPr>
          <w:ilvl w:val="0"/>
          <w:numId w:val="2"/>
        </w:numPr>
        <w:spacing w:after="40" w:before="40"/>
      </w:pPr>
      <w:r>
        <w:rPr>
          <w:rFonts w:ascii="Arial" w:cs="Arial" w:eastAsia="Arial" w:hAnsi="Arial"/>
          <w:b/>
          <w:bCs/>
          <w:color w:val="375623"/>
          <w:sz w:val="19"/>
          <w:szCs w:val="19"/>
        </w:rPr>
        <w:t xml:space="preserve">[APPC – Appendix C, C-1 §39.3]  </w:t>
      </w:r>
      <w:r>
        <w:rPr>
          <w:rFonts w:ascii="Arial" w:cs="Arial" w:eastAsia="Arial" w:hAnsi="Arial"/>
          <w:color w:val="2D2D2D"/>
          <w:sz w:val="19"/>
          <w:szCs w:val="19"/>
        </w:rPr>
        <w:t xml:space="preserve">Define mandatory investigation report content: date; site; description; persons involved; timeline; case management details; potential assessment; just culture assessment; SSE status; root cause findings; human factors; proposed corrective actions; and closeout justifications.</w:t>
      </w:r>
    </w:p>
    <w:p>
      <w:pPr>
        <w:pStyle w:val="ListParagraph"/>
        <w:numPr>
          <w:ilvl w:val="0"/>
          <w:numId w:val="2"/>
        </w:numPr>
        <w:spacing w:after="40" w:before="40"/>
      </w:pPr>
      <w:r>
        <w:rPr>
          <w:rFonts w:ascii="Arial" w:cs="Arial" w:eastAsia="Arial" w:hAnsi="Arial"/>
          <w:b/>
          <w:bCs/>
          <w:color w:val="C55A11"/>
          <w:sz w:val="19"/>
          <w:szCs w:val="19"/>
        </w:rPr>
        <w:t xml:space="preserve">[IFC – IFC PS1 §22]  </w:t>
      </w:r>
      <w:r>
        <w:rPr>
          <w:rFonts w:ascii="Arial" w:cs="Arial" w:eastAsia="Arial" w:hAnsi="Arial"/>
          <w:color w:val="2D2D2D"/>
          <w:sz w:val="19"/>
          <w:szCs w:val="19"/>
        </w:rPr>
        <w:t xml:space="preserve">Use investigation data and trend analysis to evaluate the effectiveness of management controls and direct improvement of the management system.</w:t>
      </w:r>
    </w:p>
    <w:p>
      <w:pPr>
        <w:pStyle w:val="Heading2"/>
        <w:spacing w:after="60" w:before="240"/>
      </w:pPr>
      <w:r>
        <w:rPr>
          <w:rFonts w:ascii="Arial" w:cs="Arial" w:eastAsia="Arial" w:hAnsi="Arial"/>
          <w:b/>
          <w:bCs/>
          <w:color w:val="2E75B6"/>
          <w:sz w:val="22"/>
          <w:szCs w:val="22"/>
        </w:rPr>
        <w:t xml:space="preserve">Just Culture and Consequence Management</w:t>
      </w:r>
    </w:p>
    <w:p>
      <w:pPr>
        <w:pStyle w:val="ListParagraph"/>
        <w:numPr>
          <w:ilvl w:val="0"/>
          <w:numId w:val="2"/>
        </w:numPr>
        <w:spacing w:after="40" w:before="40"/>
      </w:pPr>
      <w:r>
        <w:rPr>
          <w:rFonts w:ascii="Arial" w:cs="Arial" w:eastAsia="Arial" w:hAnsi="Arial"/>
          <w:b/>
          <w:bCs/>
          <w:color w:val="375623"/>
          <w:sz w:val="19"/>
          <w:szCs w:val="19"/>
        </w:rPr>
        <w:t xml:space="preserve">[APPC – Appendix C, C-1 §39.8]  </w:t>
      </w:r>
      <w:r>
        <w:rPr>
          <w:rFonts w:ascii="Arial" w:cs="Arial" w:eastAsia="Arial" w:hAnsi="Arial"/>
          <w:color w:val="2D2D2D"/>
          <w:sz w:val="19"/>
          <w:szCs w:val="19"/>
        </w:rPr>
        <w:t xml:space="preserve">Define the process for managing human behavioural non-conformances. Require actions to be proportionate, fair, and aimed at preventing recurrence. Require documentation of all non-conformance instances and actions taken. Include retraining and coaching as primary interventions.</w:t>
      </w:r>
    </w:p>
    <w:p>
      <w:pPr>
        <w:pStyle w:val="ListParagraph"/>
        <w:numPr>
          <w:ilvl w:val="0"/>
          <w:numId w:val="2"/>
        </w:numPr>
        <w:spacing w:after="40" w:before="40"/>
      </w:pPr>
      <w:r>
        <w:rPr>
          <w:rFonts w:ascii="Arial" w:cs="Arial" w:eastAsia="Arial" w:hAnsi="Arial"/>
          <w:b/>
          <w:bCs/>
          <w:color w:val="BF9000"/>
          <w:sz w:val="19"/>
          <w:szCs w:val="19"/>
        </w:rPr>
        <w:t xml:space="preserve">[OSHA – OSHA RP 2016 – Hazard Prevention and Control]  </w:t>
      </w:r>
      <w:r>
        <w:rPr>
          <w:rFonts w:ascii="Arial" w:cs="Arial" w:eastAsia="Arial" w:hAnsi="Arial"/>
          <w:color w:val="2D2D2D"/>
          <w:sz w:val="19"/>
          <w:szCs w:val="19"/>
        </w:rPr>
        <w:t xml:space="preserve">Ensure the disciplinary process does not discourage incident reporting. A just culture approach distinguishes between honest mistakes, at-risk behaviour, and reckless conduct, with differentiated responses to each.</w:t>
      </w:r>
    </w:p>
    <w:p>
      <w:pPr>
        <w:pStyle w:val="Heading2"/>
        <w:spacing w:after="60" w:before="240"/>
      </w:pPr>
      <w:r>
        <w:rPr>
          <w:rFonts w:ascii="Arial" w:cs="Arial" w:eastAsia="Arial" w:hAnsi="Arial"/>
          <w:b/>
          <w:bCs/>
          <w:color w:val="2E75B6"/>
          <w:sz w:val="22"/>
          <w:szCs w:val="22"/>
        </w:rPr>
        <w:t xml:space="preserve">Action Management</w:t>
      </w:r>
    </w:p>
    <w:p>
      <w:pPr>
        <w:pStyle w:val="ListParagraph"/>
        <w:numPr>
          <w:ilvl w:val="0"/>
          <w:numId w:val="2"/>
        </w:numPr>
        <w:spacing w:after="40" w:before="40"/>
      </w:pPr>
      <w:r>
        <w:rPr>
          <w:rFonts w:ascii="Arial" w:cs="Arial" w:eastAsia="Arial" w:hAnsi="Arial"/>
          <w:b/>
          <w:bCs/>
          <w:color w:val="375623"/>
          <w:sz w:val="19"/>
          <w:szCs w:val="19"/>
        </w:rPr>
        <w:t xml:space="preserve">[APPC – Appendix C, C-1 §41.1]  </w:t>
      </w:r>
      <w:r>
        <w:rPr>
          <w:rFonts w:ascii="Arial" w:cs="Arial" w:eastAsia="Arial" w:hAnsi="Arial"/>
          <w:color w:val="2D2D2D"/>
          <w:sz w:val="19"/>
          <w:szCs w:val="19"/>
        </w:rPr>
        <w:t xml:space="preserve">Require all corrective actions to be recorded in the project action tracking register, severity-ranked (high/medium/low), assigned with due dates and owners, and reported in monthly HSESC reports with closeout status. Require verification for high-severity action closeout.</w:t>
      </w:r>
    </w:p>
    <w:p>
      <w:pPr>
        <w:pStyle w:val="ListParagraph"/>
        <w:numPr>
          <w:ilvl w:val="0"/>
          <w:numId w:val="2"/>
        </w:numPr>
        <w:spacing w:after="40" w:before="40"/>
      </w:pPr>
      <w:r>
        <w:rPr>
          <w:rFonts w:ascii="Arial" w:cs="Arial" w:eastAsia="Arial" w:hAnsi="Arial"/>
          <w:b/>
          <w:bCs/>
          <w:color w:val="C55A11"/>
          <w:sz w:val="19"/>
          <w:szCs w:val="19"/>
        </w:rPr>
        <w:t xml:space="preserve">[IFC – IFC PS1 §11]  </w:t>
      </w:r>
      <w:r>
        <w:rPr>
          <w:rFonts w:ascii="Arial" w:cs="Arial" w:eastAsia="Arial" w:hAnsi="Arial"/>
          <w:color w:val="2D2D2D"/>
          <w:sz w:val="19"/>
          <w:szCs w:val="19"/>
        </w:rPr>
        <w:t xml:space="preserve">Implement corrective actions within timeframes proportionate to severity and verify their effectiveness before formal closure.</w:t>
      </w:r>
    </w:p>
    <w:p>
      <w:pPr>
        <w:pStyle w:val="Heading2"/>
        <w:spacing w:after="60" w:before="240"/>
      </w:pPr>
      <w:r>
        <w:rPr>
          <w:rFonts w:ascii="Arial" w:cs="Arial" w:eastAsia="Arial" w:hAnsi="Arial"/>
          <w:b/>
          <w:bCs/>
          <w:color w:val="2E75B6"/>
          <w:sz w:val="22"/>
          <w:szCs w:val="22"/>
        </w:rPr>
        <w:t xml:space="preserve">Regulatory Reporting</w:t>
      </w:r>
    </w:p>
    <w:p>
      <w:pPr>
        <w:pStyle w:val="ListParagraph"/>
        <w:numPr>
          <w:ilvl w:val="0"/>
          <w:numId w:val="2"/>
        </w:numPr>
        <w:spacing w:after="40" w:before="40"/>
      </w:pPr>
      <w:r>
        <w:rPr>
          <w:rFonts w:ascii="Arial" w:cs="Arial" w:eastAsia="Arial" w:hAnsi="Arial"/>
          <w:b/>
          <w:bCs/>
          <w:color w:val="1F3864"/>
          <w:sz w:val="19"/>
          <w:szCs w:val="19"/>
        </w:rPr>
        <w:t xml:space="preserve">[RT – RT – Management &amp; Compliance Standard]  </w:t>
      </w:r>
      <w:r>
        <w:rPr>
          <w:rFonts w:ascii="Arial" w:cs="Arial" w:eastAsia="Arial" w:hAnsi="Arial"/>
          <w:color w:val="2D2D2D"/>
          <w:sz w:val="19"/>
          <w:szCs w:val="19"/>
        </w:rPr>
        <w:t xml:space="preserve">Require prompt reporting of all incidents and injuries to applicable Government Authorities where mandated by law. Require notification to the relevant RT corporate function. Require that copies of all governmental citations are submitted to the project leadership team.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CRITICAL — Insert the project-specific incident notification contact list: who receives the 1-hour verbal notification by incident type; who receives email notifications; who is the project owner notification contact. This is specific to this project and must be in place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Confirm the investigation methodology approved for this project. The procedure lists options — the project must confirm which RCA methodology is approved for use, and whether an approved provider list exists for external investigations.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Insert the project-specific Terms of Reference template for formal investigations.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just culture decision tool or algorithm approved for this project — some RT projects use a specific decision tree. Insert or reference here.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C-1 §39.2.2]  </w:t>
            </w:r>
            <w:r>
              <w:rPr>
                <w:rFonts w:ascii="Arial" w:cs="Arial" w:eastAsia="Arial" w:hAnsi="Arial"/>
                <w:color w:val="2D2D2D"/>
                <w:sz w:val="19"/>
                <w:szCs w:val="19"/>
              </w:rPr>
              <w:t xml:space="preserve">Require verbal notification to the Company within one hour for significant injuries or fatalities involving community members or non-work-related incidents, particularly where these incidents impact on the project or Company relationships with the community.</w:t>
            </w:r>
          </w:p>
          <w:p>
            <w:pPr>
              <w:pStyle w:val="ListParagraph"/>
              <w:numPr>
                <w:ilvl w:val="0"/>
                <w:numId w:val="2"/>
              </w:numPr>
              <w:spacing w:after="40" w:before="40"/>
            </w:pPr>
            <w:r>
              <w:rPr>
                <w:rFonts w:ascii="Arial" w:cs="Arial" w:eastAsia="Arial" w:hAnsi="Arial"/>
                <w:b/>
                <w:bCs/>
                <w:color w:val="375623"/>
                <w:sz w:val="19"/>
                <w:szCs w:val="19"/>
              </w:rPr>
              <w:t xml:space="preserve">[APPC – Appendix C, C-1 §39.2.3]  </w:t>
            </w:r>
            <w:r>
              <w:rPr>
                <w:rFonts w:ascii="Arial" w:cs="Arial" w:eastAsia="Arial" w:hAnsi="Arial"/>
                <w:color w:val="2D2D2D"/>
                <w:sz w:val="19"/>
                <w:szCs w:val="19"/>
              </w:rPr>
              <w:t xml:space="preserve">Require verbal notification to the Company within one hour for any project-related incident, whether work-related or not, that could affect the safety, health, or trust of the community. A written update must follow as soon as practicable.</w:t>
            </w:r>
          </w:p>
          <w:p>
            <w:pPr>
              <w:pStyle w:val="ListParagraph"/>
              <w:numPr>
                <w:ilvl w:val="0"/>
                <w:numId w:val="2"/>
              </w:numPr>
              <w:spacing w:after="40" w:before="40"/>
            </w:pPr>
            <w:r>
              <w:rPr>
                <w:rFonts w:ascii="Arial" w:cs="Arial" w:eastAsia="Arial" w:hAnsi="Arial"/>
                <w:b/>
                <w:bCs/>
                <w:color w:val="375623"/>
                <w:sz w:val="19"/>
                <w:szCs w:val="19"/>
              </w:rPr>
              <w:t xml:space="preserve">[APPC – Appendix C, C-1 §39.4.7]  </w:t>
            </w:r>
            <w:r>
              <w:rPr>
                <w:rFonts w:ascii="Arial" w:cs="Arial" w:eastAsia="Arial" w:hAnsi="Arial"/>
                <w:color w:val="2D2D2D"/>
                <w:sz w:val="19"/>
                <w:szCs w:val="19"/>
              </w:rPr>
              <w:t xml:space="preserve">Require classification of all dropped object events and near misses using the DROPS Online Calculator to determine severity. Results must be recorded in the incident report and reported as part of the monthly HSESC performance data.</w:t>
            </w:r>
          </w:p>
          <w:p>
            <w:pPr>
              <w:pStyle w:val="ListParagraph"/>
              <w:numPr>
                <w:ilvl w:val="0"/>
                <w:numId w:val="2"/>
              </w:numPr>
              <w:spacing w:after="40" w:before="40"/>
            </w:pPr>
            <w:r>
              <w:rPr>
                <w:rFonts w:ascii="Arial" w:cs="Arial" w:eastAsia="Arial" w:hAnsi="Arial"/>
                <w:b/>
                <w:bCs/>
                <w:color w:val="375623"/>
                <w:sz w:val="19"/>
                <w:szCs w:val="19"/>
              </w:rPr>
              <w:t xml:space="preserve">[APPC – Appendix C, C-1 §39.8.4]  </w:t>
            </w:r>
            <w:r>
              <w:rPr>
                <w:rFonts w:ascii="Arial" w:cs="Arial" w:eastAsia="Arial" w:hAnsi="Arial"/>
                <w:color w:val="2D2D2D"/>
                <w:sz w:val="19"/>
                <w:szCs w:val="19"/>
              </w:rPr>
              <w:t xml:space="preserve">Require that all actions taken through the consequence management process are proportionate, fair, and aimed at preventing recurrence. Retraining, coaching, or other targeted interventions must be considered and documented as the primary response to human behavioural non-conformances where appropriate.</w:t>
            </w:r>
          </w:p>
          <w:p>
            <w:pPr>
              <w:pStyle w:val="ListParagraph"/>
              <w:numPr>
                <w:ilvl w:val="0"/>
                <w:numId w:val="2"/>
              </w:numPr>
              <w:spacing w:after="40" w:before="40"/>
            </w:pPr>
            <w:r>
              <w:rPr>
                <w:rFonts w:ascii="Arial" w:cs="Arial" w:eastAsia="Arial" w:hAnsi="Arial"/>
                <w:b/>
                <w:bCs/>
                <w:color w:val="375623"/>
                <w:sz w:val="19"/>
                <w:szCs w:val="19"/>
              </w:rPr>
              <w:t xml:space="preserve">[APPC – Appendix C, C-1 §39.8.6]  </w:t>
            </w:r>
            <w:r>
              <w:rPr>
                <w:rFonts w:ascii="Arial" w:cs="Arial" w:eastAsia="Arial" w:hAnsi="Arial"/>
                <w:color w:val="2D2D2D"/>
                <w:sz w:val="19"/>
                <w:szCs w:val="19"/>
              </w:rPr>
              <w:t xml:space="preserve">Require documentation of all instances of non-conformance and the actions taken, to ensure transparency and consistency in the application of consequence management across all contractor organisations on the project.</w:t>
            </w:r>
          </w:p>
          <w:p>
            <w:r>
              <w:rPr>
                <w:rFonts w:ascii="Arial" w:cs="Arial" w:eastAsia="Arial" w:hAnsi="Arial"/>
                <w:color w:val="3C2A00"/>
                <w:sz w:val="17"/>
                <w:szCs w:val="17"/>
              </w:rPr>
              <w:t xml:space="preserve">Insert the escalation matrix for regulatory notification: which incidents require notification to which regulatory authority in the project jurisdiction, and within what timeframe.</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Documentation and Document Control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08 – Documentation &amp; Document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RTPR-HSE-PRO-0010</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Document hierarchy and tier definitions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Document numbering and naming convention for this project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Document Register format (RTPR-HSE-REG-0002)</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Approval authority matrix by document type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Version control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Deliverables Schedule format and submission timelines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Record retention schedule by category</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RTPR-HSE-PRO-0043 – Records Management (for retention and disposal of records produced under this system)</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RTPR-HSE-PRO-0003 – Org Resources (approval authority by role)</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ALL procedures are subject to RTPR-HSE-PRO-0010 — each procedure header references this</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RTPR-HSE-PRO-0043 references RTPR-HSE-PRO-0010 for the record types that require retention management</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how HSESC documents are created, reviewed, approved, distributed, controlled, revised, and retained across the owner-led project management system. All RT project team members and contractor organisations operating under the system are subject to this procedure.</w:t>
      </w:r>
    </w:p>
    <w:p>
      <w:pPr>
        <w:pStyle w:val="Heading2"/>
        <w:spacing w:after="60" w:before="240"/>
      </w:pPr>
      <w:r>
        <w:rPr>
          <w:rFonts w:ascii="Arial" w:cs="Arial" w:eastAsia="Arial" w:hAnsi="Arial"/>
          <w:b/>
          <w:bCs/>
          <w:color w:val="2E75B6"/>
          <w:sz w:val="22"/>
          <w:szCs w:val="22"/>
        </w:rPr>
        <w:t xml:space="preserve">Document Hierarchy and Identification</w:t>
      </w:r>
    </w:p>
    <w:p>
      <w:pPr>
        <w:pStyle w:val="ListParagraph"/>
        <w:numPr>
          <w:ilvl w:val="0"/>
          <w:numId w:val="2"/>
        </w:numPr>
        <w:spacing w:after="40" w:before="40"/>
      </w:pPr>
      <w:r>
        <w:rPr>
          <w:rFonts w:ascii="Arial" w:cs="Arial" w:eastAsia="Arial" w:hAnsi="Arial"/>
          <w:b/>
          <w:bCs/>
          <w:color w:val="1F3864"/>
          <w:sz w:val="19"/>
          <w:szCs w:val="19"/>
        </w:rPr>
        <w:t xml:space="preserve">[RT – RT – Management &amp; Compliance Standard]  </w:t>
      </w:r>
      <w:r>
        <w:rPr>
          <w:rFonts w:ascii="Arial" w:cs="Arial" w:eastAsia="Arial" w:hAnsi="Arial"/>
          <w:color w:val="2D2D2D"/>
          <w:sz w:val="19"/>
          <w:szCs w:val="19"/>
        </w:rPr>
        <w:t xml:space="preserve">Define the four-tier document hierarchy: Tier 1 Policies; Tier 2 Plans and Standards; Tier 3 Procedures and Protocols; Tier 4 Forms, Registers, and Records. Require all documents to have a unique document number, revision number, and review date.</w:t>
      </w:r>
    </w:p>
    <w:p>
      <w:pPr>
        <w:pStyle w:val="ListParagraph"/>
        <w:numPr>
          <w:ilvl w:val="0"/>
          <w:numId w:val="2"/>
        </w:numPr>
        <w:spacing w:after="40" w:before="40"/>
      </w:pPr>
      <w:r>
        <w:rPr>
          <w:rFonts w:ascii="Arial" w:cs="Arial" w:eastAsia="Arial" w:hAnsi="Arial"/>
          <w:b/>
          <w:bCs/>
          <w:color w:val="375623"/>
          <w:sz w:val="19"/>
          <w:szCs w:val="19"/>
        </w:rPr>
        <w:t xml:space="preserve">[APPC – Appendix C, C-1 §45]  </w:t>
      </w:r>
      <w:r>
        <w:rPr>
          <w:rFonts w:ascii="Arial" w:cs="Arial" w:eastAsia="Arial" w:hAnsi="Arial"/>
          <w:color w:val="2D2D2D"/>
          <w:sz w:val="19"/>
          <w:szCs w:val="19"/>
        </w:rPr>
        <w:t xml:space="preserve">Require a Document Register to be maintained tracking all controlled documents, current revision status, owner, and review date. Define the document naming and numbering convention.</w:t>
      </w:r>
    </w:p>
    <w:p>
      <w:pPr>
        <w:pStyle w:val="ListParagraph"/>
        <w:numPr>
          <w:ilvl w:val="0"/>
          <w:numId w:val="2"/>
        </w:numPr>
        <w:spacing w:after="40" w:before="40"/>
      </w:pPr>
      <w:r>
        <w:rPr>
          <w:rFonts w:ascii="Arial" w:cs="Arial" w:eastAsia="Arial" w:hAnsi="Arial"/>
          <w:b/>
          <w:bCs/>
          <w:color w:val="C55A11"/>
          <w:sz w:val="19"/>
          <w:szCs w:val="19"/>
        </w:rPr>
        <w:t xml:space="preserve">[IFC – IFC PS1 §6]  </w:t>
      </w:r>
      <w:r>
        <w:rPr>
          <w:rFonts w:ascii="Arial" w:cs="Arial" w:eastAsia="Arial" w:hAnsi="Arial"/>
          <w:color w:val="2D2D2D"/>
          <w:sz w:val="19"/>
          <w:szCs w:val="19"/>
        </w:rPr>
        <w:t xml:space="preserve">Ensure that key management commitments — including policies, management plans, and monitoring commitments — are documented and accessible to relevant project participants and stakeholders.</w:t>
      </w:r>
    </w:p>
    <w:p>
      <w:pPr>
        <w:pStyle w:val="Heading2"/>
        <w:spacing w:after="60" w:before="240"/>
      </w:pPr>
      <w:r>
        <w:rPr>
          <w:rFonts w:ascii="Arial" w:cs="Arial" w:eastAsia="Arial" w:hAnsi="Arial"/>
          <w:b/>
          <w:bCs/>
          <w:color w:val="2E75B6"/>
          <w:sz w:val="22"/>
          <w:szCs w:val="22"/>
        </w:rPr>
        <w:t xml:space="preserve">Preparation, Review and Approval</w:t>
      </w:r>
    </w:p>
    <w:p>
      <w:pPr>
        <w:pStyle w:val="ListParagraph"/>
        <w:numPr>
          <w:ilvl w:val="0"/>
          <w:numId w:val="2"/>
        </w:numPr>
        <w:spacing w:after="40" w:before="40"/>
      </w:pPr>
      <w:r>
        <w:rPr>
          <w:rFonts w:ascii="Arial" w:cs="Arial" w:eastAsia="Arial" w:hAnsi="Arial"/>
          <w:b/>
          <w:bCs/>
          <w:color w:val="1F3864"/>
          <w:sz w:val="19"/>
          <w:szCs w:val="19"/>
        </w:rPr>
        <w:t xml:space="preserve">[RT – RT – Management &amp; Compliance Standard]  </w:t>
      </w:r>
      <w:r>
        <w:rPr>
          <w:rFonts w:ascii="Arial" w:cs="Arial" w:eastAsia="Arial" w:hAnsi="Arial"/>
          <w:color w:val="2D2D2D"/>
          <w:sz w:val="19"/>
          <w:szCs w:val="19"/>
        </w:rPr>
        <w:t xml:space="preserve">Define the roles responsible for drafting, reviewing, and approving each document type within the four-tier hierarchy. Require review by the HSESC Manager and approval at the appropriate authority level before issuance.</w:t>
      </w:r>
    </w:p>
    <w:p>
      <w:pPr>
        <w:pStyle w:val="ListParagraph"/>
        <w:numPr>
          <w:ilvl w:val="0"/>
          <w:numId w:val="2"/>
        </w:numPr>
        <w:spacing w:after="40" w:before="40"/>
      </w:pPr>
      <w:r>
        <w:rPr>
          <w:rFonts w:ascii="Arial" w:cs="Arial" w:eastAsia="Arial" w:hAnsi="Arial"/>
          <w:b/>
          <w:bCs/>
          <w:color w:val="375623"/>
          <w:sz w:val="19"/>
          <w:szCs w:val="19"/>
        </w:rPr>
        <w:t xml:space="preserve">[APPC – Appendix C, C-1 §45]  </w:t>
      </w:r>
      <w:r>
        <w:rPr>
          <w:rFonts w:ascii="Arial" w:cs="Arial" w:eastAsia="Arial" w:hAnsi="Arial"/>
          <w:color w:val="2D2D2D"/>
          <w:sz w:val="19"/>
          <w:szCs w:val="19"/>
        </w:rPr>
        <w:t xml:space="preserve">Define which documents require project owner approval and which may be approved internally, consistent with the contractual requirements of the project.</w:t>
      </w:r>
    </w:p>
    <w:p>
      <w:pPr>
        <w:pStyle w:val="ListParagraph"/>
        <w:numPr>
          <w:ilvl w:val="0"/>
          <w:numId w:val="2"/>
        </w:numPr>
        <w:spacing w:after="40" w:before="40"/>
      </w:pPr>
      <w:r>
        <w:rPr>
          <w:rFonts w:ascii="Arial" w:cs="Arial" w:eastAsia="Arial" w:hAnsi="Arial"/>
          <w:b/>
          <w:bCs/>
          <w:color w:val="BF9000"/>
          <w:sz w:val="19"/>
          <w:szCs w:val="19"/>
        </w:rPr>
        <w:t xml:space="preserve">[OSHA – OSHA RP 2016 – Management Leadership]  </w:t>
      </w:r>
      <w:r>
        <w:rPr>
          <w:rFonts w:ascii="Arial" w:cs="Arial" w:eastAsia="Arial" w:hAnsi="Arial"/>
          <w:color w:val="2D2D2D"/>
          <w:sz w:val="19"/>
          <w:szCs w:val="19"/>
        </w:rPr>
        <w:t xml:space="preserve">Ensure procedures and safe work documentation are written at the language and literacy level of the workforce that will use them, with visual aids or translations where required.</w:t>
      </w:r>
    </w:p>
    <w:p>
      <w:pPr>
        <w:pStyle w:val="Heading2"/>
        <w:spacing w:after="60" w:before="240"/>
      </w:pPr>
      <w:r>
        <w:rPr>
          <w:rFonts w:ascii="Arial" w:cs="Arial" w:eastAsia="Arial" w:hAnsi="Arial"/>
          <w:b/>
          <w:bCs/>
          <w:color w:val="2E75B6"/>
          <w:sz w:val="22"/>
          <w:szCs w:val="22"/>
        </w:rPr>
        <w:t xml:space="preserve">Version Control and Distribution</w:t>
      </w:r>
    </w:p>
    <w:p>
      <w:pPr>
        <w:pStyle w:val="ListParagraph"/>
        <w:numPr>
          <w:ilvl w:val="0"/>
          <w:numId w:val="2"/>
        </w:numPr>
        <w:spacing w:after="40" w:before="40"/>
      </w:pPr>
      <w:r>
        <w:rPr>
          <w:rFonts w:ascii="Arial" w:cs="Arial" w:eastAsia="Arial" w:hAnsi="Arial"/>
          <w:b/>
          <w:bCs/>
          <w:color w:val="1F3864"/>
          <w:sz w:val="19"/>
          <w:szCs w:val="19"/>
        </w:rPr>
        <w:t xml:space="preserve">[RT – RT – Management &amp; Compliance Standard]  </w:t>
      </w:r>
      <w:r>
        <w:rPr>
          <w:rFonts w:ascii="Arial" w:cs="Arial" w:eastAsia="Arial" w:hAnsi="Arial"/>
          <w:color w:val="2D2D2D"/>
          <w:sz w:val="19"/>
          <w:szCs w:val="19"/>
        </w:rPr>
        <w:t xml:space="preserve">Define version control requirements including what constitutes a major versus minor revision. Require superseded documents to be clearly identified and removed from all points of use. Require all personnel to have ready access to current versions of applicable HSESC documentation.</w:t>
      </w:r>
    </w:p>
    <w:p>
      <w:pPr>
        <w:pStyle w:val="ListParagraph"/>
        <w:numPr>
          <w:ilvl w:val="0"/>
          <w:numId w:val="2"/>
        </w:numPr>
        <w:spacing w:after="40" w:before="40"/>
      </w:pPr>
      <w:r>
        <w:rPr>
          <w:rFonts w:ascii="Arial" w:cs="Arial" w:eastAsia="Arial" w:hAnsi="Arial"/>
          <w:b/>
          <w:bCs/>
          <w:color w:val="C55A11"/>
          <w:sz w:val="19"/>
          <w:szCs w:val="19"/>
        </w:rPr>
        <w:t xml:space="preserve">[IFC – IFC PS1 §6]  </w:t>
      </w:r>
      <w:r>
        <w:rPr>
          <w:rFonts w:ascii="Arial" w:cs="Arial" w:eastAsia="Arial" w:hAnsi="Arial"/>
          <w:color w:val="2D2D2D"/>
          <w:sz w:val="19"/>
          <w:szCs w:val="19"/>
        </w:rPr>
        <w:t xml:space="preserve">Ensure that environmental and social management documentation is accessible to affected communities where disclosure is required by applicable performance standards or permit conditions.</w:t>
      </w:r>
    </w:p>
    <w:p>
      <w:pPr>
        <w:pStyle w:val="Heading2"/>
        <w:spacing w:after="60" w:before="240"/>
      </w:pPr>
      <w:r>
        <w:rPr>
          <w:rFonts w:ascii="Arial" w:cs="Arial" w:eastAsia="Arial" w:hAnsi="Arial"/>
          <w:b/>
          <w:bCs/>
          <w:color w:val="2E75B6"/>
          <w:sz w:val="22"/>
          <w:szCs w:val="22"/>
        </w:rPr>
        <w:t xml:space="preserve">Deliverables Schedule</w:t>
      </w:r>
    </w:p>
    <w:p>
      <w:pPr>
        <w:pStyle w:val="ListParagraph"/>
        <w:numPr>
          <w:ilvl w:val="0"/>
          <w:numId w:val="2"/>
        </w:numPr>
        <w:spacing w:after="40" w:before="40"/>
      </w:pPr>
      <w:r>
        <w:rPr>
          <w:rFonts w:ascii="Arial" w:cs="Arial" w:eastAsia="Arial" w:hAnsi="Arial"/>
          <w:b/>
          <w:bCs/>
          <w:color w:val="375623"/>
          <w:sz w:val="19"/>
          <w:szCs w:val="19"/>
        </w:rPr>
        <w:t xml:space="preserve">[APPC – Appendix C, C-1 §22.4]  </w:t>
      </w:r>
      <w:r>
        <w:rPr>
          <w:rFonts w:ascii="Arial" w:cs="Arial" w:eastAsia="Arial" w:hAnsi="Arial"/>
          <w:color w:val="2D2D2D"/>
          <w:sz w:val="19"/>
          <w:szCs w:val="19"/>
        </w:rPr>
        <w:t xml:space="preserve">Require preparation and maintenance of an HSESC Deliverables Schedule tracking all required submissions, due dates, responsible persons, and submission and approval status. The schedule must be available to the project owner and updated continuously.</w:t>
      </w:r>
    </w:p>
    <w:p>
      <w:pPr>
        <w:pStyle w:val="Heading2"/>
        <w:spacing w:after="60" w:before="240"/>
      </w:pPr>
      <w:r>
        <w:rPr>
          <w:rFonts w:ascii="Arial" w:cs="Arial" w:eastAsia="Arial" w:hAnsi="Arial"/>
          <w:b/>
          <w:bCs/>
          <w:color w:val="2E75B6"/>
          <w:sz w:val="22"/>
          <w:szCs w:val="22"/>
        </w:rPr>
        <w:t xml:space="preserve">Record Retention</w:t>
      </w:r>
    </w:p>
    <w:p>
      <w:pPr>
        <w:pStyle w:val="ListParagraph"/>
        <w:numPr>
          <w:ilvl w:val="0"/>
          <w:numId w:val="2"/>
        </w:numPr>
        <w:spacing w:after="40" w:before="40"/>
      </w:pPr>
      <w:r>
        <w:rPr>
          <w:rFonts w:ascii="Arial" w:cs="Arial" w:eastAsia="Arial" w:hAnsi="Arial"/>
          <w:b/>
          <w:bCs/>
          <w:color w:val="1F3864"/>
          <w:sz w:val="19"/>
          <w:szCs w:val="19"/>
        </w:rPr>
        <w:t xml:space="preserve">[RT – RT – Management &amp; Compliance Standard]  </w:t>
      </w:r>
      <w:r>
        <w:rPr>
          <w:rFonts w:ascii="Arial" w:cs="Arial" w:eastAsia="Arial" w:hAnsi="Arial"/>
          <w:color w:val="2D2D2D"/>
          <w:sz w:val="19"/>
          <w:szCs w:val="19"/>
        </w:rPr>
        <w:t xml:space="preserve">Define minimum record retention periods by category: electrical equipment inspection records (minimum 5 years); incident investigation records (per classification and legislative requirements); explosives records (minimum 5 years or life of mine); environmental monitoring datasets (life of asset); training and competency records (employment period plus defined post-employment period).</w:t>
      </w:r>
    </w:p>
    <w:p>
      <w:pPr>
        <w:pStyle w:val="ListParagraph"/>
        <w:numPr>
          <w:ilvl w:val="0"/>
          <w:numId w:val="2"/>
        </w:numPr>
        <w:spacing w:after="40" w:before="40"/>
      </w:pPr>
      <w:r>
        <w:rPr>
          <w:rFonts w:ascii="Arial" w:cs="Arial" w:eastAsia="Arial" w:hAnsi="Arial"/>
          <w:b/>
          <w:bCs/>
          <w:color w:val="C55A11"/>
          <w:sz w:val="19"/>
          <w:szCs w:val="19"/>
        </w:rPr>
        <w:t xml:space="preserve">[IFC – IFC PS1 §22]  </w:t>
      </w:r>
      <w:r>
        <w:rPr>
          <w:rFonts w:ascii="Arial" w:cs="Arial" w:eastAsia="Arial" w:hAnsi="Arial"/>
          <w:color w:val="2D2D2D"/>
          <w:sz w:val="19"/>
          <w:szCs w:val="19"/>
        </w:rPr>
        <w:t xml:space="preserve">Retain monitoring data and management records for the life of the project, ensuring they are owned by the company, stored on authorised systems, and accessible for future regulatory or assurance purposes.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 secure records disposal process for records that have reached their retention expiry, and must document the disposal event including what was destroyed, the authority who approved disposal, and the date.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CRITICAL — Define the document numbering convention for this project. All 47 procedures need a project-specific document number in addition to the system reference number. Define the convention and insert the full Document Register (RTPR-HSE-REG-0002) before any documents are issued.</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approval authority matrix for this project: who can approve Tier 1 (Policies), Tier 2 (Plans), Tier 3 (Procedures), and Tier 4 (Registers) documents. Insert as a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which documents require submission to the project owner for approval vs which are internally approved. Check the project Deliverables Schedule.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Insert the project-specific Deliverables Schedule (RTPR-HSE-REG-0002) with all submission due dates confirmed against the project programme.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C-1 §45.0.5]  </w:t>
            </w:r>
            <w:r>
              <w:rPr>
                <w:rFonts w:ascii="Arial" w:cs="Arial" w:eastAsia="Arial" w:hAnsi="Arial"/>
                <w:color w:val="2D2D2D"/>
                <w:sz w:val="19"/>
                <w:szCs w:val="19"/>
              </w:rPr>
              <w:t xml:space="preserve">Require identification, review, and incorporation of external origin documents relevant to the project into the document control system. External origin documents include applicable legislation, regulatory guidance, permits, approvals, consent conditions, and Company standards and guidelines.</w:t>
            </w:r>
          </w:p>
          <w:p>
            <w:pPr>
              <w:pStyle w:val="ListParagraph"/>
              <w:numPr>
                <w:ilvl w:val="0"/>
                <w:numId w:val="2"/>
              </w:numPr>
              <w:spacing w:after="40" w:before="40"/>
            </w:pPr>
            <w:r>
              <w:rPr>
                <w:rFonts w:ascii="Arial" w:cs="Arial" w:eastAsia="Arial" w:hAnsi="Arial"/>
                <w:b/>
                <w:bCs/>
                <w:color w:val="375623"/>
                <w:sz w:val="19"/>
                <w:szCs w:val="19"/>
              </w:rPr>
              <w:t xml:space="preserve">[APPC – Appendix C, C-1 §45.0.7]  </w:t>
            </w:r>
            <w:r>
              <w:rPr>
                <w:rFonts w:ascii="Arial" w:cs="Arial" w:eastAsia="Arial" w:hAnsi="Arial"/>
                <w:color w:val="2D2D2D"/>
                <w:sz w:val="19"/>
                <w:szCs w:val="19"/>
              </w:rPr>
              <w:t xml:space="preserve">Require a defined process for the timely removal and archiving of obsolete documents from all points of issue and use. Obsolete documents must be clearly identified as such if retained for reference, and removed from all active distribution systems.</w:t>
            </w:r>
          </w:p>
          <w:p>
            <w:pPr>
              <w:pStyle w:val="ListParagraph"/>
              <w:numPr>
                <w:ilvl w:val="0"/>
                <w:numId w:val="2"/>
              </w:numPr>
              <w:spacing w:after="40" w:before="40"/>
            </w:pPr>
            <w:r>
              <w:rPr>
                <w:rFonts w:ascii="Arial" w:cs="Arial" w:eastAsia="Arial" w:hAnsi="Arial"/>
                <w:b/>
                <w:bCs/>
                <w:color w:val="375623"/>
                <w:sz w:val="19"/>
                <w:szCs w:val="19"/>
              </w:rPr>
              <w:t xml:space="preserve">[APPC – Appendix C, C-1 §22.4.1]  </w:t>
            </w:r>
            <w:r>
              <w:rPr>
                <w:rFonts w:ascii="Arial" w:cs="Arial" w:eastAsia="Arial" w:hAnsi="Arial"/>
                <w:color w:val="2D2D2D"/>
                <w:sz w:val="19"/>
                <w:szCs w:val="19"/>
              </w:rPr>
              <w:t xml:space="preserve">Require preparation of an HSESC Contract Deliverables Schedule tracking all required HSESC submissions, aligned with the requirements of Appendix C-9 and the project programme. The schedule must record due dates, responsible persons, and submission and approval status, and must be updated continuously throughout the project.</w:t>
            </w:r>
          </w:p>
          <w:p>
            <w:r>
              <w:rPr>
                <w:rFonts w:ascii="Arial" w:cs="Arial" w:eastAsia="Arial" w:hAnsi="Arial"/>
                <w:color w:val="3C2A00"/>
                <w:sz w:val="17"/>
                <w:szCs w:val="17"/>
              </w:rPr>
              <w:t xml:space="preserve">Confirm any project-specific record retention requirements that exceed the minimum periods set in this procedure — some project jurisdictions have longer legislative retention requirements.</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Communication and Consultation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09 – Communication &amp; Consultation</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RTPR-HSE-PRO-0011</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Communication channel definitions and minimum frequencies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Pre-start meeting minimum content and Pre-Start Board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Toolbox meeting minimum content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HSESC Notice Board mandatory content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Employee involvement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Issue resolution flowchart</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RTPR-HSE-PRO-0003 – Org Resources (HSESCLT and committee as communication channels)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(JHAs communicated at pre-start)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(permits referenced at pre-start)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(induction as communication mechanism)</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RTPR-HSE-PRO-0007 – Improvement Planning (corrective actions communicated via toolbox)</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RTPR-HSE-PRO-0003 references RTPR-HSE-PRO-0011 for HSESCLT meeting requirements</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RTPR-HSE-PRO-0007 references RTPR-HSE-PRO-0011 for lessons learned communication channels</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how HSESC information is communicated internally across the project, how workforce consultation is structured, and how HSESC issues are raised and resolved — across all project participants including RT project staff and all contractor organisations. It does not address external community consultation, which is covered in the Communities, Social Performance and Human Rights related procedures.</w:t>
      </w:r>
    </w:p>
    <w:p>
      <w:pPr>
        <w:pStyle w:val="Heading2"/>
        <w:spacing w:after="60" w:before="240"/>
      </w:pPr>
      <w:r>
        <w:rPr>
          <w:rFonts w:ascii="Arial" w:cs="Arial" w:eastAsia="Arial" w:hAnsi="Arial"/>
          <w:b/>
          <w:bCs/>
          <w:color w:val="2E75B6"/>
          <w:sz w:val="22"/>
          <w:szCs w:val="22"/>
        </w:rPr>
        <w:t xml:space="preserve">Internal Communication Channels</w:t>
      </w:r>
    </w:p>
    <w:p>
      <w:pPr>
        <w:pStyle w:val="ListParagraph"/>
        <w:numPr>
          <w:ilvl w:val="0"/>
          <w:numId w:val="2"/>
        </w:numPr>
        <w:spacing w:after="40" w:before="40"/>
      </w:pPr>
      <w:r>
        <w:rPr>
          <w:rFonts w:ascii="Arial" w:cs="Arial" w:eastAsia="Arial" w:hAnsi="Arial"/>
          <w:b/>
          <w:bCs/>
          <w:color w:val="375623"/>
          <w:sz w:val="19"/>
          <w:szCs w:val="19"/>
        </w:rPr>
        <w:t xml:space="preserve">[APPC – Appendix C, C-1 §38]  </w:t>
      </w:r>
      <w:r>
        <w:rPr>
          <w:rFonts w:ascii="Arial" w:cs="Arial" w:eastAsia="Arial" w:hAnsi="Arial"/>
          <w:color w:val="2D2D2D"/>
          <w:sz w:val="19"/>
          <w:szCs w:val="19"/>
        </w:rPr>
        <w:t xml:space="preserve">Define all project HSESC communication channels and their minimum frequency: pre-start meetings (every shift); toolbox meetings (regular basis); HSESCLT meetings (monthly); HSESC committee meetings (regular planned intervals); notice boards (continuously updated); and HSESC alerts and bulletins.</w:t>
      </w:r>
    </w:p>
    <w:p>
      <w:pPr>
        <w:pStyle w:val="ListParagraph"/>
        <w:numPr>
          <w:ilvl w:val="0"/>
          <w:numId w:val="2"/>
        </w:numPr>
        <w:spacing w:after="40" w:before="40"/>
      </w:pPr>
      <w:r>
        <w:rPr>
          <w:rFonts w:ascii="Arial" w:cs="Arial" w:eastAsia="Arial" w:hAnsi="Arial"/>
          <w:b/>
          <w:bCs/>
          <w:color w:val="375623"/>
          <w:sz w:val="19"/>
          <w:szCs w:val="19"/>
        </w:rPr>
        <w:t xml:space="preserve">[APPC – Appendix C, C-1 §38]  </w:t>
      </w:r>
      <w:r>
        <w:rPr>
          <w:rFonts w:ascii="Arial" w:cs="Arial" w:eastAsia="Arial" w:hAnsi="Arial"/>
          <w:color w:val="2D2D2D"/>
          <w:sz w:val="19"/>
          <w:szCs w:val="19"/>
        </w:rPr>
        <w:t xml:space="preserve">Define the process for disseminating Company-issued HSESC incident notifications (orange and red alerts) and lessons learned across all contractor organisations on the project within defined timeframes.</w:t>
      </w:r>
    </w:p>
    <w:p>
      <w:pPr>
        <w:pStyle w:val="ListParagraph"/>
        <w:numPr>
          <w:ilvl w:val="0"/>
          <w:numId w:val="2"/>
        </w:numPr>
        <w:spacing w:after="40" w:before="40"/>
      </w:pPr>
      <w:r>
        <w:rPr>
          <w:rFonts w:ascii="Arial" w:cs="Arial" w:eastAsia="Arial" w:hAnsi="Arial"/>
          <w:b/>
          <w:bCs/>
          <w:color w:val="C55A11"/>
          <w:sz w:val="19"/>
          <w:szCs w:val="19"/>
        </w:rPr>
        <w:t xml:space="preserve">[IFC – IFC PS2 GN§80]  </w:t>
      </w:r>
      <w:r>
        <w:rPr>
          <w:rFonts w:ascii="Arial" w:cs="Arial" w:eastAsia="Arial" w:hAnsi="Arial"/>
          <w:color w:val="2D2D2D"/>
          <w:sz w:val="19"/>
          <w:szCs w:val="19"/>
        </w:rPr>
        <w:t xml:space="preserve">Ensure communication accounts for language and literacy barriers — providing translated or visual materials, interpreters, or localised formats where required.</w:t>
      </w:r>
    </w:p>
    <w:p>
      <w:pPr>
        <w:pStyle w:val="Heading2"/>
        <w:spacing w:after="60" w:before="240"/>
      </w:pPr>
      <w:r>
        <w:rPr>
          <w:rFonts w:ascii="Arial" w:cs="Arial" w:eastAsia="Arial" w:hAnsi="Arial"/>
          <w:b/>
          <w:bCs/>
          <w:color w:val="2E75B6"/>
          <w:sz w:val="22"/>
          <w:szCs w:val="22"/>
        </w:rPr>
        <w:t xml:space="preserve">Pre-Start Meetings</w:t>
      </w:r>
    </w:p>
    <w:p>
      <w:pPr>
        <w:pStyle w:val="ListParagraph"/>
        <w:numPr>
          <w:ilvl w:val="0"/>
          <w:numId w:val="2"/>
        </w:numPr>
        <w:spacing w:after="40" w:before="40"/>
      </w:pPr>
      <w:r>
        <w:rPr>
          <w:rFonts w:ascii="Arial" w:cs="Arial" w:eastAsia="Arial" w:hAnsi="Arial"/>
          <w:b/>
          <w:bCs/>
          <w:color w:val="375623"/>
          <w:sz w:val="19"/>
          <w:szCs w:val="19"/>
        </w:rPr>
        <w:t xml:space="preserve">[APPC – Appendix C, C-1 §38.2]  </w:t>
      </w:r>
      <w:r>
        <w:rPr>
          <w:rFonts w:ascii="Arial" w:cs="Arial" w:eastAsia="Arial" w:hAnsi="Arial"/>
          <w:color w:val="2D2D2D"/>
          <w:sz w:val="19"/>
          <w:szCs w:val="19"/>
        </w:rPr>
        <w:t xml:space="preserve">Require a pre-start meeting at the commencement of every shift, facilitated by the responsible supervisor for each discipline/work group, covering: status of handed-over works and residual risks; internal/external safety notices; outline of work task requirements; HSE matters; approved JHAs and work methods; and interfaces with other contractors or community. Require meetings to be conducted at the physical work location.</w:t>
      </w:r>
    </w:p>
    <w:p>
      <w:pPr>
        <w:pStyle w:val="ListParagraph"/>
        <w:numPr>
          <w:ilvl w:val="0"/>
          <w:numId w:val="2"/>
        </w:numPr>
        <w:spacing w:after="40" w:before="40"/>
      </w:pPr>
      <w:r>
        <w:rPr>
          <w:rFonts w:ascii="Arial" w:cs="Arial" w:eastAsia="Arial" w:hAnsi="Arial"/>
          <w:b/>
          <w:bCs/>
          <w:color w:val="375623"/>
          <w:sz w:val="19"/>
          <w:szCs w:val="19"/>
        </w:rPr>
        <w:t xml:space="preserve">[APPC – Appendix C, C-1 §30.1]  </w:t>
      </w:r>
      <w:r>
        <w:rPr>
          <w:rFonts w:ascii="Arial" w:cs="Arial" w:eastAsia="Arial" w:hAnsi="Arial"/>
          <w:color w:val="2D2D2D"/>
          <w:sz w:val="19"/>
          <w:szCs w:val="19"/>
        </w:rPr>
        <w:t xml:space="preserve">Confirm that no new task commences without a pre-start meeting. Require use of the project Pre-Start Board or equivalent structured format. Require that language and literacy barriers are addressed.</w:t>
      </w:r>
    </w:p>
    <w:p>
      <w:pPr>
        <w:pStyle w:val="ListParagraph"/>
        <w:numPr>
          <w:ilvl w:val="0"/>
          <w:numId w:val="2"/>
        </w:numPr>
        <w:spacing w:after="40" w:before="40"/>
      </w:pPr>
      <w:r>
        <w:rPr>
          <w:rFonts w:ascii="Arial" w:cs="Arial" w:eastAsia="Arial" w:hAnsi="Arial"/>
          <w:b/>
          <w:bCs/>
          <w:color w:val="BF9000"/>
          <w:sz w:val="19"/>
          <w:szCs w:val="19"/>
        </w:rPr>
        <w:t xml:space="preserve">[OSHA – OSHA RP 2016 – Worker Participation]  </w:t>
      </w:r>
      <w:r>
        <w:rPr>
          <w:rFonts w:ascii="Arial" w:cs="Arial" w:eastAsia="Arial" w:hAnsi="Arial"/>
          <w:color w:val="2D2D2D"/>
          <w:sz w:val="19"/>
          <w:szCs w:val="19"/>
        </w:rPr>
        <w:t xml:space="preserve">Ensure pre-start meetings are genuinely participatory — not one-way briefings — allowing workers to raise concerns, ask questions, and suggest improvements before work commences.</w:t>
      </w:r>
    </w:p>
    <w:p>
      <w:pPr>
        <w:pStyle w:val="Heading2"/>
        <w:spacing w:after="60" w:before="240"/>
      </w:pPr>
      <w:r>
        <w:rPr>
          <w:rFonts w:ascii="Arial" w:cs="Arial" w:eastAsia="Arial" w:hAnsi="Arial"/>
          <w:b/>
          <w:bCs/>
          <w:color w:val="2E75B6"/>
          <w:sz w:val="22"/>
          <w:szCs w:val="22"/>
        </w:rPr>
        <w:t xml:space="preserve">Toolbox Meetings</w:t>
      </w:r>
    </w:p>
    <w:p>
      <w:pPr>
        <w:pStyle w:val="ListParagraph"/>
        <w:numPr>
          <w:ilvl w:val="0"/>
          <w:numId w:val="2"/>
        </w:numPr>
        <w:spacing w:after="40" w:before="40"/>
      </w:pPr>
      <w:r>
        <w:rPr>
          <w:rFonts w:ascii="Arial" w:cs="Arial" w:eastAsia="Arial" w:hAnsi="Arial"/>
          <w:b/>
          <w:bCs/>
          <w:color w:val="375623"/>
          <w:sz w:val="19"/>
          <w:szCs w:val="19"/>
        </w:rPr>
        <w:t xml:space="preserve">[APPC – Appendix C, C-1 §38.3]  </w:t>
      </w:r>
      <w:r>
        <w:rPr>
          <w:rFonts w:ascii="Arial" w:cs="Arial" w:eastAsia="Arial" w:hAnsi="Arial"/>
          <w:color w:val="2D2D2D"/>
          <w:sz w:val="19"/>
          <w:szCs w:val="19"/>
        </w:rPr>
        <w:t xml:space="preserve">Require regular toolbox meetings between personnel and their supervisors covering: hazards identified from inspections or observations; SWA outcomes and investigation findings; environmental hazards; and recognition and reward. Define minimum content and frequency requirements.</w:t>
      </w:r>
    </w:p>
    <w:p>
      <w:pPr>
        <w:pStyle w:val="Heading2"/>
        <w:spacing w:after="60" w:before="240"/>
      </w:pPr>
      <w:r>
        <w:rPr>
          <w:rFonts w:ascii="Arial" w:cs="Arial" w:eastAsia="Arial" w:hAnsi="Arial"/>
          <w:b/>
          <w:bCs/>
          <w:color w:val="2E75B6"/>
          <w:sz w:val="22"/>
          <w:szCs w:val="22"/>
        </w:rPr>
        <w:t xml:space="preserve">HSESC Notice Boards</w:t>
      </w:r>
    </w:p>
    <w:p>
      <w:pPr>
        <w:pStyle w:val="ListParagraph"/>
        <w:numPr>
          <w:ilvl w:val="0"/>
          <w:numId w:val="2"/>
        </w:numPr>
        <w:spacing w:after="40" w:before="40"/>
      </w:pPr>
      <w:r>
        <w:rPr>
          <w:rFonts w:ascii="Arial" w:cs="Arial" w:eastAsia="Arial" w:hAnsi="Arial"/>
          <w:b/>
          <w:bCs/>
          <w:color w:val="375623"/>
          <w:sz w:val="19"/>
          <w:szCs w:val="19"/>
        </w:rPr>
        <w:t xml:space="preserve">[APPC – Appendix C, C-1 §38.6]  </w:t>
      </w:r>
      <w:r>
        <w:rPr>
          <w:rFonts w:ascii="Arial" w:cs="Arial" w:eastAsia="Arial" w:hAnsi="Arial"/>
          <w:color w:val="2D2D2D"/>
          <w:sz w:val="19"/>
          <w:szCs w:val="19"/>
        </w:rPr>
        <w:t xml:space="preserve">Require designated HSESC notice boards at prominent positions on all sites, displaying: current HSESC performance metrics; active alerts and notices; SWA process (prominently displayed); and workforce recognition highlights.</w:t>
      </w:r>
    </w:p>
    <w:p>
      <w:pPr>
        <w:pStyle w:val="Heading2"/>
        <w:spacing w:after="60" w:before="240"/>
      </w:pPr>
      <w:r>
        <w:rPr>
          <w:rFonts w:ascii="Arial" w:cs="Arial" w:eastAsia="Arial" w:hAnsi="Arial"/>
          <w:b/>
          <w:bCs/>
          <w:color w:val="2E75B6"/>
          <w:sz w:val="22"/>
          <w:szCs w:val="22"/>
        </w:rPr>
        <w:t xml:space="preserve">Employee Involvement</w:t>
      </w:r>
    </w:p>
    <w:p>
      <w:pPr>
        <w:pStyle w:val="ListParagraph"/>
        <w:numPr>
          <w:ilvl w:val="0"/>
          <w:numId w:val="2"/>
        </w:numPr>
        <w:spacing w:after="40" w:before="40"/>
      </w:pPr>
      <w:r>
        <w:rPr>
          <w:rFonts w:ascii="Arial" w:cs="Arial" w:eastAsia="Arial" w:hAnsi="Arial"/>
          <w:b/>
          <w:bCs/>
          <w:color w:val="375623"/>
          <w:sz w:val="19"/>
          <w:szCs w:val="19"/>
        </w:rPr>
        <w:t xml:space="preserve">[APPC – Appendix C, C-1 §38.1]  </w:t>
      </w:r>
      <w:r>
        <w:rPr>
          <w:rFonts w:ascii="Arial" w:cs="Arial" w:eastAsia="Arial" w:hAnsi="Arial"/>
          <w:color w:val="2D2D2D"/>
          <w:sz w:val="19"/>
          <w:szCs w:val="19"/>
        </w:rPr>
        <w:t xml:space="preserve">Require workforce involvement in: constructability reviews; HAZID/Level 2 risk workshops; health risk assessments; hazard register development; HSESC training delivery; incident investigations; and CRM and SMM programme activities.</w:t>
      </w:r>
    </w:p>
    <w:p>
      <w:pPr>
        <w:pStyle w:val="ListParagraph"/>
        <w:numPr>
          <w:ilvl w:val="0"/>
          <w:numId w:val="2"/>
        </w:numPr>
        <w:spacing w:after="40" w:before="40"/>
      </w:pPr>
      <w:r>
        <w:rPr>
          <w:rFonts w:ascii="Arial" w:cs="Arial" w:eastAsia="Arial" w:hAnsi="Arial"/>
          <w:b/>
          <w:bCs/>
          <w:color w:val="C55A11"/>
          <w:sz w:val="19"/>
          <w:szCs w:val="19"/>
        </w:rPr>
        <w:t xml:space="preserve">[IFC – IFC PS2 §36]  </w:t>
      </w:r>
      <w:r>
        <w:rPr>
          <w:rFonts w:ascii="Arial" w:cs="Arial" w:eastAsia="Arial" w:hAnsi="Arial"/>
          <w:color w:val="2D2D2D"/>
          <w:sz w:val="19"/>
          <w:szCs w:val="19"/>
        </w:rPr>
        <w:t xml:space="preserve">Provide workers with a mechanism to raise concerns about occupational health and safety conditions — including anonymous mechanisms where culturally appropriate — and ensure they face no adverse consequences for doing so.</w:t>
      </w:r>
    </w:p>
    <w:p>
      <w:pPr>
        <w:pStyle w:val="ListParagraph"/>
        <w:numPr>
          <w:ilvl w:val="0"/>
          <w:numId w:val="2"/>
        </w:numPr>
        <w:spacing w:after="40" w:before="40"/>
      </w:pPr>
      <w:r>
        <w:rPr>
          <w:rFonts w:ascii="Arial" w:cs="Arial" w:eastAsia="Arial" w:hAnsi="Arial"/>
          <w:b/>
          <w:bCs/>
          <w:color w:val="2F5496"/>
          <w:sz w:val="19"/>
          <w:szCs w:val="19"/>
        </w:rPr>
        <w:t xml:space="preserve">[TSM – TSM – Safe, Healthy and Respectful Workplaces Protocol, Indicator SH4]  </w:t>
      </w:r>
      <w:r>
        <w:rPr>
          <w:rFonts w:ascii="Arial" w:cs="Arial" w:eastAsia="Arial" w:hAnsi="Arial"/>
          <w:color w:val="2D2D2D"/>
          <w:sz w:val="19"/>
          <w:szCs w:val="19"/>
        </w:rPr>
        <w:t xml:space="preserve">Foster a culture of safety through ongoing awareness activities and by ensuring workers at all levels understand their rights and responsibilities under the project HSESC management system.</w:t>
      </w:r>
    </w:p>
    <w:p>
      <w:pPr>
        <w:pStyle w:val="Heading2"/>
        <w:spacing w:after="60" w:before="240"/>
      </w:pPr>
      <w:r>
        <w:rPr>
          <w:rFonts w:ascii="Arial" w:cs="Arial" w:eastAsia="Arial" w:hAnsi="Arial"/>
          <w:b/>
          <w:bCs/>
          <w:color w:val="2E75B6"/>
          <w:sz w:val="22"/>
          <w:szCs w:val="22"/>
        </w:rPr>
        <w:t xml:space="preserve">Issue Resolution</w:t>
      </w:r>
    </w:p>
    <w:p>
      <w:pPr>
        <w:pStyle w:val="ListParagraph"/>
        <w:numPr>
          <w:ilvl w:val="0"/>
          <w:numId w:val="2"/>
        </w:numPr>
        <w:spacing w:after="40" w:before="40"/>
      </w:pPr>
      <w:r>
        <w:rPr>
          <w:rFonts w:ascii="Arial" w:cs="Arial" w:eastAsia="Arial" w:hAnsi="Arial"/>
          <w:b/>
          <w:bCs/>
          <w:color w:val="375623"/>
          <w:sz w:val="19"/>
          <w:szCs w:val="19"/>
        </w:rPr>
        <w:t xml:space="preserve">[APPC – Appendix C, C-1 §38.8]  </w:t>
      </w:r>
      <w:r>
        <w:rPr>
          <w:rFonts w:ascii="Arial" w:cs="Arial" w:eastAsia="Arial" w:hAnsi="Arial"/>
          <w:color w:val="2D2D2D"/>
          <w:sz w:val="19"/>
          <w:szCs w:val="19"/>
        </w:rPr>
        <w:t xml:space="preserve">Define an HSESC issue resolution process with a clear escalation pathway: initial reporting; consultation involving HSESC representatives; escalation thresholds and timelines; and closeout documentation. Ensure the process is transparent and accessible to all personnel.</w:t>
      </w:r>
    </w:p>
    <w:p>
      <w:pPr>
        <w:pStyle w:val="ListParagraph"/>
        <w:numPr>
          <w:ilvl w:val="0"/>
          <w:numId w:val="2"/>
        </w:numPr>
        <w:spacing w:after="40" w:before="40"/>
      </w:pPr>
      <w:r>
        <w:rPr>
          <w:rFonts w:ascii="Arial" w:cs="Arial" w:eastAsia="Arial" w:hAnsi="Arial"/>
          <w:b/>
          <w:bCs/>
          <w:color w:val="C55A11"/>
          <w:sz w:val="19"/>
          <w:szCs w:val="19"/>
        </w:rPr>
        <w:t xml:space="preserve">[IFC – IFC PS2 §36]  </w:t>
      </w:r>
      <w:r>
        <w:rPr>
          <w:rFonts w:ascii="Arial" w:cs="Arial" w:eastAsia="Arial" w:hAnsi="Arial"/>
          <w:color w:val="2D2D2D"/>
          <w:sz w:val="19"/>
          <w:szCs w:val="19"/>
        </w:rPr>
        <w:t xml:space="preserve">Ensure workers have access to effective grievance mechanisms through which concerns about working conditions and HSESC matters can be raised and resolved without fear of retaliation.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Pre-Start Board format and confirm the approved board design for this project. The procedure requires a Pre-Start Board — the project must procure and install boards at all work locations before work commences.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Heading2Numbered_"/>
              <w:spacing w:after="40" w:before="200"/>
            </w:pPr>
            <w:r>
              <w:rPr>
                <w:rFonts w:ascii="Arial" w:cs="Arial" w:eastAsia="Arial" w:hAnsi="Arial"/>
                <w:b/>
                <w:sz w:val="20"/>
                <w:szCs w:val="20"/>
              </w:rPr>
              <w:t xml:space="preserve">PTW Status Display Requirements</w:t>
            </w:r>
          </w:p>
          <w:p>
            <w:pPr>
              <w:pStyle w:val="ListParagraph"/>
              <w:numPr>
                <w:ilvl w:val="0"/>
                <w:numId w:val="2"/>
              </w:numPr>
              <w:spacing w:after="40" w:before="40"/>
            </w:pPr>
            <w:r>
              <w:rPr>
                <w:rFonts w:ascii="Arial" w:cs="Arial" w:eastAsia="Arial" w:hAnsi="Arial"/>
                <w:b/>
                <w:bCs/>
                <w:color w:val="375623"/>
                <w:sz w:val="19"/>
                <w:szCs w:val="19"/>
              </w:rPr>
              <w:t xml:space="preserve">[APPC – Appendix C, C-1 §38.7.1]  </w:t>
            </w:r>
            <w:r>
              <w:rPr>
                <w:rFonts w:ascii="Arial" w:cs="Arial" w:eastAsia="Arial" w:hAnsi="Arial"/>
                <w:color w:val="2D2D2D"/>
                <w:sz w:val="19"/>
                <w:szCs w:val="19"/>
              </w:rPr>
              <w:t xml:space="preserve">Require a PTW status display system that clearly identifies all work areas where the PTW system applies and facilitates tracking and identification of work permits by location. The system must include a method to designate permits removed during an emergency shutdown.</w:t>
            </w:r>
          </w:p>
          <w:p>
            <w:pPr>
              <w:pStyle w:val="ListParagraph"/>
              <w:numPr>
                <w:ilvl w:val="0"/>
                <w:numId w:val="2"/>
              </w:numPr>
              <w:spacing w:after="40" w:before="40"/>
            </w:pPr>
            <w:r>
              <w:rPr>
                <w:rFonts w:ascii="Arial" w:cs="Arial" w:eastAsia="Arial" w:hAnsi="Arial"/>
                <w:b/>
                <w:bCs/>
                <w:color w:val="375623"/>
                <w:sz w:val="19"/>
                <w:szCs w:val="19"/>
              </w:rPr>
              <w:t xml:space="preserve">[APPC – Appendix C, C-1 §38.7.3]  </w:t>
            </w:r>
            <w:r>
              <w:rPr>
                <w:rFonts w:ascii="Arial" w:cs="Arial" w:eastAsia="Arial" w:hAnsi="Arial"/>
                <w:color w:val="2D2D2D"/>
                <w:sz w:val="19"/>
                <w:szCs w:val="19"/>
              </w:rPr>
              <w:t xml:space="preserve">Require that the PTW status system provides clear and immediate visibility of all active permits and their status. Physical boards, electronic systems, or other methods are acceptable, provided the status is immediately visible to all personnel in the work area.</w:t>
            </w:r>
          </w:p>
          <w:p>
            <w:pPr>
              <w:pStyle w:val="Heading2Numbered_"/>
              <w:spacing w:after="40" w:before="200"/>
            </w:pPr>
            <w:r>
              <w:rPr>
                <w:rFonts w:ascii="Arial" w:cs="Arial" w:eastAsia="Arial" w:hAnsi="Arial"/>
                <w:b/>
                <w:sz w:val="20"/>
                <w:szCs w:val="20"/>
              </w:rPr>
              <w:t xml:space="preserve">Issue Resolution</w:t>
            </w:r>
          </w:p>
          <w:p>
            <w:pPr>
              <w:pStyle w:val="ListParagraph"/>
              <w:numPr>
                <w:ilvl w:val="0"/>
                <w:numId w:val="2"/>
              </w:numPr>
              <w:spacing w:after="40" w:before="40"/>
            </w:pPr>
            <w:r>
              <w:rPr>
                <w:rFonts w:ascii="Arial" w:cs="Arial" w:eastAsia="Arial" w:hAnsi="Arial"/>
                <w:b/>
                <w:bCs/>
                <w:color w:val="375623"/>
                <w:sz w:val="19"/>
                <w:szCs w:val="19"/>
              </w:rPr>
              <w:t xml:space="preserve">[APPC – Appendix C, C-1 §38.8.1]  </w:t>
            </w:r>
            <w:r>
              <w:rPr>
                <w:rFonts w:ascii="Arial" w:cs="Arial" w:eastAsia="Arial" w:hAnsi="Arial"/>
                <w:color w:val="2D2D2D"/>
                <w:sz w:val="19"/>
                <w:szCs w:val="19"/>
              </w:rPr>
              <w:t xml:space="preserve">Require a documented HSESC issue resolution process incorporating an escalation pathway and maintaining a consultative approach. HSESC representatives must be consulted and actively involved in the resolution process, and the resolution process must be transparent and accessible to all personnel.</w:t>
            </w:r>
          </w:p>
          <w:p>
            <w:pPr>
              <w:pStyle w:val="ListParagraph"/>
              <w:numPr>
                <w:ilvl w:val="0"/>
                <w:numId w:val="2"/>
              </w:numPr>
              <w:spacing w:after="40" w:before="40"/>
            </w:pPr>
            <w:r>
              <w:rPr>
                <w:rFonts w:ascii="Arial" w:cs="Arial" w:eastAsia="Arial" w:hAnsi="Arial"/>
                <w:b/>
                <w:bCs/>
                <w:color w:val="375623"/>
                <w:sz w:val="19"/>
                <w:szCs w:val="19"/>
              </w:rPr>
              <w:t xml:space="preserve">[APPC – Appendix C, C-1 §38.8.3]  </w:t>
            </w:r>
            <w:r>
              <w:rPr>
                <w:rFonts w:ascii="Arial" w:cs="Arial" w:eastAsia="Arial" w:hAnsi="Arial"/>
                <w:color w:val="2D2D2D"/>
                <w:sz w:val="19"/>
                <w:szCs w:val="19"/>
              </w:rPr>
              <w:t xml:space="preserve">Require a flowchart illustrating the HSESC issue resolution process through four stages: initial reporting; consultation; escalation; and closeout.</w:t>
            </w:r>
          </w:p>
          <w:p>
            <w:r>
              <w:rPr>
                <w:rFonts w:ascii="Arial" w:cs="Arial" w:eastAsia="Arial" w:hAnsi="Arial"/>
                <w:color w:val="3C2A00"/>
                <w:sz w:val="17"/>
                <w:szCs w:val="17"/>
              </w:rPr>
              <w:t xml:space="preserve">Define the project toolbox meeting schedule (minimum frequency for each work group type) and the toolbox meeting record form.</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HSESC Notice Board locations for each work area on this project. The procedure requires prominent placement — insert a site map showing board locations or a list by area.</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issue resolution escalation flowchart specific to this project: who receives issues raised, what the resolution timeframe is at each level, and when the project owner is notified.</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language and literacy requirements for this project workforce. If non-English speaking workers are expected, define the interpreter/translation arrangements.</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Chemical and Hazardous Substances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RTPR-HSE-PRO-0012</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Hazardous Substances Register requirements (RTPR-HSE-REG-0014)</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SDS availability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Hazardous substance risk assessment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Special controls for carcinogens/mutagens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Storage and containment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PFAS prohibition and phase-out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(risk assessment framework)</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RTPR-HSE-PRO-0001 – Legal Requirements (dangerous goods legislation)</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RTPR-HSE-PRO-0027 – PPE (chemical-resistant PPE requirements)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(chemical spill incident reporting)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RTPR-HSE-PRO-0039 – Waste Control (chemical waste disposal)</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RTPR-HSE-PRO-0034 – Water Quality (spill prevention near waterways)</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RTPR-HSE-PRO-0039 references RTPR-HSE-PRO-0012 for hazardous material storage controls</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RTPR-HSE-PRO-0016 references RTPR-HSE-PRO-0012 for flammable substance controls near hot works</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applies to all chemicals and hazardous substances used, stored, or generated on the project site including dusts, fibres, mists, fumes, gases, vapours, dangerous goods, and regulated substances. It covers worker health protection, environmental spill prevention, and compliance with applicable dangerous goods legislation.</w:t>
      </w:r>
    </w:p>
    <w:p>
      <w:pPr>
        <w:pStyle w:val="Heading2"/>
        <w:spacing w:after="60" w:before="240"/>
      </w:pPr>
      <w:r>
        <w:rPr>
          <w:rFonts w:ascii="Arial" w:cs="Arial" w:eastAsia="Arial" w:hAnsi="Arial"/>
          <w:b/>
          <w:bCs/>
          <w:color w:val="2E75B6"/>
          <w:sz w:val="22"/>
          <w:szCs w:val="22"/>
        </w:rPr>
        <w:t xml:space="preserve">Hazardous Substances Register</w:t>
      </w:r>
    </w:p>
    <w:p>
      <w:pPr>
        <w:pStyle w:val="ListParagraph"/>
        <w:numPr>
          <w:ilvl w:val="0"/>
          <w:numId w:val="2"/>
        </w:numPr>
        <w:spacing w:after="40" w:before="40"/>
      </w:pPr>
      <w:r>
        <w:rPr>
          <w:rFonts w:ascii="Arial" w:cs="Arial" w:eastAsia="Arial" w:hAnsi="Arial"/>
          <w:b/>
          <w:bCs/>
          <w:color w:val="375623"/>
          <w:sz w:val="19"/>
          <w:szCs w:val="19"/>
        </w:rPr>
        <w:t xml:space="preserve">[APPC – Appendix C, C-2 §66]  </w:t>
      </w:r>
      <w:r>
        <w:rPr>
          <w:rFonts w:ascii="Arial" w:cs="Arial" w:eastAsia="Arial" w:hAnsi="Arial"/>
          <w:color w:val="2D2D2D"/>
          <w:sz w:val="19"/>
          <w:szCs w:val="19"/>
        </w:rPr>
        <w:t xml:space="preserve">Require a Hazardous Substances Register listing only approved substances for use on site, with minimum content: substance name; SDS reference; risk rating; approved uses; approved users; storage requirements; and disposal requirements. Require annual review.</w:t>
      </w:r>
    </w:p>
    <w:p>
      <w:pPr>
        <w:pStyle w:val="ListParagraph"/>
        <w:numPr>
          <w:ilvl w:val="0"/>
          <w:numId w:val="2"/>
        </w:numPr>
        <w:spacing w:after="40" w:before="40"/>
      </w:pPr>
      <w:r>
        <w:rPr>
          <w:rFonts w:ascii="Arial" w:cs="Arial" w:eastAsia="Arial" w:hAnsi="Arial"/>
          <w:b/>
          <w:bCs/>
          <w:color w:val="375623"/>
          <w:sz w:val="19"/>
          <w:szCs w:val="19"/>
        </w:rPr>
        <w:t xml:space="preserve">[APPC – Appendix C, C-2 §66]  </w:t>
      </w:r>
      <w:r>
        <w:rPr>
          <w:rFonts w:ascii="Arial" w:cs="Arial" w:eastAsia="Arial" w:hAnsi="Arial"/>
          <w:color w:val="2D2D2D"/>
          <w:sz w:val="19"/>
          <w:szCs w:val="19"/>
        </w:rPr>
        <w:t xml:space="preserve">Require a legally compliant Safety Data Sheet (SDS) to be available before delivery and use of any hazardous substance. Require SDSs (or an SDS database) to be readily accessible to all workers with potential exposure.</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§1.2]  </w:t>
      </w:r>
      <w:r>
        <w:rPr>
          <w:rFonts w:ascii="Arial" w:cs="Arial" w:eastAsia="Arial" w:hAnsi="Arial"/>
          <w:color w:val="2D2D2D"/>
          <w:sz w:val="19"/>
          <w:szCs w:val="19"/>
        </w:rPr>
        <w:t xml:space="preserve">Identify and document all hazardous materials used on site in a materials inventory that is available to workers, emergency responders, and regulators as required.</w:t>
      </w:r>
    </w:p>
    <w:p>
      <w:pPr>
        <w:pStyle w:val="Heading2"/>
        <w:spacing w:after="60" w:before="240"/>
      </w:pPr>
      <w:r>
        <w:rPr>
          <w:rFonts w:ascii="Arial" w:cs="Arial" w:eastAsia="Arial" w:hAnsi="Arial"/>
          <w:b/>
          <w:bCs/>
          <w:color w:val="2E75B6"/>
          <w:sz w:val="22"/>
          <w:szCs w:val="22"/>
        </w:rPr>
        <w:t xml:space="preserve">Risk Assessment and Controls</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General Requirements Standard]  </w:t>
      </w:r>
      <w:r>
        <w:rPr>
          <w:rFonts w:ascii="Arial" w:cs="Arial" w:eastAsia="Arial" w:hAnsi="Arial"/>
          <w:color w:val="2D2D2D"/>
          <w:sz w:val="19"/>
          <w:szCs w:val="19"/>
        </w:rPr>
        <w:t xml:space="preserve">Apply the mitigation hierarchy to hazardous substance risks: substitute safer alternatives; engineer out exposure through containment and ventilation; apply administrative controls; use PPE as a last resort.</w:t>
      </w:r>
    </w:p>
    <w:p>
      <w:pPr>
        <w:pStyle w:val="ListParagraph"/>
        <w:numPr>
          <w:ilvl w:val="0"/>
          <w:numId w:val="2"/>
        </w:numPr>
        <w:spacing w:after="40" w:before="40"/>
      </w:pPr>
      <w:r>
        <w:rPr>
          <w:rFonts w:ascii="Arial" w:cs="Arial" w:eastAsia="Arial" w:hAnsi="Arial"/>
          <w:b/>
          <w:bCs/>
          <w:color w:val="375623"/>
          <w:sz w:val="19"/>
          <w:szCs w:val="19"/>
        </w:rPr>
        <w:t xml:space="preserve">[APPC – Appendix C, C-2 §66]  </w:t>
      </w:r>
      <w:r>
        <w:rPr>
          <w:rFonts w:ascii="Arial" w:cs="Arial" w:eastAsia="Arial" w:hAnsi="Arial"/>
          <w:color w:val="2D2D2D"/>
          <w:sz w:val="19"/>
          <w:szCs w:val="19"/>
        </w:rPr>
        <w:t xml:space="preserve">Define special controls for agents known or suspected to cause cancer, genetic DNA mutations, or reproductive harm, with action plans reviewed at least annually.</w:t>
      </w:r>
    </w:p>
    <w:p>
      <w:pPr>
        <w:pStyle w:val="ListParagraph"/>
        <w:numPr>
          <w:ilvl w:val="0"/>
          <w:numId w:val="2"/>
        </w:numPr>
        <w:spacing w:after="40" w:before="40"/>
      </w:pPr>
      <w:r>
        <w:rPr>
          <w:rFonts w:ascii="Arial" w:cs="Arial" w:eastAsia="Arial" w:hAnsi="Arial"/>
          <w:b/>
          <w:bCs/>
          <w:color w:val="375623"/>
          <w:sz w:val="19"/>
          <w:szCs w:val="19"/>
        </w:rPr>
        <w:t xml:space="preserve">[APPC – Appendix C, C-2 §66]  </w:t>
      </w:r>
      <w:r>
        <w:rPr>
          <w:rFonts w:ascii="Arial" w:cs="Arial" w:eastAsia="Arial" w:hAnsi="Arial"/>
          <w:color w:val="2D2D2D"/>
          <w:sz w:val="19"/>
          <w:szCs w:val="19"/>
        </w:rPr>
        <w:t xml:space="preserve">Require a process to assess and implement safer alternatives to hazardous substances and to reduce both the number and volume of hazardous substances to the minimum necessary.</w:t>
      </w:r>
    </w:p>
    <w:p>
      <w:pPr>
        <w:pStyle w:val="ListParagraph"/>
        <w:numPr>
          <w:ilvl w:val="0"/>
          <w:numId w:val="2"/>
        </w:numPr>
        <w:spacing w:after="40" w:before="40"/>
      </w:pPr>
      <w:r>
        <w:rPr>
          <w:rFonts w:ascii="Arial" w:cs="Arial" w:eastAsia="Arial" w:hAnsi="Arial"/>
          <w:b/>
          <w:bCs/>
          <w:color w:val="C55A11"/>
          <w:sz w:val="19"/>
          <w:szCs w:val="19"/>
        </w:rPr>
        <w:t xml:space="preserve">[IFC – IFC PS3 §4 and EHS Guidelines §1.2]  </w:t>
      </w:r>
      <w:r>
        <w:rPr>
          <w:rFonts w:ascii="Arial" w:cs="Arial" w:eastAsia="Arial" w:hAnsi="Arial"/>
          <w:color w:val="2D2D2D"/>
          <w:sz w:val="19"/>
          <w:szCs w:val="19"/>
        </w:rPr>
        <w:t xml:space="preserve">Manage hazardous materials to avoid releases to the environment and to protect worker health, using engineering controls as the primary means of managing occupational exposure.</w:t>
      </w:r>
    </w:p>
    <w:p>
      <w:pPr>
        <w:pStyle w:val="Heading2"/>
        <w:spacing w:after="60" w:before="240"/>
      </w:pPr>
      <w:r>
        <w:rPr>
          <w:rFonts w:ascii="Arial" w:cs="Arial" w:eastAsia="Arial" w:hAnsi="Arial"/>
          <w:b/>
          <w:bCs/>
          <w:color w:val="2E75B6"/>
          <w:sz w:val="22"/>
          <w:szCs w:val="22"/>
        </w:rPr>
        <w:t xml:space="preserve">Storage and Containment</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Materials &amp; Waste Standard]  </w:t>
      </w:r>
      <w:r>
        <w:rPr>
          <w:rFonts w:ascii="Arial" w:cs="Arial" w:eastAsia="Arial" w:hAnsi="Arial"/>
          <w:color w:val="2D2D2D"/>
          <w:sz w:val="19"/>
          <w:szCs w:val="19"/>
        </w:rPr>
        <w:t xml:space="preserve">Define storage and containment requirements including bunding, labelling, segregation of incompatible materials, and ventilation. Require physical separation of fuels, acids, organic materials, and incompatible substances.</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Materials &amp; Waste Standard]  </w:t>
      </w:r>
      <w:r>
        <w:rPr>
          <w:rFonts w:ascii="Arial" w:cs="Arial" w:eastAsia="Arial" w:hAnsi="Arial"/>
          <w:color w:val="2D2D2D"/>
          <w:sz w:val="19"/>
          <w:szCs w:val="19"/>
        </w:rPr>
        <w:t xml:space="preserve">Prohibit the underground installation of new tanks and pipelines for hazardous or high-risk materials.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§1.5]  </w:t>
      </w:r>
      <w:r>
        <w:rPr>
          <w:rFonts w:ascii="Arial" w:cs="Arial" w:eastAsia="Arial" w:hAnsi="Arial"/>
          <w:color w:val="2D2D2D"/>
          <w:sz w:val="19"/>
          <w:szCs w:val="19"/>
        </w:rPr>
        <w:t xml:space="preserve">Design storage facilities with secondary containment sized to hold 110% of the largest single container or 25% of total stored volume, whichever is greater.</w:t>
      </w:r>
    </w:p>
    <w:p>
      <w:pPr>
        <w:pStyle w:val="Heading2"/>
        <w:spacing w:after="60" w:before="240"/>
      </w:pPr>
      <w:r>
        <w:rPr>
          <w:rFonts w:ascii="Arial" w:cs="Arial" w:eastAsia="Arial" w:hAnsi="Arial"/>
          <w:b/>
          <w:bCs/>
          <w:color w:val="2E75B6"/>
          <w:sz w:val="22"/>
          <w:szCs w:val="22"/>
        </w:rPr>
        <w:t xml:space="preserve">Spill Prevention and Response</w:t>
      </w:r>
    </w:p>
    <w:p>
      <w:pPr>
        <w:pStyle w:val="ListParagraph"/>
        <w:numPr>
          <w:ilvl w:val="0"/>
          <w:numId w:val="2"/>
        </w:numPr>
        <w:spacing w:after="40" w:before="40"/>
      </w:pPr>
      <w:r>
        <w:rPr>
          <w:rFonts w:ascii="Arial" w:cs="Arial" w:eastAsia="Arial" w:hAnsi="Arial"/>
          <w:b/>
          <w:bCs/>
          <w:color w:val="375623"/>
          <w:sz w:val="19"/>
          <w:szCs w:val="19"/>
        </w:rPr>
        <w:t xml:space="preserve">[APPC – Appendix C, C-4 §92.5.6]  </w:t>
      </w:r>
      <w:r>
        <w:rPr>
          <w:rFonts w:ascii="Arial" w:cs="Arial" w:eastAsia="Arial" w:hAnsi="Arial"/>
          <w:color w:val="2D2D2D"/>
          <w:sz w:val="19"/>
          <w:szCs w:val="19"/>
        </w:rPr>
        <w:t xml:space="preserve">Require spill prevention controls (secondary containment, regular inspection of bunding integrity, emergency shutoffs) and define the spill response process by spill size and substance type including environmental notification thresholds.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§1.2 and §3.7]  </w:t>
      </w:r>
      <w:r>
        <w:rPr>
          <w:rFonts w:ascii="Arial" w:cs="Arial" w:eastAsia="Arial" w:hAnsi="Arial"/>
          <w:color w:val="2D2D2D"/>
          <w:sz w:val="19"/>
          <w:szCs w:val="19"/>
        </w:rPr>
        <w:t xml:space="preserve">Develop and test spill response procedures as part of the site emergency preparedness plan, ensuring response equipment is available and personnel are trained.</w:t>
      </w:r>
    </w:p>
    <w:p>
      <w:pPr>
        <w:pStyle w:val="Heading2"/>
        <w:spacing w:after="60" w:before="240"/>
      </w:pPr>
      <w:r>
        <w:rPr>
          <w:rFonts w:ascii="Arial" w:cs="Arial" w:eastAsia="Arial" w:hAnsi="Arial"/>
          <w:b/>
          <w:bCs/>
          <w:color w:val="2E75B6"/>
          <w:sz w:val="22"/>
          <w:szCs w:val="22"/>
        </w:rPr>
        <w:t xml:space="preserve">Firefighting Foams</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Materials &amp; Waste Standard]  </w:t>
      </w:r>
      <w:r>
        <w:rPr>
          <w:rFonts w:ascii="Arial" w:cs="Arial" w:eastAsia="Arial" w:hAnsi="Arial"/>
          <w:color w:val="2D2D2D"/>
          <w:sz w:val="19"/>
          <w:szCs w:val="19"/>
        </w:rPr>
        <w:t xml:space="preserve">Require fluorine-free firefighting foams to be purchased and used on site. Where legacy PFAS-containing systems are temporarily retained (due to emergency response requirements or limited disposal options), require documented justification, controls to prevent release, and a defined phase-out plan.</w:t>
      </w:r>
    </w:p>
    <w:p>
      <w:pPr>
        <w:pStyle w:val="Heading2"/>
        <w:spacing w:after="60" w:before="240"/>
      </w:pPr>
      <w:r>
        <w:rPr>
          <w:rFonts w:ascii="Arial" w:cs="Arial" w:eastAsia="Arial" w:hAnsi="Arial"/>
          <w:b/>
          <w:bCs/>
          <w:color w:val="2E75B6"/>
          <w:sz w:val="22"/>
          <w:szCs w:val="22"/>
        </w:rPr>
        <w:t xml:space="preserve">Sewerage and Wastewater</w:t>
      </w:r>
    </w:p>
    <w:p>
      <w:pPr>
        <w:pStyle w:val="ListParagraph"/>
        <w:numPr>
          <w:ilvl w:val="0"/>
          <w:numId w:val="2"/>
        </w:numPr>
        <w:spacing w:after="40" w:before="40"/>
      </w:pPr>
      <w:r>
        <w:rPr>
          <w:rFonts w:ascii="Arial" w:cs="Arial" w:eastAsia="Arial" w:hAnsi="Arial"/>
          <w:b/>
          <w:bCs/>
          <w:color w:val="375623"/>
          <w:sz w:val="19"/>
          <w:szCs w:val="19"/>
        </w:rPr>
        <w:t xml:space="preserve">[APPC – Appendix C, C-4 §92.5.5]  </w:t>
      </w:r>
      <w:r>
        <w:rPr>
          <w:rFonts w:ascii="Arial" w:cs="Arial" w:eastAsia="Arial" w:hAnsi="Arial"/>
          <w:color w:val="2D2D2D"/>
          <w:sz w:val="19"/>
          <w:szCs w:val="19"/>
        </w:rPr>
        <w:t xml:space="preserve">Define sewerage and wastewater treatment, discharge standards, and monitoring requirements. Require compliance with applicable discharge licence conditions.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§1.3]  </w:t>
      </w:r>
      <w:r>
        <w:rPr>
          <w:rFonts w:ascii="Arial" w:cs="Arial" w:eastAsia="Arial" w:hAnsi="Arial"/>
          <w:color w:val="2D2D2D"/>
          <w:sz w:val="19"/>
          <w:szCs w:val="19"/>
        </w:rPr>
        <w:t xml:space="preserve">Manage wastewater to avoid contamination of surface water, groundwater, and soils, using treatment appropriate to the waste type and discharge receiving environment.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Before mobilisation, populate the initial Hazardous Substances Register (RTPR-HSE-REG-0014) with all substances expected to be used on this project. This is a pre-mobilisation deliverable.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SDS storage and access method for this project (e.g., digital SDS database platform, physical binder locations). Insert the access method and locations.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substance approval process for this project: who has authority to approve a new substance for use; what documentation is required; what the review period is.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Identify any substances in the project scope that may fall into the carcinogen/mutagen/reproductive hazard category and confirm the annual review process and responsible role.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§66.6]  </w:t>
            </w:r>
            <w:r>
              <w:rPr>
                <w:rFonts w:ascii="Arial" w:cs="Arial" w:eastAsia="Arial" w:hAnsi="Arial"/>
                <w:color w:val="2D2D2D"/>
                <w:sz w:val="19"/>
                <w:szCs w:val="19"/>
              </w:rPr>
              <w:t xml:space="preserve">Require special controls for agents known or suspected to cause cancer, genetic DNA mutations, or reproductive harm. These agents must be controlled to As Low As Reasonably Practicable (ALARP). Where an alternative substance is available that presents lower risk for the same purpose, the alternative must be used.</w:t>
            </w:r>
          </w:p>
          <w:p>
            <w:pPr>
              <w:pStyle w:val="ListParagraph"/>
              <w:numPr>
                <w:ilvl w:val="0"/>
                <w:numId w:val="2"/>
              </w:numPr>
              <w:spacing w:after="40" w:before="40"/>
            </w:pPr>
            <w:r>
              <w:rPr>
                <w:rFonts w:ascii="Arial" w:cs="Arial" w:eastAsia="Arial" w:hAnsi="Arial"/>
                <w:b/>
                <w:bCs/>
                <w:color w:val="375623"/>
                <w:sz w:val="19"/>
                <w:szCs w:val="19"/>
              </w:rPr>
              <w:t xml:space="preserve">[APPC – Appendix C, C-2 §66.8]  </w:t>
            </w:r>
            <w:r>
              <w:rPr>
                <w:rFonts w:ascii="Arial" w:cs="Arial" w:eastAsia="Arial" w:hAnsi="Arial"/>
                <w:color w:val="2D2D2D"/>
                <w:sz w:val="19"/>
                <w:szCs w:val="19"/>
              </w:rPr>
              <w:t xml:space="preserve">Require a process to reduce both the number and volume of hazardous substances to the minimum necessary for justifiable use. Alternatives must be assessed through the risk assessment process before new substances are introduced.</w:t>
            </w:r>
          </w:p>
          <w:p>
            <w:pPr>
              <w:pStyle w:val="ListParagraph"/>
              <w:numPr>
                <w:ilvl w:val="0"/>
                <w:numId w:val="2"/>
              </w:numPr>
              <w:spacing w:after="40" w:before="40"/>
            </w:pPr>
            <w:r>
              <w:rPr>
                <w:rFonts w:ascii="Arial" w:cs="Arial" w:eastAsia="Arial" w:hAnsi="Arial"/>
                <w:b/>
                <w:bCs/>
                <w:color w:val="375623"/>
                <w:sz w:val="19"/>
                <w:szCs w:val="19"/>
              </w:rPr>
              <w:t xml:space="preserve">[APPC – Appendix C, C-4 §92.5.4.1]  </w:t>
            </w:r>
            <w:r>
              <w:rPr>
                <w:rFonts w:ascii="Arial" w:cs="Arial" w:eastAsia="Arial" w:hAnsi="Arial"/>
                <w:color w:val="2D2D2D"/>
                <w:sz w:val="19"/>
                <w:szCs w:val="19"/>
              </w:rPr>
              <w:t xml:space="preserve">Require that all firefighting foams or agents stored or used on the project are fluorine-free and do not contain perfluoroalkyl and polyfluoroalkyl substances (PFAS). This requirement applies to all foam types including handheld extinguishers, fixed suppression systems, and portable foam equipment.</w:t>
            </w:r>
          </w:p>
          <w:p>
            <w:pPr>
              <w:pStyle w:val="ListParagraph"/>
              <w:numPr>
                <w:ilvl w:val="0"/>
                <w:numId w:val="2"/>
              </w:numPr>
              <w:spacing w:after="40" w:before="40"/>
            </w:pPr>
            <w:r>
              <w:rPr>
                <w:rFonts w:ascii="Arial" w:cs="Arial" w:eastAsia="Arial" w:hAnsi="Arial"/>
                <w:b/>
                <w:bCs/>
                <w:color w:val="375623"/>
                <w:sz w:val="19"/>
                <w:szCs w:val="19"/>
              </w:rPr>
              <w:t xml:space="preserve">[APPC – Appendix C, C-4 §92.5.3.5]  </w:t>
            </w:r>
            <w:r>
              <w:rPr>
                <w:rFonts w:ascii="Arial" w:cs="Arial" w:eastAsia="Arial" w:hAnsi="Arial"/>
                <w:color w:val="2D2D2D"/>
                <w:sz w:val="19"/>
                <w:szCs w:val="19"/>
              </w:rPr>
              <w:t xml:space="preserve">Require the Company to be provided with a list of all chemicals and hazardous substances for written approval before shipping materials to site. No new substance may arrive on site without prior written Company approval.</w:t>
            </w:r>
          </w:p>
          <w:p>
            <w:r>
              <w:rPr>
                <w:rFonts w:ascii="Arial" w:cs="Arial" w:eastAsia="Arial" w:hAnsi="Arial"/>
                <w:color w:val="3C2A00"/>
                <w:sz w:val="17"/>
                <w:szCs w:val="17"/>
              </w:rPr>
              <w:t xml:space="preserve">Define the secondary containment and bunding specifications for bulk storage areas on this project, referencing the specific storage locations.</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Noise Exposure Control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RTPR-HSE-PRO-0013</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Noise exposure limits (85/82 dB(A))</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Noise assessment requirements and baseline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Hearing protection area designation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Audiometric testing programme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Community noise limits and management</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(noise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(hearing conservation training — documented in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RTPR-HSE-PRO-0027 – PPE (hearing protection selection and fit testing)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RTPR-HSE-PRO-0042 – Monitoring (noise monitoring as environmental monitoring)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(noise-related illness reporting)</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identifying, assessing, and controlling workplace noise hazards to prevent noise-induced hearing loss (NIHL) and to meet the project's obligations to workers and surrounding communities. Both occupational exposure and community noise impact are addressed.</w:t>
      </w:r>
    </w:p>
    <w:p>
      <w:pPr>
        <w:pStyle w:val="Heading2"/>
        <w:spacing w:after="60" w:before="240"/>
      </w:pPr>
      <w:r>
        <w:rPr>
          <w:rFonts w:ascii="Arial" w:cs="Arial" w:eastAsia="Arial" w:hAnsi="Arial"/>
          <w:b/>
          <w:bCs/>
          <w:color w:val="2E75B6"/>
          <w:sz w:val="22"/>
          <w:szCs w:val="22"/>
        </w:rPr>
        <w:t xml:space="preserve">Noise Assessment and Baseline</w:t>
      </w:r>
    </w:p>
    <w:p>
      <w:pPr>
        <w:pStyle w:val="ListParagraph"/>
        <w:numPr>
          <w:ilvl w:val="0"/>
          <w:numId w:val="2"/>
        </w:numPr>
        <w:spacing w:after="40" w:before="40"/>
      </w:pPr>
      <w:r>
        <w:rPr>
          <w:rFonts w:ascii="Arial" w:cs="Arial" w:eastAsia="Arial" w:hAnsi="Arial"/>
          <w:b/>
          <w:bCs/>
          <w:color w:val="375623"/>
          <w:sz w:val="19"/>
          <w:szCs w:val="19"/>
        </w:rPr>
        <w:t xml:space="preserve">[APPC – Appendix C, C-2 §67]  </w:t>
      </w:r>
      <w:r>
        <w:rPr>
          <w:rFonts w:ascii="Arial" w:cs="Arial" w:eastAsia="Arial" w:hAnsi="Arial"/>
          <w:color w:val="2D2D2D"/>
          <w:sz w:val="19"/>
          <w:szCs w:val="19"/>
        </w:rPr>
        <w:t xml:space="preserve">Require a noise assessment conducted by a competent person to identify areas of high noise exposure before work commences. Require establishment of a noise baseline and definition of when re-assessment is required (new plant, scope changes, following incidents).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§2.3]  </w:t>
      </w:r>
      <w:r>
        <w:rPr>
          <w:rFonts w:ascii="Arial" w:cs="Arial" w:eastAsia="Arial" w:hAnsi="Arial"/>
          <w:color w:val="2D2D2D"/>
          <w:sz w:val="19"/>
          <w:szCs w:val="19"/>
        </w:rPr>
        <w:t xml:space="preserve">Assess occupational noise exposure using recognised measurement methods (e.g., ISO 9612) and compare against applicable occupational exposure limits.</w:t>
      </w:r>
    </w:p>
    <w:p>
      <w:pPr>
        <w:pStyle w:val="Heading2"/>
        <w:spacing w:after="60" w:before="240"/>
      </w:pPr>
      <w:r>
        <w:rPr>
          <w:rFonts w:ascii="Arial" w:cs="Arial" w:eastAsia="Arial" w:hAnsi="Arial"/>
          <w:b/>
          <w:bCs/>
          <w:color w:val="2E75B6"/>
          <w:sz w:val="22"/>
          <w:szCs w:val="22"/>
        </w:rPr>
        <w:t xml:space="preserve">Occupational Exposure Limits</w:t>
      </w:r>
    </w:p>
    <w:p>
      <w:pPr>
        <w:pStyle w:val="ListParagraph"/>
        <w:numPr>
          <w:ilvl w:val="0"/>
          <w:numId w:val="2"/>
        </w:numPr>
        <w:spacing w:after="40" w:before="40"/>
      </w:pPr>
      <w:r>
        <w:rPr>
          <w:rFonts w:ascii="Arial" w:cs="Arial" w:eastAsia="Arial" w:hAnsi="Arial"/>
          <w:b/>
          <w:bCs/>
          <w:color w:val="375623"/>
          <w:sz w:val="19"/>
          <w:szCs w:val="19"/>
        </w:rPr>
        <w:t xml:space="preserve">[APPC – Appendix C, C-2 §67]  </w:t>
      </w:r>
      <w:r>
        <w:rPr>
          <w:rFonts w:ascii="Arial" w:cs="Arial" w:eastAsia="Arial" w:hAnsi="Arial"/>
          <w:color w:val="2D2D2D"/>
          <w:sz w:val="19"/>
          <w:szCs w:val="19"/>
        </w:rPr>
        <w:t xml:space="preserve">Define maximum permissible exposure limits: 85 dB(A) averaged over an eight-hour period; 140 dB(C) peak. For 12-hour shifts: reduce the average limit to 82 dB(A) and define a ceiling of 115 dB(C). Require that personnel are not exposed to more than 82/85 dB(A) at the ear while wearing hearing protection, verified through fit testing where hearing protection is a critical control.</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§2.3, Table 2.3.1]  </w:t>
      </w:r>
      <w:r>
        <w:rPr>
          <w:rFonts w:ascii="Arial" w:cs="Arial" w:eastAsia="Arial" w:hAnsi="Arial"/>
          <w:color w:val="2D2D2D"/>
          <w:sz w:val="19"/>
          <w:szCs w:val="19"/>
        </w:rPr>
        <w:t xml:space="preserve">Where national standards are less stringent than the World Bank EHS Guideline limits (85 dB(A) time-weighted average over eight hours; 140 dB(C) peak), apply the EHS Guideline limits.</w:t>
      </w:r>
    </w:p>
    <w:p>
      <w:pPr>
        <w:pStyle w:val="Heading2"/>
        <w:spacing w:after="60" w:before="240"/>
      </w:pPr>
      <w:r>
        <w:rPr>
          <w:rFonts w:ascii="Arial" w:cs="Arial" w:eastAsia="Arial" w:hAnsi="Arial"/>
          <w:b/>
          <w:bCs/>
          <w:color w:val="2E75B6"/>
          <w:sz w:val="22"/>
          <w:szCs w:val="22"/>
        </w:rPr>
        <w:t xml:space="preserve">Controls and Hearing Protection Areas</w:t>
      </w:r>
    </w:p>
    <w:p>
      <w:pPr>
        <w:pStyle w:val="ListParagraph"/>
        <w:numPr>
          <w:ilvl w:val="0"/>
          <w:numId w:val="2"/>
        </w:numPr>
        <w:spacing w:after="40" w:before="40"/>
      </w:pPr>
      <w:r>
        <w:rPr>
          <w:rFonts w:ascii="Arial" w:cs="Arial" w:eastAsia="Arial" w:hAnsi="Arial"/>
          <w:b/>
          <w:bCs/>
          <w:color w:val="375623"/>
          <w:sz w:val="19"/>
          <w:szCs w:val="19"/>
        </w:rPr>
        <w:t xml:space="preserve">[APPC – Appendix C, C-2 §67]  </w:t>
      </w:r>
      <w:r>
        <w:rPr>
          <w:rFonts w:ascii="Arial" w:cs="Arial" w:eastAsia="Arial" w:hAnsi="Arial"/>
          <w:color w:val="2D2D2D"/>
          <w:sz w:val="19"/>
          <w:szCs w:val="19"/>
        </w:rPr>
        <w:t xml:space="preserve">Define hearing protection areas with appropriate signage. Apply the noise control hierarchy: eliminate or substitute noisy plant; engineer controls (barriers, enclosures, isolation mounts); administrative controls (scheduling, job rotation, exposure time limits); then hearing protection as last resort. Define design criteria to reduce noise exposure in procurement and modification of plant and equipment.</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§2.3]  </w:t>
      </w:r>
      <w:r>
        <w:rPr>
          <w:rFonts w:ascii="Arial" w:cs="Arial" w:eastAsia="Arial" w:hAnsi="Arial"/>
          <w:color w:val="2D2D2D"/>
          <w:sz w:val="19"/>
          <w:szCs w:val="19"/>
        </w:rPr>
        <w:t xml:space="preserve">Implement hearing protection programmes that include selection of appropriate hearing protection (type and attenuation class), correct fitting instruction, and a hearing protection fit testing programme where it is a critical control.</w:t>
      </w:r>
    </w:p>
    <w:p>
      <w:pPr>
        <w:pStyle w:val="Heading2"/>
        <w:spacing w:after="60" w:before="240"/>
      </w:pPr>
      <w:r>
        <w:rPr>
          <w:rFonts w:ascii="Arial" w:cs="Arial" w:eastAsia="Arial" w:hAnsi="Arial"/>
          <w:b/>
          <w:bCs/>
          <w:color w:val="2E75B6"/>
          <w:sz w:val="22"/>
          <w:szCs w:val="22"/>
        </w:rPr>
        <w:t xml:space="preserve">Monitoring and Health Surveillance</w:t>
      </w:r>
    </w:p>
    <w:p>
      <w:pPr>
        <w:pStyle w:val="ListParagraph"/>
        <w:numPr>
          <w:ilvl w:val="0"/>
          <w:numId w:val="2"/>
        </w:numPr>
        <w:spacing w:after="40" w:before="40"/>
      </w:pPr>
      <w:r>
        <w:rPr>
          <w:rFonts w:ascii="Arial" w:cs="Arial" w:eastAsia="Arial" w:hAnsi="Arial"/>
          <w:b/>
          <w:bCs/>
          <w:color w:val="375623"/>
          <w:sz w:val="19"/>
          <w:szCs w:val="19"/>
        </w:rPr>
        <w:t xml:space="preserve">[APPC – Appendix C, C-2 §67]  </w:t>
      </w:r>
      <w:r>
        <w:rPr>
          <w:rFonts w:ascii="Arial" w:cs="Arial" w:eastAsia="Arial" w:hAnsi="Arial"/>
          <w:color w:val="2D2D2D"/>
          <w:sz w:val="19"/>
          <w:szCs w:val="19"/>
        </w:rPr>
        <w:t xml:space="preserve">Require an ongoing noise monitoring programme verifying compliance with exposure limits. Define monitoring frequency, methodology, and documentation requirements.</w:t>
      </w:r>
    </w:p>
    <w:p>
      <w:pPr>
        <w:pStyle w:val="ListParagraph"/>
        <w:numPr>
          <w:ilvl w:val="0"/>
          <w:numId w:val="2"/>
        </w:numPr>
        <w:spacing w:after="40" w:before="40"/>
      </w:pPr>
      <w:r>
        <w:rPr>
          <w:rFonts w:ascii="Arial" w:cs="Arial" w:eastAsia="Arial" w:hAnsi="Arial"/>
          <w:b/>
          <w:bCs/>
          <w:color w:val="7030A0"/>
          <w:sz w:val="19"/>
          <w:szCs w:val="19"/>
        </w:rPr>
        <w:t xml:space="preserve">[ICMM – ICMM Principle 5, Performance Expectation 5.2]  </w:t>
      </w:r>
      <w:r>
        <w:rPr>
          <w:rFonts w:ascii="Arial" w:cs="Arial" w:eastAsia="Arial" w:hAnsi="Arial"/>
          <w:color w:val="2D2D2D"/>
          <w:sz w:val="19"/>
          <w:szCs w:val="19"/>
        </w:rPr>
        <w:t xml:space="preserve">Implement health surveillance (audiometric testing) at defined intervals for all workers regularly exposed to noise above action levels, as part of the broader health surveillance and risk-based monitoring programme.</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audiometric testing frequency, the minimum audiometric test standard (including baseline and periodic testing), the threshold shift criteria that trigger enhanced controls, and the referral pathway for workers with identified hearing deterioration.</w:t>
      </w:r>
    </w:p>
    <w:p>
      <w:pPr>
        <w:pStyle w:val="Heading2"/>
        <w:spacing w:after="60" w:before="240"/>
      </w:pPr>
      <w:r>
        <w:rPr>
          <w:rFonts w:ascii="Arial" w:cs="Arial" w:eastAsia="Arial" w:hAnsi="Arial"/>
          <w:b/>
          <w:bCs/>
          <w:color w:val="2E75B6"/>
          <w:sz w:val="22"/>
          <w:szCs w:val="22"/>
        </w:rPr>
        <w:t xml:space="preserve">Community Noise</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Air Quality Standard]  </w:t>
      </w:r>
      <w:r>
        <w:rPr>
          <w:rFonts w:ascii="Arial" w:cs="Arial" w:eastAsia="Arial" w:hAnsi="Arial"/>
          <w:color w:val="2D2D2D"/>
          <w:sz w:val="19"/>
          <w:szCs w:val="19"/>
        </w:rPr>
        <w:t xml:space="preserve">Assess and document noise impacts on surrounding communities and ecosystems following risk and impact assessment. Implement controls to maintain noise levels within approved or agreed limits at the project boundary and at sensitive receptors.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§1.7]  </w:t>
      </w:r>
      <w:r>
        <w:rPr>
          <w:rFonts w:ascii="Arial" w:cs="Arial" w:eastAsia="Arial" w:hAnsi="Arial"/>
          <w:color w:val="2D2D2D"/>
          <w:sz w:val="19"/>
          <w:szCs w:val="19"/>
        </w:rPr>
        <w:t xml:space="preserve">Manage community noise exposure to meet WHO and national guidelines for noise, with specific consideration for sensitive receptors such as schools, hospitals, and residential areas.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Commission a baseline noise assessment for this project before work commences. The procedure requires one — insert the assessment findings or a reference to the baseline assessment report when available.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hearing protection areas for this project based on the noise assessment. Insert a site map showing designated hearing protection areas, or reference the noise area designation register.</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audiometric testing schedule: which roles require baseline testing; testing intervals; the approved testing provider for this project.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§16.7]  </w:t>
            </w:r>
            <w:r>
              <w:rPr>
                <w:rFonts w:ascii="Arial" w:cs="Arial" w:eastAsia="Arial" w:hAnsi="Arial"/>
                <w:color w:val="2D2D2D"/>
                <w:sz w:val="19"/>
                <w:szCs w:val="19"/>
              </w:rPr>
              <w:t xml:space="preserve">Require that personnel are not exposed to more than 82 dB(A) or 85 dB(A) at the ear while wearing hearing protection as determined by the applicable regulatory requirement. Compliance with this limit must be verified periodically through noise monitoring at the ear level.</w:t>
            </w:r>
          </w:p>
          <w:p>
            <w:pPr>
              <w:pStyle w:val="ListParagraph"/>
              <w:numPr>
                <w:ilvl w:val="0"/>
                <w:numId w:val="2"/>
              </w:numPr>
              <w:spacing w:after="40" w:before="40"/>
            </w:pPr>
            <w:r>
              <w:rPr>
                <w:rFonts w:ascii="Arial" w:cs="Arial" w:eastAsia="Arial" w:hAnsi="Arial"/>
                <w:b/>
                <w:bCs/>
                <w:color w:val="375623"/>
                <w:sz w:val="19"/>
                <w:szCs w:val="19"/>
              </w:rPr>
              <w:t xml:space="preserve">[APPC – Appendix C, C-2 §16.8]  </w:t>
            </w:r>
            <w:r>
              <w:rPr>
                <w:rFonts w:ascii="Arial" w:cs="Arial" w:eastAsia="Arial" w:hAnsi="Arial"/>
                <w:color w:val="2D2D2D"/>
                <w:sz w:val="19"/>
                <w:szCs w:val="19"/>
              </w:rPr>
              <w:t xml:space="preserve">Require a noise monitoring programme to ensure personnel do not exceed an average of 85 dB(A) over an eight-hour period and peak noise levels do not exceed 140 dB(C). Monitoring results must be recorded and reported.</w:t>
            </w:r>
          </w:p>
          <w:p>
            <w:pPr>
              <w:pStyle w:val="ListParagraph"/>
              <w:numPr>
                <w:ilvl w:val="0"/>
                <w:numId w:val="2"/>
              </w:numPr>
              <w:spacing w:after="40" w:before="40"/>
            </w:pPr>
            <w:r>
              <w:rPr>
                <w:rFonts w:ascii="Arial" w:cs="Arial" w:eastAsia="Arial" w:hAnsi="Arial"/>
                <w:b/>
                <w:bCs/>
                <w:color w:val="375623"/>
                <w:sz w:val="19"/>
                <w:szCs w:val="19"/>
              </w:rPr>
              <w:t xml:space="preserve">[APPC – Appendix C, C-2 §67.1.1]  </w:t>
            </w:r>
            <w:r>
              <w:rPr>
                <w:rFonts w:ascii="Arial" w:cs="Arial" w:eastAsia="Arial" w:hAnsi="Arial"/>
                <w:color w:val="2D2D2D"/>
                <w:sz w:val="19"/>
                <w:szCs w:val="19"/>
              </w:rPr>
              <w:t xml:space="preserve">For sites operating 12-hour shifts, reduce the average noise exposure limit to 82 dB(A). The ceiling noise level remains at 115 dB(C). This reduction applies to all personnel working 12-hour shifts regardless of employer organisation.</w:t>
            </w:r>
          </w:p>
          <w:p>
            <w:pPr>
              <w:pStyle w:val="ListParagraph"/>
              <w:numPr>
                <w:ilvl w:val="0"/>
                <w:numId w:val="2"/>
              </w:numPr>
              <w:spacing w:after="40" w:before="40"/>
            </w:pPr>
            <w:r>
              <w:rPr>
                <w:rFonts w:ascii="Arial" w:cs="Arial" w:eastAsia="Arial" w:hAnsi="Arial"/>
                <w:b/>
                <w:bCs/>
                <w:color w:val="375623"/>
                <w:sz w:val="19"/>
                <w:szCs w:val="19"/>
              </w:rPr>
              <w:t xml:space="preserve">[APPC – Appendix C, C-2 §16.5]  </w:t>
            </w:r>
            <w:r>
              <w:rPr>
                <w:rFonts w:ascii="Arial" w:cs="Arial" w:eastAsia="Arial" w:hAnsi="Arial"/>
                <w:color w:val="2D2D2D"/>
                <w:sz w:val="19"/>
                <w:szCs w:val="19"/>
              </w:rPr>
              <w:t xml:space="preserve">Require noise emission specifications to be a factor in equipment procurement decisions. Design criteria must reduce noise exposure risk in the purchase, construction, or modification of fixed and mobile workplace equipment.</w:t>
            </w:r>
          </w:p>
          <w:p>
            <w:r>
              <w:rPr>
                <w:rFonts w:ascii="Arial" w:cs="Arial" w:eastAsia="Arial" w:hAnsi="Arial"/>
                <w:color w:val="3C2A00"/>
                <w:sz w:val="17"/>
                <w:szCs w:val="17"/>
              </w:rPr>
              <w:t xml:space="preserve">Define community noise limits for this project based on applicable permit conditions or agreements with surrounding stakeholders. Insert the project-specific limits and monitoring locations.</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Confined Spaces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RTPR-HSE-PRO-0014</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Confined space definition and classification criteria</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Confined Space Register (RTPR-HSE-REG-0009)</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Safe atmosphere parameters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Permit to Enter requirements (via RTPR-HSE-PRO-0021)</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Atmospheric monitoring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Standby person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Rescue plan requirements for confined spaces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(confined space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(confined space competency — documented in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(confined space entry permit raised via PTW system — refer RTPR-HSE-PRO-0021 for PTW process)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RTPR-HSE-PRO-0024 – Isolation (energy isolation before confined space entry)</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RTPR-HSE-PRO-0027 – PPE (RPE and other PPE for confined space)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RTPR-HSE-PRO-0008 – Working at Height (if the confined space also involves height)</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RTPR-HSE-PRO-0047 – Commissioning references RTPR-HSE-PRO-0014 for confined space work during commissioning</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applies to all work involving entry into or work near confined spaces across the owner-led project. A confined space is defined as an enclosed or partially enclosed space that: is not designed for continuous human occupancy; has restricted means of entry or exit; and contains or may develop one or more of: unsafe oxygen levels; hazardous contaminants; flammable or explosive atmospheres; or engulfment risks.</w:t>
      </w:r>
    </w:p>
    <w:p>
      <w:pPr>
        <w:pStyle w:val="Heading2"/>
        <w:spacing w:after="60" w:before="240"/>
      </w:pPr>
      <w:r>
        <w:rPr>
          <w:rFonts w:ascii="Arial" w:cs="Arial" w:eastAsia="Arial" w:hAnsi="Arial"/>
          <w:b/>
          <w:bCs/>
          <w:color w:val="2E75B6"/>
          <w:sz w:val="22"/>
          <w:szCs w:val="22"/>
        </w:rPr>
        <w:t xml:space="preserve">Classification and Register</w:t>
      </w:r>
    </w:p>
    <w:p>
      <w:pPr>
        <w:pStyle w:val="ListParagraph"/>
        <w:numPr>
          <w:ilvl w:val="0"/>
          <w:numId w:val="2"/>
        </w:numPr>
        <w:spacing w:after="40" w:before="40"/>
      </w:pPr>
      <w:r>
        <w:rPr>
          <w:rFonts w:ascii="Arial" w:cs="Arial" w:eastAsia="Arial" w:hAnsi="Arial"/>
          <w:b/>
          <w:bCs/>
          <w:color w:val="1F3864"/>
          <w:sz w:val="19"/>
          <w:szCs w:val="19"/>
        </w:rPr>
        <w:t xml:space="preserve">[RT – RT C5 – Confined Space Standard]  </w:t>
      </w:r>
      <w:r>
        <w:rPr>
          <w:rFonts w:ascii="Arial" w:cs="Arial" w:eastAsia="Arial" w:hAnsi="Arial"/>
          <w:color w:val="2D2D2D"/>
          <w:sz w:val="19"/>
          <w:szCs w:val="19"/>
        </w:rPr>
        <w:t xml:space="preserve">Require identification and classification of all confined spaces by a competent person. Maintain a Confined Space Register recording: unique identifier; location; classification; hazards; isolation requirements; rescue plan reference; and access status. Require each space to be locked/secured to prevent unauthorised entry and clearly signed.</w:t>
      </w:r>
    </w:p>
    <w:p>
      <w:pPr>
        <w:pStyle w:val="ListParagraph"/>
        <w:numPr>
          <w:ilvl w:val="0"/>
          <w:numId w:val="2"/>
        </w:numPr>
        <w:spacing w:after="40" w:before="40"/>
      </w:pPr>
      <w:r>
        <w:rPr>
          <w:rFonts w:ascii="Arial" w:cs="Arial" w:eastAsia="Arial" w:hAnsi="Arial"/>
          <w:b/>
          <w:bCs/>
          <w:color w:val="375623"/>
          <w:sz w:val="19"/>
          <w:szCs w:val="19"/>
        </w:rPr>
        <w:t xml:space="preserve">[APPC – Appendix C, C-2 §56.1]  </w:t>
      </w:r>
      <w:r>
        <w:rPr>
          <w:rFonts w:ascii="Arial" w:cs="Arial" w:eastAsia="Arial" w:hAnsi="Arial"/>
          <w:color w:val="2D2D2D"/>
          <w:sz w:val="19"/>
          <w:szCs w:val="19"/>
        </w:rPr>
        <w:t xml:space="preserve">Confirm that confined space classification is reviewed and updated when conditions change.</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§2.8]  </w:t>
      </w:r>
      <w:r>
        <w:rPr>
          <w:rFonts w:ascii="Arial" w:cs="Arial" w:eastAsia="Arial" w:hAnsi="Arial"/>
          <w:color w:val="2D2D2D"/>
          <w:sz w:val="19"/>
          <w:szCs w:val="19"/>
        </w:rPr>
        <w:t xml:space="preserve">Ensure confined spaces are managed using a recognised confined space entry programme that addresses hazard identification, entry authorisation, and emergency response.</w:t>
      </w:r>
    </w:p>
    <w:p>
      <w:pPr>
        <w:pStyle w:val="Heading2"/>
        <w:spacing w:after="60" w:before="240"/>
      </w:pPr>
      <w:r>
        <w:rPr>
          <w:rFonts w:ascii="Arial" w:cs="Arial" w:eastAsia="Arial" w:hAnsi="Arial"/>
          <w:b/>
          <w:bCs/>
          <w:color w:val="2E75B6"/>
          <w:sz w:val="22"/>
          <w:szCs w:val="22"/>
        </w:rPr>
        <w:t xml:space="preserve">Safe Atmosphere Definition</w:t>
      </w:r>
    </w:p>
    <w:p>
      <w:pPr>
        <w:pStyle w:val="ListParagraph"/>
        <w:numPr>
          <w:ilvl w:val="0"/>
          <w:numId w:val="2"/>
        </w:numPr>
        <w:spacing w:after="40" w:before="40"/>
      </w:pPr>
      <w:r>
        <w:rPr>
          <w:rFonts w:ascii="Arial" w:cs="Arial" w:eastAsia="Arial" w:hAnsi="Arial"/>
          <w:b/>
          <w:bCs/>
          <w:color w:val="1F3864"/>
          <w:sz w:val="19"/>
          <w:szCs w:val="19"/>
        </w:rPr>
        <w:t xml:space="preserve">[RT – RT C5 – Confined Space Standard]  </w:t>
      </w:r>
      <w:r>
        <w:rPr>
          <w:rFonts w:ascii="Arial" w:cs="Arial" w:eastAsia="Arial" w:hAnsi="Arial"/>
          <w:color w:val="2D2D2D"/>
          <w:sz w:val="19"/>
          <w:szCs w:val="19"/>
        </w:rPr>
        <w:t xml:space="preserve">Define safe oxygen levels, flammable limits, thermal limits, and airborne contaminant thresholds. Where the project standard and local legislative requirements differ, apply the more stringent.</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§2.8]  </w:t>
      </w:r>
      <w:r>
        <w:rPr>
          <w:rFonts w:ascii="Arial" w:cs="Arial" w:eastAsia="Arial" w:hAnsi="Arial"/>
          <w:color w:val="2D2D2D"/>
          <w:sz w:val="19"/>
          <w:szCs w:val="19"/>
        </w:rPr>
        <w:t xml:space="preserve">Define acceptable levels for oxygen content (typically 19.5% to 23.5%), flammable gas (below 10% of LEL before entry), and toxic contaminants (below occupational exposure limits) as minimum criteria for entry.</w:t>
      </w:r>
    </w:p>
    <w:p>
      <w:pPr>
        <w:pStyle w:val="Heading2"/>
        <w:spacing w:after="60" w:before="240"/>
      </w:pPr>
      <w:r>
        <w:rPr>
          <w:rFonts w:ascii="Arial" w:cs="Arial" w:eastAsia="Arial" w:hAnsi="Arial"/>
          <w:b/>
          <w:bCs/>
          <w:color w:val="2E75B6"/>
          <w:sz w:val="22"/>
          <w:szCs w:val="22"/>
        </w:rPr>
        <w:t xml:space="preserve">Permit to Work – Confined Space Entry</w:t>
      </w:r>
    </w:p>
    <w:p>
      <w:pPr>
        <w:pStyle w:val="ListParagraph"/>
        <w:numPr>
          <w:ilvl w:val="0"/>
          <w:numId w:val="2"/>
        </w:numPr>
        <w:spacing w:after="40" w:before="40"/>
      </w:pPr>
      <w:r>
        <w:rPr>
          <w:rFonts w:ascii="Arial" w:cs="Arial" w:eastAsia="Arial" w:hAnsi="Arial"/>
          <w:b/>
          <w:bCs/>
          <w:color w:val="1F3864"/>
          <w:sz w:val="19"/>
          <w:szCs w:val="19"/>
        </w:rPr>
        <w:t xml:space="preserve">[RT – RT C5 – Confined Space Standard]  </w:t>
      </w:r>
      <w:r>
        <w:rPr>
          <w:rFonts w:ascii="Arial" w:cs="Arial" w:eastAsia="Arial" w:hAnsi="Arial"/>
          <w:color w:val="2D2D2D"/>
          <w:sz w:val="19"/>
          <w:szCs w:val="19"/>
        </w:rPr>
        <w:t xml:space="preserve">Require a Confined Space Entry Permit to be completed and issued before any entry. Define all roles: Permit Officer; Permit Developer/Holder; Atmospheric Tester; Energy Isolation Officers; Standby Person; and Emergency Response Personnel. Require a task-specific risk assessment before each permit is issued.</w:t>
      </w:r>
    </w:p>
    <w:p>
      <w:pPr>
        <w:pStyle w:val="ListParagraph"/>
        <w:numPr>
          <w:ilvl w:val="0"/>
          <w:numId w:val="2"/>
        </w:numPr>
        <w:spacing w:after="40" w:before="40"/>
      </w:pPr>
      <w:r>
        <w:rPr>
          <w:rFonts w:ascii="Arial" w:cs="Arial" w:eastAsia="Arial" w:hAnsi="Arial"/>
          <w:b/>
          <w:bCs/>
          <w:color w:val="375623"/>
          <w:sz w:val="19"/>
          <w:szCs w:val="19"/>
        </w:rPr>
        <w:t xml:space="preserve">[APPC – Appendix C, C-2 §56.1]  </w:t>
      </w:r>
      <w:r>
        <w:rPr>
          <w:rFonts w:ascii="Arial" w:cs="Arial" w:eastAsia="Arial" w:hAnsi="Arial"/>
          <w:color w:val="2D2D2D"/>
          <w:sz w:val="19"/>
          <w:szCs w:val="19"/>
        </w:rPr>
        <w:t xml:space="preserve">Define minimum permit content: space identifier; authorised entrants; energy isolation status; atmospheric test results; gas detector bump-test confirmation; rescue plan reference; standby person assignment; and entry/exit log.</w:t>
      </w:r>
    </w:p>
    <w:p>
      <w:pPr>
        <w:pStyle w:val="Heading2"/>
        <w:spacing w:after="60" w:before="240"/>
      </w:pPr>
      <w:r>
        <w:rPr>
          <w:rFonts w:ascii="Arial" w:cs="Arial" w:eastAsia="Arial" w:hAnsi="Arial"/>
          <w:b/>
          <w:bCs/>
          <w:color w:val="2E75B6"/>
          <w:sz w:val="22"/>
          <w:szCs w:val="22"/>
        </w:rPr>
        <w:t xml:space="preserve">Isolation and Zero Energy</w:t>
      </w:r>
    </w:p>
    <w:p>
      <w:pPr>
        <w:pStyle w:val="ListParagraph"/>
        <w:numPr>
          <w:ilvl w:val="0"/>
          <w:numId w:val="2"/>
        </w:numPr>
        <w:spacing w:after="40" w:before="40"/>
      </w:pPr>
      <w:r>
        <w:rPr>
          <w:rFonts w:ascii="Arial" w:cs="Arial" w:eastAsia="Arial" w:hAnsi="Arial"/>
          <w:b/>
          <w:bCs/>
          <w:color w:val="1F3864"/>
          <w:sz w:val="19"/>
          <w:szCs w:val="19"/>
        </w:rPr>
        <w:t xml:space="preserve">[RT – RT C5 – Confined Space Standard]  </w:t>
      </w:r>
      <w:r>
        <w:rPr>
          <w:rFonts w:ascii="Arial" w:cs="Arial" w:eastAsia="Arial" w:hAnsi="Arial"/>
          <w:color w:val="2D2D2D"/>
          <w:sz w:val="19"/>
          <w:szCs w:val="19"/>
        </w:rPr>
        <w:t xml:space="preserve">Require isolation and zero-energy verification of all hazardous energy sources (chemical, mechanical, stored, electrical) before entry, using physical means (LOTO, blanking, mechanical blocking). An Energy Isolation Permit is required where isolation is necessary.</w:t>
      </w:r>
    </w:p>
    <w:p>
      <w:pPr>
        <w:pStyle w:val="Heading2"/>
        <w:spacing w:after="60" w:before="240"/>
      </w:pPr>
      <w:r>
        <w:rPr>
          <w:rFonts w:ascii="Arial" w:cs="Arial" w:eastAsia="Arial" w:hAnsi="Arial"/>
          <w:b/>
          <w:bCs/>
          <w:color w:val="2E75B6"/>
          <w:sz w:val="22"/>
          <w:szCs w:val="22"/>
        </w:rPr>
        <w:t xml:space="preserve">Atmospheric Monitoring and Ventilation</w:t>
      </w:r>
    </w:p>
    <w:p>
      <w:pPr>
        <w:pStyle w:val="ListParagraph"/>
        <w:numPr>
          <w:ilvl w:val="0"/>
          <w:numId w:val="2"/>
        </w:numPr>
        <w:spacing w:after="40" w:before="40"/>
      </w:pPr>
      <w:r>
        <w:rPr>
          <w:rFonts w:ascii="Arial" w:cs="Arial" w:eastAsia="Arial" w:hAnsi="Arial"/>
          <w:b/>
          <w:bCs/>
          <w:color w:val="1F3864"/>
          <w:sz w:val="19"/>
          <w:szCs w:val="19"/>
        </w:rPr>
        <w:t xml:space="preserve">[RT – RT C5 – Confined Space Standard]  </w:t>
      </w:r>
      <w:r>
        <w:rPr>
          <w:rFonts w:ascii="Arial" w:cs="Arial" w:eastAsia="Arial" w:hAnsi="Arial"/>
          <w:color w:val="2D2D2D"/>
          <w:sz w:val="19"/>
          <w:szCs w:val="19"/>
        </w:rPr>
        <w:t xml:space="preserve">Require atmospheric testing before entry measuring: oxygen content; flammable/explosive atmosphere; and toxic gases, fibres, vapours, fumes, mists, or dusts exceeding occupational exposure limits. Require gas detectors to be bump-tested immediately before use with results recorded on the permit.</w:t>
      </w:r>
    </w:p>
    <w:p>
      <w:pPr>
        <w:pStyle w:val="ListParagraph"/>
        <w:numPr>
          <w:ilvl w:val="0"/>
          <w:numId w:val="2"/>
        </w:numPr>
        <w:spacing w:after="40" w:before="40"/>
      </w:pPr>
      <w:r>
        <w:rPr>
          <w:rFonts w:ascii="Arial" w:cs="Arial" w:eastAsia="Arial" w:hAnsi="Arial"/>
          <w:b/>
          <w:bCs/>
          <w:color w:val="1F3864"/>
          <w:sz w:val="19"/>
          <w:szCs w:val="19"/>
        </w:rPr>
        <w:t xml:space="preserve">[RT – RT C5 – Confined Space Standard]  </w:t>
      </w:r>
      <w:r>
        <w:rPr>
          <w:rFonts w:ascii="Arial" w:cs="Arial" w:eastAsia="Arial" w:hAnsi="Arial"/>
          <w:color w:val="2D2D2D"/>
          <w:sz w:val="19"/>
          <w:szCs w:val="19"/>
        </w:rPr>
        <w:t xml:space="preserve">Require continuous atmospheric monitoring during entry at a frequency determined by the potential presence of hazardous substances. Require ventilation (natural, forced, or mechanical) to maintain safe atmosphere conditions. Require appropriate RPE where safe atmosphere cannot be achieved through ventilation.</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§2.8]  </w:t>
      </w:r>
      <w:r>
        <w:rPr>
          <w:rFonts w:ascii="Arial" w:cs="Arial" w:eastAsia="Arial" w:hAnsi="Arial"/>
          <w:color w:val="2D2D2D"/>
          <w:sz w:val="19"/>
          <w:szCs w:val="19"/>
        </w:rPr>
        <w:t xml:space="preserve">Establish and maintain adequate ventilation throughout the duration of confined space work, not only before initial entry.</w:t>
      </w:r>
    </w:p>
    <w:p>
      <w:pPr>
        <w:pStyle w:val="Heading2"/>
        <w:spacing w:after="60" w:before="240"/>
      </w:pPr>
      <w:r>
        <w:rPr>
          <w:rFonts w:ascii="Arial" w:cs="Arial" w:eastAsia="Arial" w:hAnsi="Arial"/>
          <w:b/>
          <w:bCs/>
          <w:color w:val="2E75B6"/>
          <w:sz w:val="22"/>
          <w:szCs w:val="22"/>
        </w:rPr>
        <w:t xml:space="preserve">Standby Person and Entry Control</w:t>
      </w:r>
    </w:p>
    <w:p>
      <w:pPr>
        <w:pStyle w:val="ListParagraph"/>
        <w:numPr>
          <w:ilvl w:val="0"/>
          <w:numId w:val="2"/>
        </w:numPr>
        <w:spacing w:after="40" w:before="40"/>
      </w:pPr>
      <w:r>
        <w:rPr>
          <w:rFonts w:ascii="Arial" w:cs="Arial" w:eastAsia="Arial" w:hAnsi="Arial"/>
          <w:b/>
          <w:bCs/>
          <w:color w:val="1F3864"/>
          <w:sz w:val="19"/>
          <w:szCs w:val="19"/>
        </w:rPr>
        <w:t xml:space="preserve">[RT – RT C5 – Confined Space Standard]  </w:t>
      </w:r>
      <w:r>
        <w:rPr>
          <w:rFonts w:ascii="Arial" w:cs="Arial" w:eastAsia="Arial" w:hAnsi="Arial"/>
          <w:color w:val="2D2D2D"/>
          <w:sz w:val="19"/>
          <w:szCs w:val="19"/>
        </w:rPr>
        <w:t xml:space="preserve">Require a dedicated standby person positioned outside all entry points for the duration of every entry, with continuous communication, rescue equipment immediately available, entry/exit log maintained, and no other concurrent duties. The standby person must not enter the space to attempt rescue.</w:t>
      </w:r>
    </w:p>
    <w:p>
      <w:pPr>
        <w:pStyle w:val="Heading2"/>
        <w:spacing w:after="60" w:before="240"/>
      </w:pPr>
      <w:r>
        <w:rPr>
          <w:rFonts w:ascii="Arial" w:cs="Arial" w:eastAsia="Arial" w:hAnsi="Arial"/>
          <w:b/>
          <w:bCs/>
          <w:color w:val="2E75B6"/>
          <w:sz w:val="22"/>
          <w:szCs w:val="22"/>
        </w:rPr>
        <w:t xml:space="preserve">Emergency Rescue Plan</w:t>
      </w:r>
    </w:p>
    <w:p>
      <w:pPr>
        <w:pStyle w:val="ListParagraph"/>
        <w:numPr>
          <w:ilvl w:val="0"/>
          <w:numId w:val="2"/>
        </w:numPr>
        <w:spacing w:after="40" w:before="40"/>
      </w:pPr>
      <w:r>
        <w:rPr>
          <w:rFonts w:ascii="Arial" w:cs="Arial" w:eastAsia="Arial" w:hAnsi="Arial"/>
          <w:b/>
          <w:bCs/>
          <w:color w:val="1F3864"/>
          <w:sz w:val="19"/>
          <w:szCs w:val="19"/>
        </w:rPr>
        <w:t xml:space="preserve">[RT – RT C5 – Confined Space Standard]  </w:t>
      </w:r>
      <w:r>
        <w:rPr>
          <w:rFonts w:ascii="Arial" w:cs="Arial" w:eastAsia="Arial" w:hAnsi="Arial"/>
          <w:color w:val="2D2D2D"/>
          <w:sz w:val="19"/>
          <w:szCs w:val="19"/>
        </w:rPr>
        <w:t xml:space="preserve">Require a task and location-specific rescue plan to be developed, verified, and communicated before every entry, covering: potential emergency scenarios; rescue equipment locations; rescue method (non-entry rescue preferred for vertical entries); and communication procedures.</w:t>
      </w:r>
    </w:p>
    <w:p>
      <w:pPr>
        <w:pStyle w:val="ListParagraph"/>
        <w:numPr>
          <w:ilvl w:val="0"/>
          <w:numId w:val="2"/>
        </w:numPr>
        <w:spacing w:after="40" w:before="40"/>
      </w:pPr>
      <w:r>
        <w:rPr>
          <w:rFonts w:ascii="Arial" w:cs="Arial" w:eastAsia="Arial" w:hAnsi="Arial"/>
          <w:b/>
          <w:bCs/>
          <w:color w:val="375623"/>
          <w:sz w:val="19"/>
          <w:szCs w:val="19"/>
        </w:rPr>
        <w:t xml:space="preserve">[APPC – Appendix C, C-2 §56.4]  </w:t>
      </w:r>
      <w:r>
        <w:rPr>
          <w:rFonts w:ascii="Arial" w:cs="Arial" w:eastAsia="Arial" w:hAnsi="Arial"/>
          <w:color w:val="2D2D2D"/>
          <w:sz w:val="19"/>
          <w:szCs w:val="19"/>
        </w:rPr>
        <w:t xml:space="preserve">Require rescue personnel to be immediately available and briefed on the specific rescue plan, and to maintain proficiency through regular rescue drills.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Identify and survey all confined spaces on this project site before work commences. Populate the Confined Space Register (RTPR-HSE-REG-0009). This is a pre-mobilisation deliverable.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safe atmosphere parameters for this project in the designated table. The procedure provides minimum thresholds — confirm whether local legislation requires more stringent limits and insert the applicable standard.</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rescue team capability for each work location: what rescue equipment is available; who is trained in rescue; how quickly the rescue team can be on site. Insert as a table by work area.</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§56.1.2]  </w:t>
            </w:r>
            <w:r>
              <w:rPr>
                <w:rFonts w:ascii="Arial" w:cs="Arial" w:eastAsia="Arial" w:hAnsi="Arial"/>
                <w:color w:val="2D2D2D"/>
                <w:sz w:val="19"/>
                <w:szCs w:val="19"/>
              </w:rPr>
              <w:t xml:space="preserve">Require a documented process to identify and minimise the need for confined space entry before any entry permit is raised. Elimination of the need to enter must be the first control assessed.</w:t>
            </w:r>
          </w:p>
          <w:p>
            <w:pPr>
              <w:pStyle w:val="ListParagraph"/>
              <w:numPr>
                <w:ilvl w:val="0"/>
                <w:numId w:val="2"/>
              </w:numPr>
              <w:spacing w:after="40" w:before="40"/>
            </w:pPr>
            <w:r>
              <w:rPr>
                <w:rFonts w:ascii="Arial" w:cs="Arial" w:eastAsia="Arial" w:hAnsi="Arial"/>
                <w:b/>
                <w:bCs/>
                <w:color w:val="375623"/>
                <w:sz w:val="19"/>
                <w:szCs w:val="19"/>
              </w:rPr>
              <w:t xml:space="preserve">[APPC – Appendix C, C-2 §56.3.3]  </w:t>
            </w:r>
            <w:r>
              <w:rPr>
                <w:rFonts w:ascii="Arial" w:cs="Arial" w:eastAsia="Arial" w:hAnsi="Arial"/>
                <w:color w:val="2D2D2D"/>
                <w:sz w:val="19"/>
                <w:szCs w:val="19"/>
              </w:rPr>
              <w:t xml:space="preserve">Require permanent signage at each entry point of all identified confined spaces stating that a confined space entry permit is required prior to entry. Signage must be maintained throughout the project.</w:t>
            </w:r>
          </w:p>
          <w:p>
            <w:pPr>
              <w:pStyle w:val="ListParagraph"/>
              <w:numPr>
                <w:ilvl w:val="0"/>
                <w:numId w:val="2"/>
              </w:numPr>
              <w:spacing w:after="40" w:before="40"/>
            </w:pPr>
            <w:r>
              <w:rPr>
                <w:rFonts w:ascii="Arial" w:cs="Arial" w:eastAsia="Arial" w:hAnsi="Arial"/>
                <w:b/>
                <w:bCs/>
                <w:color w:val="375623"/>
                <w:sz w:val="19"/>
                <w:szCs w:val="19"/>
              </w:rPr>
              <w:t xml:space="preserve">[APPC – Appendix C, C-2 §56.4.2]  </w:t>
            </w:r>
            <w:r>
              <w:rPr>
                <w:rFonts w:ascii="Arial" w:cs="Arial" w:eastAsia="Arial" w:hAnsi="Arial"/>
                <w:color w:val="2D2D2D"/>
                <w:sz w:val="19"/>
                <w:szCs w:val="19"/>
              </w:rPr>
              <w:t xml:space="preserve">Require that the standby person maintains communication with entrants at all times, raises the alarm in an emergency, and understands their assigned response actions. The standby person must not enter the confined space under any circumstances.</w:t>
            </w:r>
          </w:p>
          <w:p>
            <w:r>
              <w:rPr>
                <w:rFonts w:ascii="Arial" w:cs="Arial" w:eastAsia="Arial" w:hAnsi="Arial"/>
                <w:color w:val="3C2A00"/>
                <w:sz w:val="17"/>
                <w:szCs w:val="17"/>
              </w:rPr>
              <w:t xml:space="preserve">Define the gas detector calibration and bump-test recording process for this project: what system records bump tests; where records are kept; what happens when a detector fails a bump test.</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Cranes and Lifting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RTPR-HSE-PRO-0015</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Lifting Equipment Register (RTPR-HSE-REG-0008)</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Critical lift classification criteria</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Critical lift plan minimum content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Pre-operational check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Exclusion zone and no-person-under-load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Crane safety device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Lifting equipment inspection and certification process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(lift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(crane operator and rigger competency — documented in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(lifting permits via PTW system — refer RTPR-HSE-PRO-0021)</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RTPR-HSE-PRO-0024 – Isolation (energy isolation requirements for lifts near electrical plant)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RTPR-HSE-PRO-0031 – Traffic Management (crane operations and traffic interface)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(lifting incident reporting)</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RTPR-HSE-PRO-0047 – Commissioning references RTPR-HSE-PRO-0015 for lifting during commissioning</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RTPR-HSE-PRO-0030 – Over Water references RTPR-HSE-PRO-0015 for lifting near/over water</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applies to all crane and lifting operations — including all crane types, hoists, rigging equipment, and any equipment used as a crane — across the owner-led project. All crane operators, riggers, dogmen, and lift supervisors (whether RT or contractor personnel) must operate in accordance with this procedure.</w:t>
      </w:r>
    </w:p>
    <w:p>
      <w:pPr>
        <w:pStyle w:val="Heading2"/>
        <w:spacing w:after="60" w:before="240"/>
      </w:pPr>
      <w:r>
        <w:rPr>
          <w:rFonts w:ascii="Arial" w:cs="Arial" w:eastAsia="Arial" w:hAnsi="Arial"/>
          <w:b/>
          <w:bCs/>
          <w:color w:val="2E75B6"/>
          <w:sz w:val="22"/>
          <w:szCs w:val="22"/>
        </w:rPr>
        <w:t xml:space="preserve">Lifting Equipment Register</w:t>
      </w:r>
    </w:p>
    <w:p>
      <w:pPr>
        <w:pStyle w:val="ListParagraph"/>
        <w:numPr>
          <w:ilvl w:val="0"/>
          <w:numId w:val="2"/>
        </w:numPr>
        <w:spacing w:after="40" w:before="40"/>
      </w:pPr>
      <w:r>
        <w:rPr>
          <w:rFonts w:ascii="Arial" w:cs="Arial" w:eastAsia="Arial" w:hAnsi="Arial"/>
          <w:b/>
          <w:bCs/>
          <w:color w:val="1F3864"/>
          <w:sz w:val="19"/>
          <w:szCs w:val="19"/>
        </w:rPr>
        <w:t xml:space="preserve">[RT – RT C6 – Lifting Operations Standard]  </w:t>
      </w:r>
      <w:r>
        <w:rPr>
          <w:rFonts w:ascii="Arial" w:cs="Arial" w:eastAsia="Arial" w:hAnsi="Arial"/>
          <w:color w:val="2D2D2D"/>
          <w:sz w:val="19"/>
          <w:szCs w:val="19"/>
        </w:rPr>
        <w:t xml:space="preserve">Maintain a Lifting Equipment Register covering all cranes, hoists, rigging attachments, slings rated greater than one tonne, chain blocks, and lever hoists. Minimum content: unique identifier; configuration; commissioning date; last inspection date and condition; and rated capacity/SWL.</w:t>
      </w:r>
    </w:p>
    <w:p>
      <w:pPr>
        <w:pStyle w:val="ListParagraph"/>
        <w:numPr>
          <w:ilvl w:val="0"/>
          <w:numId w:val="2"/>
        </w:numPr>
        <w:spacing w:after="40" w:before="40"/>
      </w:pPr>
      <w:r>
        <w:rPr>
          <w:rFonts w:ascii="Arial" w:cs="Arial" w:eastAsia="Arial" w:hAnsi="Arial"/>
          <w:b/>
          <w:bCs/>
          <w:color w:val="375623"/>
          <w:sz w:val="19"/>
          <w:szCs w:val="19"/>
        </w:rPr>
        <w:t xml:space="preserve">[APPC – Appendix C, C-2 §57.1]  </w:t>
      </w:r>
      <w:r>
        <w:rPr>
          <w:rFonts w:ascii="Arial" w:cs="Arial" w:eastAsia="Arial" w:hAnsi="Arial"/>
          <w:color w:val="2D2D2D"/>
          <w:sz w:val="19"/>
          <w:szCs w:val="19"/>
        </w:rPr>
        <w:t xml:space="preserve">Require that the register includes contractor-owned equipment operating on the project, not only project-owned equipment.</w:t>
      </w:r>
    </w:p>
    <w:p>
      <w:pPr>
        <w:pStyle w:val="Heading2"/>
        <w:spacing w:after="60" w:before="240"/>
      </w:pPr>
      <w:r>
        <w:rPr>
          <w:rFonts w:ascii="Arial" w:cs="Arial" w:eastAsia="Arial" w:hAnsi="Arial"/>
          <w:b/>
          <w:bCs/>
          <w:color w:val="2E75B6"/>
          <w:sz w:val="22"/>
          <w:szCs w:val="22"/>
        </w:rPr>
        <w:t xml:space="preserve">Risk Assessment and Lift Planning</w:t>
      </w:r>
    </w:p>
    <w:p>
      <w:pPr>
        <w:pStyle w:val="ListParagraph"/>
        <w:numPr>
          <w:ilvl w:val="0"/>
          <w:numId w:val="2"/>
        </w:numPr>
        <w:spacing w:after="40" w:before="40"/>
      </w:pPr>
      <w:r>
        <w:rPr>
          <w:rFonts w:ascii="Arial" w:cs="Arial" w:eastAsia="Arial" w:hAnsi="Arial"/>
          <w:b/>
          <w:bCs/>
          <w:color w:val="1F3864"/>
          <w:sz w:val="19"/>
          <w:szCs w:val="19"/>
        </w:rPr>
        <w:t xml:space="preserve">[RT – RT C6 – Lifting Operations Standard]  </w:t>
      </w:r>
      <w:r>
        <w:rPr>
          <w:rFonts w:ascii="Arial" w:cs="Arial" w:eastAsia="Arial" w:hAnsi="Arial"/>
          <w:color w:val="2D2D2D"/>
          <w:sz w:val="19"/>
          <w:szCs w:val="19"/>
        </w:rPr>
        <w:t xml:space="preserve">Require a risk assessment for all lifts covering: complexity; environmental conditions; ground bearing capacity; proximity to hazards; equipment selection; and competency requirements.</w:t>
      </w:r>
    </w:p>
    <w:p>
      <w:pPr>
        <w:pStyle w:val="ListParagraph"/>
        <w:numPr>
          <w:ilvl w:val="0"/>
          <w:numId w:val="2"/>
        </w:numPr>
        <w:spacing w:after="40" w:before="40"/>
      </w:pPr>
      <w:r>
        <w:rPr>
          <w:rFonts w:ascii="Arial" w:cs="Arial" w:eastAsia="Arial" w:hAnsi="Arial"/>
          <w:b/>
          <w:bCs/>
          <w:color w:val="1F3864"/>
          <w:sz w:val="19"/>
          <w:szCs w:val="19"/>
        </w:rPr>
        <w:t xml:space="preserve">[RT – RT C6 – Lifting Operations Standard]  </w:t>
      </w:r>
      <w:r>
        <w:rPr>
          <w:rFonts w:ascii="Arial" w:cs="Arial" w:eastAsia="Arial" w:hAnsi="Arial"/>
          <w:color w:val="2D2D2D"/>
          <w:sz w:val="19"/>
          <w:szCs w:val="19"/>
        </w:rPr>
        <w:t xml:space="preserve">Define critical lift categories: multiple crane lifts; lifts over occupied facilities; lifts near energised powerlines; lifts involving personnel cages; lifts exceeding 80% of rated capacity; and lifts with limited visibility or high environmental influence. Require a documented critical lift plan for each critical lift, developed with crane drivers and rigging crews.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Ensure that critical lift planning includes assessment of ground conditions, crane configuration, rated capacity verification, and identification of persons within the swing radius and drop zone.</w:t>
      </w:r>
    </w:p>
    <w:p>
      <w:pPr>
        <w:pStyle w:val="Heading2"/>
        <w:spacing w:after="60" w:before="240"/>
      </w:pPr>
      <w:r>
        <w:rPr>
          <w:rFonts w:ascii="Arial" w:cs="Arial" w:eastAsia="Arial" w:hAnsi="Arial"/>
          <w:b/>
          <w:bCs/>
          <w:color w:val="2E75B6"/>
          <w:sz w:val="22"/>
          <w:szCs w:val="22"/>
        </w:rPr>
        <w:t xml:space="preserve">Equipment Integrity and Safety Devices</w:t>
      </w:r>
    </w:p>
    <w:p>
      <w:pPr>
        <w:pStyle w:val="ListParagraph"/>
        <w:numPr>
          <w:ilvl w:val="0"/>
          <w:numId w:val="2"/>
        </w:numPr>
        <w:spacing w:after="40" w:before="40"/>
      </w:pPr>
      <w:r>
        <w:rPr>
          <w:rFonts w:ascii="Arial" w:cs="Arial" w:eastAsia="Arial" w:hAnsi="Arial"/>
          <w:b/>
          <w:bCs/>
          <w:color w:val="1F3864"/>
          <w:sz w:val="19"/>
          <w:szCs w:val="19"/>
        </w:rPr>
        <w:t xml:space="preserve">[RT – RT C6 – Lifting Operations Standard]  </w:t>
      </w:r>
      <w:r>
        <w:rPr>
          <w:rFonts w:ascii="Arial" w:cs="Arial" w:eastAsia="Arial" w:hAnsi="Arial"/>
          <w:color w:val="2D2D2D"/>
          <w:sz w:val="19"/>
          <w:szCs w:val="19"/>
        </w:rPr>
        <w:t xml:space="preserve">Require all cranes to be fitted with: anti-two-block system; load measurement/indication where lift weight is uncertain; travel alarm for overhead cranes where personnel/vehicle interaction is possible; and rated capacity information accessible to the operator. Require cranes to be inspected and certified before first use and at defined intervals. Prohibit operation with any safety device disabled or bypassed.</w:t>
      </w:r>
    </w:p>
    <w:p>
      <w:pPr>
        <w:pStyle w:val="ListParagraph"/>
        <w:numPr>
          <w:ilvl w:val="0"/>
          <w:numId w:val="2"/>
        </w:numPr>
        <w:spacing w:after="40" w:before="40"/>
      </w:pPr>
      <w:r>
        <w:rPr>
          <w:rFonts w:ascii="Arial" w:cs="Arial" w:eastAsia="Arial" w:hAnsi="Arial"/>
          <w:b/>
          <w:bCs/>
          <w:color w:val="1F3864"/>
          <w:sz w:val="19"/>
          <w:szCs w:val="19"/>
        </w:rPr>
        <w:t xml:space="preserve">[RT – RT C6 – Lifting Operations Standard]  </w:t>
      </w:r>
      <w:r>
        <w:rPr>
          <w:rFonts w:ascii="Arial" w:cs="Arial" w:eastAsia="Arial" w:hAnsi="Arial"/>
          <w:color w:val="2D2D2D"/>
          <w:sz w:val="19"/>
          <w:szCs w:val="19"/>
        </w:rPr>
        <w:t xml:space="preserve">Require safety latches on all lifting hooks (unless risk-assessed alternative is in place). Require colour coding, tagging, or equivalent showing current inspection status and SWL. Require immediate removal from service of equipment with critical defects.</w:t>
      </w:r>
    </w:p>
    <w:p>
      <w:pPr>
        <w:pStyle w:val="ListParagraph"/>
        <w:numPr>
          <w:ilvl w:val="0"/>
          <w:numId w:val="2"/>
        </w:numPr>
        <w:spacing w:after="40" w:before="40"/>
      </w:pPr>
      <w:r>
        <w:rPr>
          <w:rFonts w:ascii="Arial" w:cs="Arial" w:eastAsia="Arial" w:hAnsi="Arial"/>
          <w:b/>
          <w:bCs/>
          <w:color w:val="1F3864"/>
          <w:sz w:val="19"/>
          <w:szCs w:val="19"/>
        </w:rPr>
        <w:t xml:space="preserve">[RT – RT C6 – Lifting Operations Standard]  </w:t>
      </w:r>
      <w:r>
        <w:rPr>
          <w:rFonts w:ascii="Arial" w:cs="Arial" w:eastAsia="Arial" w:hAnsi="Arial"/>
          <w:color w:val="2D2D2D"/>
          <w:sz w:val="19"/>
          <w:szCs w:val="19"/>
        </w:rPr>
        <w:t xml:space="preserve">Require insulated lifting links for cranes working near energised overhead powerlines, and proximity permits defining exclusion zones and spotter duties for all crane operations near energised powerlines.</w:t>
      </w:r>
    </w:p>
    <w:p>
      <w:pPr>
        <w:pStyle w:val="Heading2"/>
        <w:spacing w:after="60" w:before="240"/>
      </w:pPr>
      <w:r>
        <w:rPr>
          <w:rFonts w:ascii="Arial" w:cs="Arial" w:eastAsia="Arial" w:hAnsi="Arial"/>
          <w:b/>
          <w:bCs/>
          <w:color w:val="2E75B6"/>
          <w:sz w:val="22"/>
          <w:szCs w:val="22"/>
        </w:rPr>
        <w:t xml:space="preserve">Pre-operational Checks</w:t>
      </w:r>
    </w:p>
    <w:p>
      <w:pPr>
        <w:pStyle w:val="ListParagraph"/>
        <w:numPr>
          <w:ilvl w:val="0"/>
          <w:numId w:val="2"/>
        </w:numPr>
        <w:spacing w:after="40" w:before="40"/>
      </w:pPr>
      <w:r>
        <w:rPr>
          <w:rFonts w:ascii="Arial" w:cs="Arial" w:eastAsia="Arial" w:hAnsi="Arial"/>
          <w:b/>
          <w:bCs/>
          <w:color w:val="1F3864"/>
          <w:sz w:val="19"/>
          <w:szCs w:val="19"/>
        </w:rPr>
        <w:t xml:space="preserve">[RT – RT C6 – Lifting Operations Standard]  </w:t>
      </w:r>
      <w:r>
        <w:rPr>
          <w:rFonts w:ascii="Arial" w:cs="Arial" w:eastAsia="Arial" w:hAnsi="Arial"/>
          <w:color w:val="2D2D2D"/>
          <w:sz w:val="19"/>
          <w:szCs w:val="19"/>
        </w:rPr>
        <w:t xml:space="preserve">Require pre-operational safety checks before use of any crane or lifting equipment, crane-type specific, identifying defects that prevent safe operation. Prohibit operation of any crane with inoperable, defective, or overridden safety devices.</w:t>
      </w:r>
    </w:p>
    <w:p>
      <w:pPr>
        <w:pStyle w:val="Heading2"/>
        <w:spacing w:after="60" w:before="240"/>
      </w:pPr>
      <w:r>
        <w:rPr>
          <w:rFonts w:ascii="Arial" w:cs="Arial" w:eastAsia="Arial" w:hAnsi="Arial"/>
          <w:b/>
          <w:bCs/>
          <w:color w:val="2E75B6"/>
          <w:sz w:val="22"/>
          <w:szCs w:val="22"/>
        </w:rPr>
        <w:t xml:space="preserve">Lift Execution</w:t>
      </w:r>
    </w:p>
    <w:p>
      <w:pPr>
        <w:pStyle w:val="ListParagraph"/>
        <w:numPr>
          <w:ilvl w:val="0"/>
          <w:numId w:val="2"/>
        </w:numPr>
        <w:spacing w:after="40" w:before="40"/>
      </w:pPr>
      <w:r>
        <w:rPr>
          <w:rFonts w:ascii="Arial" w:cs="Arial" w:eastAsia="Arial" w:hAnsi="Arial"/>
          <w:b/>
          <w:bCs/>
          <w:color w:val="1F3864"/>
          <w:sz w:val="19"/>
          <w:szCs w:val="19"/>
        </w:rPr>
        <w:t xml:space="preserve">[RT – RT C6 – Lifting Operations Standard]  </w:t>
      </w:r>
      <w:r>
        <w:rPr>
          <w:rFonts w:ascii="Arial" w:cs="Arial" w:eastAsia="Arial" w:hAnsi="Arial"/>
          <w:color w:val="2D2D2D"/>
          <w:sz w:val="19"/>
          <w:szCs w:val="19"/>
        </w:rPr>
        <w:t xml:space="preserve">Require all lifts to be executed per an approved plan proportionate to risk: rigging confirmed before load; capacity not exceeded; exclusion zones barricaded; no person under suspended load at any time; agreed communication confirmed between operator, rigger, and spotters; ground conditions verified as suitable; tag lines used where load steadying is required; and operator at controls while load is suspended.</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Ensure that exclusion zones under and within the swing radius of crane loads are enforced for the full duration of the lift.</w:t>
      </w:r>
    </w:p>
    <w:p>
      <w:pPr>
        <w:pStyle w:val="Heading2"/>
        <w:spacing w:after="60" w:before="240"/>
      </w:pPr>
      <w:r>
        <w:rPr>
          <w:rFonts w:ascii="Arial" w:cs="Arial" w:eastAsia="Arial" w:hAnsi="Arial"/>
          <w:b/>
          <w:bCs/>
          <w:color w:val="2E75B6"/>
          <w:sz w:val="22"/>
          <w:szCs w:val="22"/>
        </w:rPr>
        <w:t xml:space="preserve">Training and Competency</w:t>
      </w:r>
    </w:p>
    <w:p>
      <w:pPr>
        <w:pStyle w:val="ListParagraph"/>
        <w:numPr>
          <w:ilvl w:val="0"/>
          <w:numId w:val="2"/>
        </w:numPr>
        <w:spacing w:after="40" w:before="40"/>
      </w:pPr>
      <w:r>
        <w:rPr>
          <w:rFonts w:ascii="Arial" w:cs="Arial" w:eastAsia="Arial" w:hAnsi="Arial"/>
          <w:b/>
          <w:bCs/>
          <w:color w:val="1F3864"/>
          <w:sz w:val="19"/>
          <w:szCs w:val="19"/>
        </w:rPr>
        <w:t xml:space="preserve">[RT – RT C6 – Lifting Operations Standard]  </w:t>
      </w:r>
      <w:r>
        <w:rPr>
          <w:rFonts w:ascii="Arial" w:cs="Arial" w:eastAsia="Arial" w:hAnsi="Arial"/>
          <w:color w:val="2D2D2D"/>
          <w:sz w:val="19"/>
          <w:szCs w:val="19"/>
        </w:rPr>
        <w:t xml:space="preserve">Define competency requirements for crane operators, riggers, dogmen, and lift supervisors, with initial training, regular refresher training, and formal competency assessments. Require formal competency assessment before participating in critical lifts.</w:t>
      </w:r>
    </w:p>
    <w:p>
      <w:pPr>
        <w:pStyle w:val="ListParagraph"/>
        <w:numPr>
          <w:ilvl w:val="0"/>
          <w:numId w:val="2"/>
        </w:numPr>
        <w:spacing w:after="40" w:before="40"/>
      </w:pPr>
      <w:r>
        <w:rPr>
          <w:rFonts w:ascii="Arial" w:cs="Arial" w:eastAsia="Arial" w:hAnsi="Arial"/>
          <w:b/>
          <w:bCs/>
          <w:color w:val="375623"/>
          <w:sz w:val="19"/>
          <w:szCs w:val="19"/>
        </w:rPr>
        <w:t xml:space="preserve">[APPC – Appendix C, C-2 §57.2]  </w:t>
      </w:r>
      <w:r>
        <w:rPr>
          <w:rFonts w:ascii="Arial" w:cs="Arial" w:eastAsia="Arial" w:hAnsi="Arial"/>
          <w:color w:val="2D2D2D"/>
          <w:sz w:val="19"/>
          <w:szCs w:val="19"/>
        </w:rPr>
        <w:t xml:space="preserve">Ensure that contractor crane operators and rigging personnel meet the same competency requirements as RT project personnel, verified before mobilisation to site.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Populate the initial Lifting Equipment Register (RTPR-HSE-REG-0008) with all cranes, hoists, and lifting equipment expected on this project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critical lift approval authority: who approves critical lift plans; what is the minimum notification period to the project owner. Insert as a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crane proximity permit process for powerline work: who issues proximity permits; what are the approved approach distances for each voltage level relevant to this project.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§57.2.2]  </w:t>
            </w:r>
            <w:r>
              <w:rPr>
                <w:rFonts w:ascii="Arial" w:cs="Arial" w:eastAsia="Arial" w:hAnsi="Arial"/>
                <w:color w:val="2D2D2D"/>
                <w:sz w:val="19"/>
                <w:szCs w:val="19"/>
              </w:rPr>
              <w:t xml:space="preserve">Require that lifting devices and equipment are certified within the last 12 months or per local regulatory requirements, whichever is more stringent. Current certification must be available at the work site before any lifting operation commences.</w:t>
            </w:r>
          </w:p>
          <w:p>
            <w:pPr>
              <w:pStyle w:val="ListParagraph"/>
              <w:numPr>
                <w:ilvl w:val="0"/>
                <w:numId w:val="2"/>
              </w:numPr>
              <w:spacing w:after="40" w:before="40"/>
            </w:pPr>
            <w:r>
              <w:rPr>
                <w:rFonts w:ascii="Arial" w:cs="Arial" w:eastAsia="Arial" w:hAnsi="Arial"/>
                <w:b/>
                <w:bCs/>
                <w:color w:val="375623"/>
                <w:sz w:val="19"/>
                <w:szCs w:val="19"/>
              </w:rPr>
              <w:t xml:space="preserve">[APPC – Appendix C, C-2 §57.3.2]  </w:t>
            </w:r>
            <w:r>
              <w:rPr>
                <w:rFonts w:ascii="Arial" w:cs="Arial" w:eastAsia="Arial" w:hAnsi="Arial"/>
                <w:color w:val="2D2D2D"/>
                <w:sz w:val="19"/>
                <w:szCs w:val="19"/>
              </w:rPr>
              <w:t xml:space="preserve">Require that tag lines, poles, or other appropriate means are available as the primary methods to control lifted loads. Direct hand contact with a suspended load or its rigging is not permitted without specific risk assessment and permit authorisation.</w:t>
            </w:r>
          </w:p>
          <w:p>
            <w:pPr>
              <w:pStyle w:val="ListParagraph"/>
              <w:numPr>
                <w:ilvl w:val="0"/>
                <w:numId w:val="2"/>
              </w:numPr>
              <w:spacing w:after="40" w:before="40"/>
            </w:pPr>
            <w:r>
              <w:rPr>
                <w:rFonts w:ascii="Arial" w:cs="Arial" w:eastAsia="Arial" w:hAnsi="Arial"/>
                <w:b/>
                <w:bCs/>
                <w:color w:val="375623"/>
                <w:sz w:val="19"/>
                <w:szCs w:val="19"/>
              </w:rPr>
              <w:t xml:space="preserve">[APPC – Appendix C, C-2 §57.4.3]  </w:t>
            </w:r>
            <w:r>
              <w:rPr>
                <w:rFonts w:ascii="Arial" w:cs="Arial" w:eastAsia="Arial" w:hAnsi="Arial"/>
                <w:color w:val="2D2D2D"/>
                <w:sz w:val="19"/>
                <w:szCs w:val="19"/>
              </w:rPr>
              <w:t xml:space="preserve">Require that no personnel are positioned under a suspended load or in any location where they could be struck by a falling or swinging load.</w:t>
            </w:r>
          </w:p>
          <w:p>
            <w:r>
              <w:rPr>
                <w:rFonts w:ascii="Arial" w:cs="Arial" w:eastAsia="Arial" w:hAnsi="Arial"/>
                <w:color w:val="3C2A00"/>
                <w:sz w:val="17"/>
                <w:szCs w:val="17"/>
              </w:rPr>
              <w:t xml:space="preserve">Define the lift colour-coding and inspection tagging system for this project (colours and intervals). The procedure requires a visible inspection status system — the project chooses the implementation.</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Hot Works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RTPR-HSE-PRO-0016</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Hot work definition and trigger activities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Hazardous area designation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Hot Works Permit requirements (via RTPR-HSE-PRO-0021)</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Gas detection requirements for hot work</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Fire protection and fire watch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Hot work on in-service equipment controls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(hot work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(hot work competency)</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(hot works permit raised via PTW system — refer RTPR-HSE-PRO-0021 for process)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RTPR-HSE-PRO-0012 – Chemicals (flammable substance controls)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RTPR-HSE-PRO-0022 – SIMOPS (hot work SIMOPS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(fire/explosion incident reporting)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RTPR-HSE-PRO-0041 – Business Resilience (fire emergency response — refer to ERP)</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RTPR-HSE-PRO-0047 – Commissioning references RTPR-HSE-PRO-0016 for hot work controls during commissioning</w:t>
            </w:r>
          </w:p>
        </w:tc>
      </w:tr>
    </w:tbl>
    <w:p>
      <w:pPr>
        <w:spacing w:after="0" w:before="120"/>
      </w:pPr>
      <w:r>
        <w:t xml:space="preserve"/>
      </w:r>
    </w:p>
    <w:p>
      <w:pPr>
        <w:spacing w:after="80" w:before="40"/>
      </w:pPr>
      <w:r>
        <w:rPr>
          <w:rFonts w:ascii="Arial" w:cs="Arial" w:eastAsia="Arial" w:hAnsi="Arial"/>
          <w:i/>
          <w:iCs/>
          <w:color w:val="555555"/>
          <w:sz w:val="19"/>
          <w:szCs w:val="19"/>
        </w:rPr>
        <w:t xml:space="preserve">Hot work is defined as any process that can act as a source of ignition when flammable or explosive materials are present, or that poses a fire hazard regardless of flammable material presence, including: welding; soldering; grinding; cutting; brazing; and burning.</w:t>
      </w:r>
    </w:p>
    <w:p>
      <w:pPr>
        <w:pStyle w:val="Heading2"/>
        <w:spacing w:after="60" w:before="240"/>
      </w:pPr>
      <w:r>
        <w:rPr>
          <w:rFonts w:ascii="Arial" w:cs="Arial" w:eastAsia="Arial" w:hAnsi="Arial"/>
          <w:b/>
          <w:bCs/>
          <w:color w:val="2E75B6"/>
          <w:sz w:val="22"/>
          <w:szCs w:val="22"/>
        </w:rPr>
        <w:t xml:space="preserve">Hazard Area Designation and Permit</w:t>
      </w:r>
    </w:p>
    <w:p>
      <w:pPr>
        <w:pStyle w:val="ListParagraph"/>
        <w:numPr>
          <w:ilvl w:val="0"/>
          <w:numId w:val="2"/>
        </w:numPr>
        <w:spacing w:after="40" w:before="40"/>
      </w:pPr>
      <w:r>
        <w:rPr>
          <w:rFonts w:ascii="Arial" w:cs="Arial" w:eastAsia="Arial" w:hAnsi="Arial"/>
          <w:b/>
          <w:bCs/>
          <w:color w:val="375623"/>
          <w:sz w:val="19"/>
          <w:szCs w:val="19"/>
        </w:rPr>
        <w:t xml:space="preserve">[APPC – Appendix C, C-2 §64]  </w:t>
      </w:r>
      <w:r>
        <w:rPr>
          <w:rFonts w:ascii="Arial" w:cs="Arial" w:eastAsia="Arial" w:hAnsi="Arial"/>
          <w:color w:val="2D2D2D"/>
          <w:sz w:val="19"/>
          <w:szCs w:val="19"/>
        </w:rPr>
        <w:t xml:space="preserve">Require designation of hazardous areas identifying where hot work presents a fire or explosion risk. Require a Hot Works Permit (within the site PTW system) for all hot work activities, with minimum content: location; work description; safe welding area classification; gas detection pre-work results; fire protection measures confirmed in place; fire watch assignment; and permit duration.</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§3.3]  </w:t>
      </w:r>
      <w:r>
        <w:rPr>
          <w:rFonts w:ascii="Arial" w:cs="Arial" w:eastAsia="Arial" w:hAnsi="Arial"/>
          <w:color w:val="2D2D2D"/>
          <w:sz w:val="19"/>
          <w:szCs w:val="19"/>
        </w:rPr>
        <w:t xml:space="preserve">Ensure that fire prevention, detection, and suppression systems are in place and maintained, and that hot work control procedures are integrated with the site emergency response plan.</w:t>
      </w:r>
    </w:p>
    <w:p>
      <w:pPr>
        <w:pStyle w:val="Heading2"/>
        <w:spacing w:after="60" w:before="240"/>
      </w:pPr>
      <w:r>
        <w:rPr>
          <w:rFonts w:ascii="Arial" w:cs="Arial" w:eastAsia="Arial" w:hAnsi="Arial"/>
          <w:b/>
          <w:bCs/>
          <w:color w:val="2E75B6"/>
          <w:sz w:val="22"/>
          <w:szCs w:val="22"/>
        </w:rPr>
        <w:t xml:space="preserve">Gas Detection</w:t>
      </w:r>
    </w:p>
    <w:p>
      <w:pPr>
        <w:pStyle w:val="ListParagraph"/>
        <w:numPr>
          <w:ilvl w:val="0"/>
          <w:numId w:val="2"/>
        </w:numPr>
        <w:spacing w:after="40" w:before="40"/>
      </w:pPr>
      <w:r>
        <w:rPr>
          <w:rFonts w:ascii="Arial" w:cs="Arial" w:eastAsia="Arial" w:hAnsi="Arial"/>
          <w:b/>
          <w:bCs/>
          <w:color w:val="375623"/>
          <w:sz w:val="19"/>
          <w:szCs w:val="19"/>
        </w:rPr>
        <w:t xml:space="preserve">[APPC – Appendix C, C-2 §64]  </w:t>
      </w:r>
      <w:r>
        <w:rPr>
          <w:rFonts w:ascii="Arial" w:cs="Arial" w:eastAsia="Arial" w:hAnsi="Arial"/>
          <w:color w:val="2D2D2D"/>
          <w:sz w:val="19"/>
          <w:szCs w:val="19"/>
        </w:rPr>
        <w:t xml:space="preserve">Require monitoring for flammable gases and vapours before and during all hot work activities. Define gas detection equipment requirements, bump-testing frequency, calibration requirements, and the action level (below 10% LEL) at which hot work must be suspended.</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the continuous monitoring requirements for hot work in areas where gas accumulation could recur during the task (e.g., near process equipment, drains, or enclosed spaces), specifying the monitoring frequency and the criteria for suspending and re-assessing work.</w:t>
      </w:r>
    </w:p>
    <w:p>
      <w:pPr>
        <w:pStyle w:val="Heading2"/>
        <w:spacing w:after="60" w:before="240"/>
      </w:pPr>
      <w:r>
        <w:rPr>
          <w:rFonts w:ascii="Arial" w:cs="Arial" w:eastAsia="Arial" w:hAnsi="Arial"/>
          <w:b/>
          <w:bCs/>
          <w:color w:val="2E75B6"/>
          <w:sz w:val="22"/>
          <w:szCs w:val="22"/>
        </w:rPr>
        <w:t xml:space="preserve">Fire Protection</w:t>
      </w:r>
    </w:p>
    <w:p>
      <w:pPr>
        <w:pStyle w:val="ListParagraph"/>
        <w:numPr>
          <w:ilvl w:val="0"/>
          <w:numId w:val="2"/>
        </w:numPr>
        <w:spacing w:after="40" w:before="40"/>
      </w:pPr>
      <w:r>
        <w:rPr>
          <w:rFonts w:ascii="Arial" w:cs="Arial" w:eastAsia="Arial" w:hAnsi="Arial"/>
          <w:b/>
          <w:bCs/>
          <w:color w:val="375623"/>
          <w:sz w:val="19"/>
          <w:szCs w:val="19"/>
        </w:rPr>
        <w:t xml:space="preserve">[APPC – Appendix C, C-2 §64]  </w:t>
      </w:r>
      <w:r>
        <w:rPr>
          <w:rFonts w:ascii="Arial" w:cs="Arial" w:eastAsia="Arial" w:hAnsi="Arial"/>
          <w:color w:val="2D2D2D"/>
          <w:sz w:val="19"/>
          <w:szCs w:val="19"/>
        </w:rPr>
        <w:t xml:space="preserve">Define minimum fire protection requirements: suitable fire extinguishers (correct class for the hazard); fire watch assignment during work and for a defined period after completion; cleared combustible material zones; and spark/slag containment.</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§3.3]  </w:t>
      </w:r>
      <w:r>
        <w:rPr>
          <w:rFonts w:ascii="Arial" w:cs="Arial" w:eastAsia="Arial" w:hAnsi="Arial"/>
          <w:color w:val="2D2D2D"/>
          <w:sz w:val="19"/>
          <w:szCs w:val="19"/>
        </w:rPr>
        <w:t xml:space="preserve">Ensure that the fire watch is maintained for sufficient time after work ends to confirm that no latent ignition source remains. Define the minimum post-work fire watch period based on risk assessment.</w:t>
      </w:r>
    </w:p>
    <w:p>
      <w:pPr>
        <w:pStyle w:val="Heading2"/>
        <w:spacing w:after="60" w:before="240"/>
      </w:pPr>
      <w:r>
        <w:rPr>
          <w:rFonts w:ascii="Arial" w:cs="Arial" w:eastAsia="Arial" w:hAnsi="Arial"/>
          <w:b/>
          <w:bCs/>
          <w:color w:val="2E75B6"/>
          <w:sz w:val="22"/>
          <w:szCs w:val="22"/>
        </w:rPr>
        <w:t xml:space="preserve">Hot Work on In-Service Equipment</w:t>
      </w:r>
    </w:p>
    <w:p>
      <w:pPr>
        <w:pStyle w:val="ListParagraph"/>
        <w:numPr>
          <w:ilvl w:val="0"/>
          <w:numId w:val="2"/>
        </w:numPr>
        <w:spacing w:after="40" w:before="40"/>
      </w:pPr>
      <w:r>
        <w:rPr>
          <w:rFonts w:ascii="Arial" w:cs="Arial" w:eastAsia="Arial" w:hAnsi="Arial"/>
          <w:b/>
          <w:bCs/>
          <w:color w:val="375623"/>
          <w:sz w:val="19"/>
          <w:szCs w:val="19"/>
        </w:rPr>
        <w:t xml:space="preserve">[APPC – Appendix C, C-2 §64]  </w:t>
      </w:r>
      <w:r>
        <w:rPr>
          <w:rFonts w:ascii="Arial" w:cs="Arial" w:eastAsia="Arial" w:hAnsi="Arial"/>
          <w:color w:val="2D2D2D"/>
          <w:sz w:val="19"/>
          <w:szCs w:val="19"/>
        </w:rPr>
        <w:t xml:space="preserve">Define specific controls for hot work on or adjacent to tanks, vessels, or piping that may contain or have contained flammable, toxic, or reactive materials, including: isolation and purging requirements; atmospheric testing confirming absence of flammable or toxic content; and written risk assessment and authorisation process.</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Ensure that all energy sources associated with in-service equipment subject to hot work are formally isolated and verified at zero energy before work commences, using the site LOTO procedure.</w:t>
      </w:r>
    </w:p>
    <w:p>
      <w:pPr>
        <w:pStyle w:val="Heading2"/>
        <w:spacing w:after="60" w:before="240"/>
      </w:pPr>
      <w:r>
        <w:rPr>
          <w:rFonts w:ascii="Arial" w:cs="Arial" w:eastAsia="Arial" w:hAnsi="Arial"/>
          <w:b/>
          <w:bCs/>
          <w:color w:val="2E75B6"/>
          <w:sz w:val="22"/>
          <w:szCs w:val="22"/>
        </w:rPr>
        <w:t xml:space="preserve">SIMOPS Interface</w:t>
      </w:r>
    </w:p>
    <w:p>
      <w:pPr>
        <w:pStyle w:val="ListParagraph"/>
        <w:numPr>
          <w:ilvl w:val="0"/>
          <w:numId w:val="2"/>
        </w:numPr>
        <w:spacing w:after="40" w:before="40"/>
      </w:pPr>
      <w:r>
        <w:rPr>
          <w:rFonts w:ascii="Arial" w:cs="Arial" w:eastAsia="Arial" w:hAnsi="Arial"/>
          <w:b/>
          <w:bCs/>
          <w:color w:val="375623"/>
          <w:sz w:val="19"/>
          <w:szCs w:val="19"/>
        </w:rPr>
        <w:t xml:space="preserve">[APPC – Appendix C, C-2 §63]  </w:t>
      </w:r>
      <w:r>
        <w:rPr>
          <w:rFonts w:ascii="Arial" w:cs="Arial" w:eastAsia="Arial" w:hAnsi="Arial"/>
          <w:color w:val="2D2D2D"/>
          <w:sz w:val="19"/>
          <w:szCs w:val="19"/>
        </w:rPr>
        <w:t xml:space="preserve">Require that hot work in proximity to other project activities is assessed through the project SIMOPS process. Define conditions under which hot work is classed as a prohibited combination in the SIMOPS Matrix and must be suspended.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project-specific hazardous area designations before work commences. Identify all areas of the site where hot work is prohibited, restricted, or requires elevated controls, and insert a site map reference or area list.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gas detection equipment approved for use on this project and the action levels that trigger work suspension. Different projects may have different equipment fleets — specify approved devices.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fire watch duration requirement for this project after hot work completion. The procedure requires one — set the project minimum (e.g., 30 minutes for standard work; 60 minutes for work on or near insulated surfaces).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§64.4]  </w:t>
            </w:r>
            <w:r>
              <w:rPr>
                <w:rFonts w:ascii="Arial" w:cs="Arial" w:eastAsia="Arial" w:hAnsi="Arial"/>
                <w:color w:val="2D2D2D"/>
                <w:sz w:val="19"/>
                <w:szCs w:val="19"/>
              </w:rPr>
              <w:t xml:space="preserve">Require gas detection before and during all hot work activities, monitoring for flammable gases and vapours. Gas detection devices must be calibrated and calibration records maintained and available for inspection.</w:t>
            </w:r>
          </w:p>
          <w:p>
            <w:pPr>
              <w:pStyle w:val="ListParagraph"/>
              <w:numPr>
                <w:ilvl w:val="0"/>
                <w:numId w:val="2"/>
              </w:numPr>
              <w:spacing w:after="40" w:before="40"/>
            </w:pPr>
            <w:r>
              <w:rPr>
                <w:rFonts w:ascii="Arial" w:cs="Arial" w:eastAsia="Arial" w:hAnsi="Arial"/>
                <w:b/>
                <w:bCs/>
                <w:color w:val="375623"/>
                <w:sz w:val="19"/>
                <w:szCs w:val="19"/>
              </w:rPr>
              <w:t xml:space="preserve">[APPC – Appendix C, C-2 §64.5]  </w:t>
            </w:r>
            <w:r>
              <w:rPr>
                <w:rFonts w:ascii="Arial" w:cs="Arial" w:eastAsia="Arial" w:hAnsi="Arial"/>
                <w:color w:val="2D2D2D"/>
                <w:sz w:val="19"/>
                <w:szCs w:val="19"/>
              </w:rPr>
              <w:t xml:space="preserve">Require fire protection measures appropriate to the work location and nature of hot work: serviceable fire suppression systems or extinguishers rated for the hazard; a designated fire watch before, during, and for a defined period after hot work; and confirmation that all fire protection measures are in place before the permit is issued.</w:t>
            </w:r>
          </w:p>
          <w:p>
            <w:pPr>
              <w:pStyle w:val="ListParagraph"/>
              <w:numPr>
                <w:ilvl w:val="0"/>
                <w:numId w:val="2"/>
              </w:numPr>
              <w:spacing w:after="40" w:before="40"/>
            </w:pPr>
            <w:r>
              <w:rPr>
                <w:rFonts w:ascii="Arial" w:cs="Arial" w:eastAsia="Arial" w:hAnsi="Arial"/>
                <w:b/>
                <w:bCs/>
                <w:color w:val="375623"/>
                <w:sz w:val="19"/>
                <w:szCs w:val="19"/>
              </w:rPr>
              <w:t xml:space="preserve">[APPC – Appendix C, C-2 §64.6]  </w:t>
            </w:r>
            <w:r>
              <w:rPr>
                <w:rFonts w:ascii="Arial" w:cs="Arial" w:eastAsia="Arial" w:hAnsi="Arial"/>
                <w:color w:val="2D2D2D"/>
                <w:sz w:val="19"/>
                <w:szCs w:val="19"/>
              </w:rPr>
              <w:t xml:space="preserve">Require specific controls for hot work on equipment in service including tanks, vessels, and piping: isolation and purging; gas testing to confirm absence of flammable atmosphere; written engineering or safety authority approval; and documentation of all controls in the hot work permit.</w:t>
            </w:r>
          </w:p>
          <w:p>
            <w:r>
              <w:rPr>
                <w:rFonts w:ascii="Arial" w:cs="Arial" w:eastAsia="Arial" w:hAnsi="Arial"/>
                <w:color w:val="3C2A00"/>
                <w:sz w:val="17"/>
                <w:szCs w:val="17"/>
              </w:rPr>
              <w:t xml:space="preserve">Define the project approval process for hot work on in-service equipment: who must approve; what documentation is required before work commences.</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Manual Tasks and Ergonomics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RTPR-HSE-PRO-0017</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Manual tasks risk assessment trigger criteria</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Vibration exposure limits and assessment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Manual handling control hierarchy</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MSD early intervention process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(manual task risk assessment framework)</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(manual task awareness training)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RTPR-HSE-PRO-0006 – Fitness for Work (physical capacity requirements)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RTPR-HSE-PRO-0027 – PPE (manual handling PPE)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(MSD injury reporting)</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identifying, assessing, and controlling hazardous manual tasks and ergonomic risks to prevent musculoskeletal disorders (MSDs), occupational injuries, and permanent disability across the project workforce.</w:t>
      </w:r>
    </w:p>
    <w:p>
      <w:pPr>
        <w:pStyle w:val="Heading2"/>
        <w:spacing w:after="60" w:before="240"/>
      </w:pPr>
      <w:r>
        <w:rPr>
          <w:rFonts w:ascii="Arial" w:cs="Arial" w:eastAsia="Arial" w:hAnsi="Arial"/>
          <w:b/>
          <w:bCs/>
          <w:color w:val="2E75B6"/>
          <w:sz w:val="22"/>
          <w:szCs w:val="22"/>
        </w:rPr>
        <w:t xml:space="preserve">Risk Assessment</w:t>
      </w:r>
    </w:p>
    <w:p>
      <w:pPr>
        <w:pStyle w:val="ListParagraph"/>
        <w:numPr>
          <w:ilvl w:val="0"/>
          <w:numId w:val="2"/>
        </w:numPr>
        <w:spacing w:after="40" w:before="40"/>
      </w:pPr>
      <w:r>
        <w:rPr>
          <w:rFonts w:ascii="Arial" w:cs="Arial" w:eastAsia="Arial" w:hAnsi="Arial"/>
          <w:b/>
          <w:bCs/>
          <w:color w:val="375623"/>
          <w:sz w:val="19"/>
          <w:szCs w:val="19"/>
        </w:rPr>
        <w:t xml:space="preserve">[APPC – Appendix C, C-2 §68]  </w:t>
      </w:r>
      <w:r>
        <w:rPr>
          <w:rFonts w:ascii="Arial" w:cs="Arial" w:eastAsia="Arial" w:hAnsi="Arial"/>
          <w:color w:val="2D2D2D"/>
          <w:sz w:val="19"/>
          <w:szCs w:val="19"/>
        </w:rPr>
        <w:t xml:space="preserve">Require risk assessment of workplace design, layout, practices, and procedures by a competent person. Require identification and risk assessment of manual tasks with potential to cause permanent disability, assessing internal and external forces acting on the human body.</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§2.5]  </w:t>
      </w:r>
      <w:r>
        <w:rPr>
          <w:rFonts w:ascii="Arial" w:cs="Arial" w:eastAsia="Arial" w:hAnsi="Arial"/>
          <w:color w:val="2D2D2D"/>
          <w:sz w:val="19"/>
          <w:szCs w:val="19"/>
        </w:rPr>
        <w:t xml:space="preserve">Identify manual handling hazards including: heavy or awkward loads; repetitive motions; sustained or awkward postures; hand-arm and whole-body vibration; and contact stress.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 manual tasks risk assessment trigger list identifying the specific job types or task characteristics that require a formal ergonomic assessment (e.g., lifts exceeding a defined weight threshold, repetitive tasks exceeding a defined duration, work requiring sustained non-neutral postures). Thresholds must be set by the project based on the relevant jurisdiction and workforce demographics.</w:t>
      </w:r>
    </w:p>
    <w:p>
      <w:pPr>
        <w:pStyle w:val="Heading2"/>
        <w:spacing w:after="60" w:before="240"/>
      </w:pPr>
      <w:r>
        <w:rPr>
          <w:rFonts w:ascii="Arial" w:cs="Arial" w:eastAsia="Arial" w:hAnsi="Arial"/>
          <w:b/>
          <w:bCs/>
          <w:color w:val="2E75B6"/>
          <w:sz w:val="22"/>
          <w:szCs w:val="22"/>
        </w:rPr>
        <w:t xml:space="preserve">Controls</w:t>
      </w:r>
    </w:p>
    <w:p>
      <w:pPr>
        <w:pStyle w:val="ListParagraph"/>
        <w:numPr>
          <w:ilvl w:val="0"/>
          <w:numId w:val="2"/>
        </w:numPr>
        <w:spacing w:after="40" w:before="40"/>
      </w:pPr>
      <w:r>
        <w:rPr>
          <w:rFonts w:ascii="Arial" w:cs="Arial" w:eastAsia="Arial" w:hAnsi="Arial"/>
          <w:b/>
          <w:bCs/>
          <w:color w:val="375623"/>
          <w:sz w:val="19"/>
          <w:szCs w:val="19"/>
        </w:rPr>
        <w:t xml:space="preserve">[APPC – Appendix C, C-2 §68]  </w:t>
      </w:r>
      <w:r>
        <w:rPr>
          <w:rFonts w:ascii="Arial" w:cs="Arial" w:eastAsia="Arial" w:hAnsi="Arial"/>
          <w:color w:val="2D2D2D"/>
          <w:sz w:val="19"/>
          <w:szCs w:val="19"/>
        </w:rPr>
        <w:t xml:space="preserve">Require use of mechanical aids, equipment, or work design changes to minimise worker exposure to heavy, awkward, or repetitive tasks, applying the hierarchy of controls before recommending PPE.</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§2.5]  </w:t>
      </w:r>
      <w:r>
        <w:rPr>
          <w:rFonts w:ascii="Arial" w:cs="Arial" w:eastAsia="Arial" w:hAnsi="Arial"/>
          <w:color w:val="2D2D2D"/>
          <w:sz w:val="19"/>
          <w:szCs w:val="19"/>
        </w:rPr>
        <w:t xml:space="preserve">Implement engineering controls (mechanical lifting aids, adjustable workstations, tool redesign) as the primary means of managing manual handling risk, supported by administrative controls (job rotation, rest breaks, pace setting) and PPE as last resort.</w:t>
      </w:r>
    </w:p>
    <w:p>
      <w:pPr>
        <w:pStyle w:val="Heading2"/>
        <w:spacing w:after="60" w:before="240"/>
      </w:pPr>
      <w:r>
        <w:rPr>
          <w:rFonts w:ascii="Arial" w:cs="Arial" w:eastAsia="Arial" w:hAnsi="Arial"/>
          <w:b/>
          <w:bCs/>
          <w:color w:val="2E75B6"/>
          <w:sz w:val="22"/>
          <w:szCs w:val="22"/>
        </w:rPr>
        <w:t xml:space="preserve">Vibration</w:t>
      </w:r>
    </w:p>
    <w:p>
      <w:pPr>
        <w:pStyle w:val="ListParagraph"/>
        <w:numPr>
          <w:ilvl w:val="0"/>
          <w:numId w:val="2"/>
        </w:numPr>
        <w:spacing w:after="40" w:before="40"/>
      </w:pPr>
      <w:r>
        <w:rPr>
          <w:rFonts w:ascii="Arial" w:cs="Arial" w:eastAsia="Arial" w:hAnsi="Arial"/>
          <w:b/>
          <w:bCs/>
          <w:color w:val="375623"/>
          <w:sz w:val="19"/>
          <w:szCs w:val="19"/>
        </w:rPr>
        <w:t xml:space="preserve">[APPC – Appendix C, C-2 §68]  </w:t>
      </w:r>
      <w:r>
        <w:rPr>
          <w:rFonts w:ascii="Arial" w:cs="Arial" w:eastAsia="Arial" w:hAnsi="Arial"/>
          <w:color w:val="2D2D2D"/>
          <w:sz w:val="19"/>
          <w:szCs w:val="19"/>
        </w:rPr>
        <w:t xml:space="preserve">Identify, assess, and measure workplace vibration sources (hand-arm and whole-body) where there is potential to exceed exposure limits specified in the European Directive on Vibration (2002/44/EC) or applicable national legislation, whichever is more stringent.</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§2.3]  </w:t>
      </w:r>
      <w:r>
        <w:rPr>
          <w:rFonts w:ascii="Arial" w:cs="Arial" w:eastAsia="Arial" w:hAnsi="Arial"/>
          <w:color w:val="2D2D2D"/>
          <w:sz w:val="19"/>
          <w:szCs w:val="19"/>
        </w:rPr>
        <w:t xml:space="preserve">Implement engineering controls (anti-vibration mountings, vibration-reducing tool handles, suspension seating) and administrative controls (exposure time limits, health surveillance) for workers with significant vibration exposure.</w:t>
      </w:r>
    </w:p>
    <w:p>
      <w:pPr>
        <w:pStyle w:val="Heading2"/>
        <w:spacing w:after="60" w:before="240"/>
      </w:pPr>
      <w:r>
        <w:rPr>
          <w:rFonts w:ascii="Arial" w:cs="Arial" w:eastAsia="Arial" w:hAnsi="Arial"/>
          <w:b/>
          <w:bCs/>
          <w:color w:val="2E75B6"/>
          <w:sz w:val="22"/>
          <w:szCs w:val="22"/>
        </w:rPr>
        <w:t xml:space="preserve">Health Surveillance</w:t>
      </w:r>
    </w:p>
    <w:p>
      <w:pPr>
        <w:pStyle w:val="ListParagraph"/>
        <w:numPr>
          <w:ilvl w:val="0"/>
          <w:numId w:val="2"/>
        </w:numPr>
        <w:spacing w:after="40" w:before="40"/>
      </w:pPr>
      <w:r>
        <w:rPr>
          <w:rFonts w:ascii="Arial" w:cs="Arial" w:eastAsia="Arial" w:hAnsi="Arial"/>
          <w:b/>
          <w:bCs/>
          <w:color w:val="7030A0"/>
          <w:sz w:val="19"/>
          <w:szCs w:val="19"/>
        </w:rPr>
        <w:t xml:space="preserve">[ICMM – ICMM Principle 5, Performance Expectation 5.2]  </w:t>
      </w:r>
      <w:r>
        <w:rPr>
          <w:rFonts w:ascii="Arial" w:cs="Arial" w:eastAsia="Arial" w:hAnsi="Arial"/>
          <w:color w:val="2D2D2D"/>
          <w:sz w:val="19"/>
          <w:szCs w:val="19"/>
        </w:rPr>
        <w:t xml:space="preserve">Implement health surveillance programmes based on occupational exposures, including MSD symptom reporting and periodic musculoskeletal health assessments for workers in identified high-risk manual task roles.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 musculoskeletal disorder early intervention process that identifies personnel with early MSD symptoms, triggers modified duties or ergonomic re-assessment, and prevents progression to permanent disability. The project must set its own early intervention threshold criteria.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manual tasks risk assessment trigger list — the specific task types or weight/frequency thresholds that require a formal ergonomic assessment. The procedure requires these to be set by the project. Insert as a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Identify any vibration-intensive equipment or tasks on this project (e.g., jackhammers, plate compactors, heavy plant with suspension issues) and define the project vibration exposure monitoring approach.</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§68.3]  </w:t>
            </w:r>
            <w:r>
              <w:rPr>
                <w:rFonts w:ascii="Arial" w:cs="Arial" w:eastAsia="Arial" w:hAnsi="Arial"/>
                <w:color w:val="2D2D2D"/>
                <w:sz w:val="19"/>
                <w:szCs w:val="19"/>
              </w:rPr>
              <w:t xml:space="preserve">Require identification and risk assessment of manual tasks that have the potential to cause permanent disability. Controls must be implemented and assessments must consider both internal and external risk factors including posture, force, repetition, and duration.</w:t>
            </w:r>
          </w:p>
          <w:p>
            <w:pPr>
              <w:pStyle w:val="ListParagraph"/>
              <w:numPr>
                <w:ilvl w:val="0"/>
                <w:numId w:val="2"/>
              </w:numPr>
              <w:spacing w:after="40" w:before="40"/>
            </w:pPr>
            <w:r>
              <w:rPr>
                <w:rFonts w:ascii="Arial" w:cs="Arial" w:eastAsia="Arial" w:hAnsi="Arial"/>
                <w:b/>
                <w:bCs/>
                <w:color w:val="375623"/>
                <w:sz w:val="19"/>
                <w:szCs w:val="19"/>
              </w:rPr>
              <w:t xml:space="preserve">[APPC – Appendix C, C-2 §68.5]  </w:t>
            </w:r>
            <w:r>
              <w:rPr>
                <w:rFonts w:ascii="Arial" w:cs="Arial" w:eastAsia="Arial" w:hAnsi="Arial"/>
                <w:color w:val="2D2D2D"/>
                <w:sz w:val="19"/>
                <w:szCs w:val="19"/>
              </w:rPr>
              <w:t xml:space="preserve">Require identification, assessment, and measurement of workplace vibration sources where there is potential to exceed applicable exposure limits. Assessment must be conducted by a competent person.</w:t>
            </w:r>
          </w:p>
          <w:p>
            <w:pPr>
              <w:pStyle w:val="ListParagraph"/>
              <w:numPr>
                <w:ilvl w:val="0"/>
                <w:numId w:val="2"/>
              </w:numPr>
              <w:spacing w:after="40" w:before="40"/>
            </w:pPr>
            <w:r>
              <w:rPr>
                <w:rFonts w:ascii="Arial" w:cs="Arial" w:eastAsia="Arial" w:hAnsi="Arial"/>
                <w:b/>
                <w:bCs/>
                <w:color w:val="375623"/>
                <w:sz w:val="19"/>
                <w:szCs w:val="19"/>
              </w:rPr>
              <w:t xml:space="preserve">[APPC – Appendix C, C-2 §68.6]  </w:t>
            </w:r>
            <w:r>
              <w:rPr>
                <w:rFonts w:ascii="Arial" w:cs="Arial" w:eastAsia="Arial" w:hAnsi="Arial"/>
                <w:color w:val="2D2D2D"/>
                <w:sz w:val="19"/>
                <w:szCs w:val="19"/>
              </w:rPr>
              <w:t xml:space="preserve">Require engineering or administrative controls to mitigate risks associated with manual handling, repetitive strain, and workplace vibration. Engineering controls must be considered before administrative controls and PPE.</w:t>
            </w:r>
          </w:p>
          <w:p>
            <w:r>
              <w:rPr>
                <w:rFonts w:ascii="Arial" w:cs="Arial" w:eastAsia="Arial" w:hAnsi="Arial"/>
                <w:color w:val="3C2A00"/>
                <w:sz w:val="17"/>
                <w:szCs w:val="17"/>
              </w:rPr>
              <w:t xml:space="preserve">Define the project MSD early intervention process: who assesses early symptoms; what modified duties options are available; who manages the case. Connect to the Return to Work process in RTPR-HSE-PRO-0006.</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Aviation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RTPR-HSE-PRO-0018</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Nominated Manager – Aviation (NM-A) requirements and delegates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Aviation risk assessment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Commercial air travel booking requirements (TMC, List 1/2 airlines)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Charter aircraft approval requirements (BARS)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RPAS operating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Airfield and HLS management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(aviation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(NM-A training requirements — documented in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RTPR-HSE-PRO-0006 – Fitness for Work (aviation personnel fitness requirements)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(aviation incident reporting)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RTPR-HSE-PRO-0040 – Management of Change (NM-A/delegate changes via MoC)</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RTPR-HSE-PRO-0026 – Vehicles references RTPR-HSE-PRO-0018 for integration of ground transport with aviation</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applies to all aviation activities associated with the owner-led project: commercial air travel; chartered aircraft (fixed and rotary wing); RPAS/drone operations; and management of any owned or operated airfields and helicopter landing sites. It must be read in conjunction with the Flight Safety Foundation Basic Aviation Risk Standard (BARS).</w:t>
      </w:r>
    </w:p>
    <w:p>
      <w:pPr>
        <w:pStyle w:val="Heading2"/>
        <w:spacing w:after="60" w:before="240"/>
      </w:pPr>
      <w:r>
        <w:rPr>
          <w:rFonts w:ascii="Arial" w:cs="Arial" w:eastAsia="Arial" w:hAnsi="Arial"/>
          <w:b/>
          <w:bCs/>
          <w:color w:val="2E75B6"/>
          <w:sz w:val="22"/>
          <w:szCs w:val="22"/>
        </w:rPr>
        <w:t xml:space="preserve">Nominated Manager – Aviation and Risk Assessment</w:t>
      </w:r>
    </w:p>
    <w:p>
      <w:pPr>
        <w:pStyle w:val="ListParagraph"/>
        <w:numPr>
          <w:ilvl w:val="0"/>
          <w:numId w:val="2"/>
        </w:numPr>
        <w:spacing w:after="40" w:before="40"/>
      </w:pPr>
      <w:r>
        <w:rPr>
          <w:rFonts w:ascii="Arial" w:cs="Arial" w:eastAsia="Arial" w:hAnsi="Arial"/>
          <w:b/>
          <w:bCs/>
          <w:color w:val="1F3864"/>
          <w:sz w:val="19"/>
          <w:szCs w:val="19"/>
        </w:rPr>
        <w:t xml:space="preserve">[RT – RT C7 – Aviation Standard]  </w:t>
      </w:r>
      <w:r>
        <w:rPr>
          <w:rFonts w:ascii="Arial" w:cs="Arial" w:eastAsia="Arial" w:hAnsi="Arial"/>
          <w:color w:val="2D2D2D"/>
          <w:sz w:val="19"/>
          <w:szCs w:val="19"/>
        </w:rPr>
        <w:t xml:space="preserve">Require appointment of a Nominated Manager – Aviation (NM-A) in writing, with sufficient authority, Flight Safety Foundation MCAR training, RT Group aviation training, at least one delegate, and a Management of Change process for personnel changes.</w:t>
      </w:r>
    </w:p>
    <w:p>
      <w:pPr>
        <w:pStyle w:val="ListParagraph"/>
        <w:numPr>
          <w:ilvl w:val="0"/>
          <w:numId w:val="2"/>
        </w:numPr>
        <w:spacing w:after="40" w:before="40"/>
      </w:pPr>
      <w:r>
        <w:rPr>
          <w:rFonts w:ascii="Arial" w:cs="Arial" w:eastAsia="Arial" w:hAnsi="Arial"/>
          <w:b/>
          <w:bCs/>
          <w:color w:val="1F3864"/>
          <w:sz w:val="19"/>
          <w:szCs w:val="19"/>
        </w:rPr>
        <w:t xml:space="preserve">[RT – RT C7 – Aviation Standard]  </w:t>
      </w:r>
      <w:r>
        <w:rPr>
          <w:rFonts w:ascii="Arial" w:cs="Arial" w:eastAsia="Arial" w:hAnsi="Arial"/>
          <w:color w:val="2D2D2D"/>
          <w:sz w:val="19"/>
          <w:szCs w:val="19"/>
        </w:rPr>
        <w:t xml:space="preserve">Require a risk assessment in consultation with experienced aviation personnel before any aviation activity. Require activity-specific risk assessments before new aviation operations. Require existing assessments to be reviewed at least every two years.</w:t>
      </w:r>
    </w:p>
    <w:p>
      <w:pPr>
        <w:pStyle w:val="ListParagraph"/>
        <w:numPr>
          <w:ilvl w:val="0"/>
          <w:numId w:val="2"/>
        </w:numPr>
        <w:spacing w:after="40" w:before="40"/>
      </w:pPr>
      <w:r>
        <w:rPr>
          <w:rFonts w:ascii="Arial" w:cs="Arial" w:eastAsia="Arial" w:hAnsi="Arial"/>
          <w:b/>
          <w:bCs/>
          <w:color w:val="1F3864"/>
          <w:sz w:val="19"/>
          <w:szCs w:val="19"/>
        </w:rPr>
        <w:t xml:space="preserve">[RT – RT C7 – Aviation Standard]  </w:t>
      </w:r>
      <w:r>
        <w:rPr>
          <w:rFonts w:ascii="Arial" w:cs="Arial" w:eastAsia="Arial" w:hAnsi="Arial"/>
          <w:color w:val="2D2D2D"/>
          <w:sz w:val="19"/>
          <w:szCs w:val="19"/>
        </w:rPr>
        <w:t xml:space="preserve">Document aviation management arrangements including: NM-A details and delegates; aviation activity types; applicable BARS standards and critical controls; and assurance processes. Review annually or when the risk profile changes materially.</w:t>
      </w:r>
    </w:p>
    <w:p>
      <w:pPr>
        <w:pStyle w:val="Heading2"/>
        <w:spacing w:after="60" w:before="240"/>
      </w:pPr>
      <w:r>
        <w:rPr>
          <w:rFonts w:ascii="Arial" w:cs="Arial" w:eastAsia="Arial" w:hAnsi="Arial"/>
          <w:b/>
          <w:bCs/>
          <w:color w:val="2E75B6"/>
          <w:sz w:val="22"/>
          <w:szCs w:val="22"/>
        </w:rPr>
        <w:t xml:space="preserve">Commercial Air Travel</w:t>
      </w:r>
    </w:p>
    <w:p>
      <w:pPr>
        <w:pStyle w:val="ListParagraph"/>
        <w:numPr>
          <w:ilvl w:val="0"/>
          <w:numId w:val="2"/>
        </w:numPr>
        <w:spacing w:after="40" w:before="40"/>
      </w:pPr>
      <w:r>
        <w:rPr>
          <w:rFonts w:ascii="Arial" w:cs="Arial" w:eastAsia="Arial" w:hAnsi="Arial"/>
          <w:b/>
          <w:bCs/>
          <w:color w:val="1F3864"/>
          <w:sz w:val="19"/>
          <w:szCs w:val="19"/>
        </w:rPr>
        <w:t xml:space="preserve">[RT – RT C7 – Aviation Standard]  </w:t>
      </w:r>
      <w:r>
        <w:rPr>
          <w:rFonts w:ascii="Arial" w:cs="Arial" w:eastAsia="Arial" w:hAnsi="Arial"/>
          <w:color w:val="2D2D2D"/>
          <w:sz w:val="19"/>
          <w:szCs w:val="19"/>
        </w:rPr>
        <w:t xml:space="preserve">Require all commercial air travel to be booked through the RT designated Travel Management Company on List 1 (unrestricted) approved airlines. List 2 airlines permitted only where a List 1 airline does not service the route. Non-approved airline travel requires Group Aviation Risk review and Managing Director or higher approval.</w:t>
      </w:r>
    </w:p>
    <w:p>
      <w:pPr>
        <w:pStyle w:val="Heading2"/>
        <w:spacing w:after="60" w:before="240"/>
      </w:pPr>
      <w:r>
        <w:rPr>
          <w:rFonts w:ascii="Arial" w:cs="Arial" w:eastAsia="Arial" w:hAnsi="Arial"/>
          <w:b/>
          <w:bCs/>
          <w:color w:val="2E75B6"/>
          <w:sz w:val="22"/>
          <w:szCs w:val="22"/>
        </w:rPr>
        <w:t xml:space="preserve">Charter Aircraft</w:t>
      </w:r>
    </w:p>
    <w:p>
      <w:pPr>
        <w:pStyle w:val="ListParagraph"/>
        <w:numPr>
          <w:ilvl w:val="0"/>
          <w:numId w:val="2"/>
        </w:numPr>
        <w:spacing w:after="40" w:before="40"/>
      </w:pPr>
      <w:r>
        <w:rPr>
          <w:rFonts w:ascii="Arial" w:cs="Arial" w:eastAsia="Arial" w:hAnsi="Arial"/>
          <w:b/>
          <w:bCs/>
          <w:color w:val="1F3864"/>
          <w:sz w:val="19"/>
          <w:szCs w:val="19"/>
        </w:rPr>
        <w:t xml:space="preserve">[RT – RT C7 – Aviation Standard]  </w:t>
      </w:r>
      <w:r>
        <w:rPr>
          <w:rFonts w:ascii="Arial" w:cs="Arial" w:eastAsia="Arial" w:hAnsi="Arial"/>
          <w:color w:val="2D2D2D"/>
          <w:sz w:val="19"/>
          <w:szCs w:val="19"/>
        </w:rPr>
        <w:t xml:space="preserve">Require all charter operators to hold current Group approval and BARS registration (comprehensive stream). Where BARS registration does not cover the specific aircraft type or operation, require a documented review by a Group-approved competent aviation specialist. For non-BARS operators, require a BARS gap analysis by an approved specialist. Require long-term contracted operations (greater than 6 months) to be governed by a written contract including BARS compliance clauses.</w:t>
      </w:r>
    </w:p>
    <w:p>
      <w:pPr>
        <w:pStyle w:val="Heading2"/>
        <w:spacing w:after="60" w:before="240"/>
      </w:pPr>
      <w:r>
        <w:rPr>
          <w:rFonts w:ascii="Arial" w:cs="Arial" w:eastAsia="Arial" w:hAnsi="Arial"/>
          <w:b/>
          <w:bCs/>
          <w:color w:val="2E75B6"/>
          <w:sz w:val="22"/>
          <w:szCs w:val="22"/>
        </w:rPr>
        <w:t xml:space="preserve">RPAS Operations</w:t>
      </w:r>
    </w:p>
    <w:p>
      <w:pPr>
        <w:pStyle w:val="ListParagraph"/>
        <w:numPr>
          <w:ilvl w:val="0"/>
          <w:numId w:val="2"/>
        </w:numPr>
        <w:spacing w:after="40" w:before="40"/>
      </w:pPr>
      <w:r>
        <w:rPr>
          <w:rFonts w:ascii="Arial" w:cs="Arial" w:eastAsia="Arial" w:hAnsi="Arial"/>
          <w:b/>
          <w:bCs/>
          <w:color w:val="1F3864"/>
          <w:sz w:val="19"/>
          <w:szCs w:val="19"/>
        </w:rPr>
        <w:t xml:space="preserve">[RT – RT C7 – Aviation Standard]  </w:t>
      </w:r>
      <w:r>
        <w:rPr>
          <w:rFonts w:ascii="Arial" w:cs="Arial" w:eastAsia="Arial" w:hAnsi="Arial"/>
          <w:color w:val="2D2D2D"/>
          <w:sz w:val="19"/>
          <w:szCs w:val="19"/>
        </w:rPr>
        <w:t xml:space="preserve">Require RPAS operators to hold current Group approval, operate per BARS and applicable regulations, hold all required permits, and implement controls to ensure separation with manned aviation and other RPAS.</w:t>
      </w:r>
    </w:p>
    <w:p>
      <w:pPr>
        <w:pStyle w:val="ListParagraph"/>
        <w:numPr>
          <w:ilvl w:val="0"/>
          <w:numId w:val="2"/>
        </w:numPr>
        <w:spacing w:after="40" w:before="40"/>
      </w:pPr>
      <w:r>
        <w:rPr>
          <w:rFonts w:ascii="Arial" w:cs="Arial" w:eastAsia="Arial" w:hAnsi="Arial"/>
          <w:b/>
          <w:bCs/>
          <w:color w:val="375623"/>
          <w:sz w:val="19"/>
          <w:szCs w:val="19"/>
        </w:rPr>
        <w:t xml:space="preserve">[APPC – Appendix C, C-2 §58.2]  </w:t>
      </w:r>
      <w:r>
        <w:rPr>
          <w:rFonts w:ascii="Arial" w:cs="Arial" w:eastAsia="Arial" w:hAnsi="Arial"/>
          <w:color w:val="2D2D2D"/>
          <w:sz w:val="19"/>
          <w:szCs w:val="19"/>
        </w:rPr>
        <w:t xml:space="preserve">Define pre-use inspection requirements: battery charge; firmware current; rotor and propeller function. Require exclusion zones during take-off and landing. Prohibit operations during adverse weather exceeding RPAS limitations. Require flight plans covering proximity to powerlines, infrastructure, personnel, and birdlife. Verify and document personnel competency before operations.</w:t>
      </w:r>
    </w:p>
    <w:p>
      <w:pPr>
        <w:pStyle w:val="Heading2"/>
        <w:spacing w:after="60" w:before="240"/>
      </w:pPr>
      <w:r>
        <w:rPr>
          <w:rFonts w:ascii="Arial" w:cs="Arial" w:eastAsia="Arial" w:hAnsi="Arial"/>
          <w:b/>
          <w:bCs/>
          <w:color w:val="2E75B6"/>
          <w:sz w:val="22"/>
          <w:szCs w:val="22"/>
        </w:rPr>
        <w:t xml:space="preserve">Airfield and HLS Management</w:t>
      </w:r>
    </w:p>
    <w:p>
      <w:pPr>
        <w:pStyle w:val="ListParagraph"/>
        <w:numPr>
          <w:ilvl w:val="0"/>
          <w:numId w:val="2"/>
        </w:numPr>
        <w:spacing w:after="40" w:before="40"/>
      </w:pPr>
      <w:r>
        <w:rPr>
          <w:rFonts w:ascii="Arial" w:cs="Arial" w:eastAsia="Arial" w:hAnsi="Arial"/>
          <w:b/>
          <w:bCs/>
          <w:color w:val="1F3864"/>
          <w:sz w:val="19"/>
          <w:szCs w:val="19"/>
        </w:rPr>
        <w:t xml:space="preserve">[RT – RT C7 – Aviation Standard]  </w:t>
      </w:r>
      <w:r>
        <w:rPr>
          <w:rFonts w:ascii="Arial" w:cs="Arial" w:eastAsia="Arial" w:hAnsi="Arial"/>
          <w:color w:val="2D2D2D"/>
          <w:sz w:val="19"/>
          <w:szCs w:val="19"/>
        </w:rPr>
        <w:t xml:space="preserve">Require owned/operated airfields and HLS to meet ICAO Annex 14 standards and national requirements, including: AWOS or trained weather observer; visual slope guidance; qualified responsible personnel; PCO/HLO; bird control; emergency preparedness; and a current management plan covering inspection, calibration, and maintenance.</w:t>
      </w:r>
    </w:p>
    <w:p>
      <w:pPr>
        <w:pStyle w:val="ListParagraph"/>
        <w:numPr>
          <w:ilvl w:val="0"/>
          <w:numId w:val="2"/>
        </w:numPr>
        <w:spacing w:after="40" w:before="40"/>
      </w:pPr>
      <w:r>
        <w:rPr>
          <w:rFonts w:ascii="Arial" w:cs="Arial" w:eastAsia="Arial" w:hAnsi="Arial"/>
          <w:b/>
          <w:bCs/>
          <w:color w:val="1F3864"/>
          <w:sz w:val="19"/>
          <w:szCs w:val="19"/>
        </w:rPr>
        <w:t xml:space="preserve">[RT – RT C7 – Aviation Standard]  </w:t>
      </w:r>
      <w:r>
        <w:rPr>
          <w:rFonts w:ascii="Arial" w:cs="Arial" w:eastAsia="Arial" w:hAnsi="Arial"/>
          <w:color w:val="2D2D2D"/>
          <w:sz w:val="19"/>
          <w:szCs w:val="19"/>
        </w:rPr>
        <w:t xml:space="preserve">Require annual review of all owned/operated airfields by a Group-approved competent aviation specialist.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Appoint the NM-A in writing for this project and confirm delegate appointments. Insert the NM-A name, position, training currency, and delegate details into the designated section of this procedure.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Complete the aviation activity inventory for this project: list all aviation activities that will occur (commercial travel, charter, RPAS, airfield/HLS operations) and the applicable BARS standard for each.</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For RPAS operations: define the specific RPAS types approved for this project, the flight approval process, and the exclusion zones for this project's site layout.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For any owned/operated airfields or HLS on this project: complete the airfield/HLS management plan and insert or reference it here.</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Process Safety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RTPR-HSE-PRO-0019</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Process hazard identification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Critical safety system identification and SIL classification basis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Safeguard bypass authorisation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Mechanical integrity programme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Process safety incident classification (Tier 1/2/3)</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(HAZOP as a risk assessment tool)</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RTPR-HSE-PRO-0020 – Functional Safety (SIS testing and maintenance)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(work on process systems via PTW)</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RTPR-HSE-PRO-0024 – Isolation (energy isolation for process systems)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RTPR-HSE-PRO-0040 – Management of Change (process changes via MoC)</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(process safety event reporting)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RTPR-HSE-PRO-0047 – Commissioning (safety system commissioning)</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RTPR-HSE-PRO-0047 – Commissioning references RTPR-HSE-PRO-0019 for safety-critical system pre-commissioning requirements</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managing process safety risks — the risks of unplanned releases of hazardous materials, energy, or substances that could cause multiple fatalities or catastrophic damage. In the owner-led project context, process safety risks arise during construction (e.g., working near existing plant, commissioning of new systems) and must be actively managed.</w:t>
      </w:r>
    </w:p>
    <w:p>
      <w:pPr>
        <w:pStyle w:val="Heading2"/>
        <w:spacing w:after="60" w:before="240"/>
      </w:pPr>
      <w:r>
        <w:rPr>
          <w:rFonts w:ascii="Arial" w:cs="Arial" w:eastAsia="Arial" w:hAnsi="Arial"/>
          <w:b/>
          <w:bCs/>
          <w:color w:val="2E75B6"/>
          <w:sz w:val="22"/>
          <w:szCs w:val="22"/>
        </w:rPr>
        <w:t xml:space="preserve">Process Hazard Identification</w:t>
      </w:r>
    </w:p>
    <w:p>
      <w:pPr>
        <w:pStyle w:val="ListParagraph"/>
        <w:numPr>
          <w:ilvl w:val="0"/>
          <w:numId w:val="2"/>
        </w:numPr>
        <w:spacing w:after="40" w:before="40"/>
      </w:pPr>
      <w:r>
        <w:rPr>
          <w:rFonts w:ascii="Arial" w:cs="Arial" w:eastAsia="Arial" w:hAnsi="Arial"/>
          <w:b/>
          <w:bCs/>
          <w:color w:val="1F3864"/>
          <w:sz w:val="19"/>
          <w:szCs w:val="19"/>
        </w:rPr>
        <w:t xml:space="preserve">[RT – RT – Process Safety Standard]  </w:t>
      </w:r>
      <w:r>
        <w:rPr>
          <w:rFonts w:ascii="Arial" w:cs="Arial" w:eastAsia="Arial" w:hAnsi="Arial"/>
          <w:color w:val="2D2D2D"/>
          <w:sz w:val="19"/>
          <w:szCs w:val="19"/>
        </w:rPr>
        <w:t xml:space="preserve">Require process hazard analysis (HAZOP or equivalent) for all processes and systems involving hazardous materials above threshold quantities or with significant energy content. Define when HAZOP studies are required: new design; modifications; at defined lifecycle milestones.</w:t>
      </w:r>
    </w:p>
    <w:p>
      <w:pPr>
        <w:pStyle w:val="ListParagraph"/>
        <w:numPr>
          <w:ilvl w:val="0"/>
          <w:numId w:val="2"/>
        </w:numPr>
        <w:spacing w:after="40" w:before="40"/>
      </w:pPr>
      <w:r>
        <w:rPr>
          <w:rFonts w:ascii="Arial" w:cs="Arial" w:eastAsia="Arial" w:hAnsi="Arial"/>
          <w:b/>
          <w:bCs/>
          <w:color w:val="C55A11"/>
          <w:sz w:val="19"/>
          <w:szCs w:val="19"/>
        </w:rPr>
        <w:t xml:space="preserve">[IFC – IFC PS3 §8]  </w:t>
      </w:r>
      <w:r>
        <w:rPr>
          <w:rFonts w:ascii="Arial" w:cs="Arial" w:eastAsia="Arial" w:hAnsi="Arial"/>
          <w:color w:val="2D2D2D"/>
          <w:sz w:val="19"/>
          <w:szCs w:val="19"/>
        </w:rPr>
        <w:t xml:space="preserve">Identify all process units and operations with potential for hazardous releases, and document the hazard identification methodology and findings as part of the project risk assessment process.</w:t>
      </w:r>
    </w:p>
    <w:p>
      <w:pPr>
        <w:pStyle w:val="ListParagraph"/>
        <w:numPr>
          <w:ilvl w:val="0"/>
          <w:numId w:val="2"/>
        </w:numPr>
        <w:spacing w:after="40" w:before="40"/>
      </w:pPr>
      <w:r>
        <w:rPr>
          <w:rFonts w:ascii="Arial" w:cs="Arial" w:eastAsia="Arial" w:hAnsi="Arial"/>
          <w:b/>
          <w:bCs/>
          <w:color w:val="7030A0"/>
          <w:sz w:val="19"/>
          <w:szCs w:val="19"/>
        </w:rPr>
        <w:t xml:space="preserve">[ICMM – ICMM Principle 4 – Risk Management]  </w:t>
      </w:r>
      <w:r>
        <w:rPr>
          <w:rFonts w:ascii="Arial" w:cs="Arial" w:eastAsia="Arial" w:hAnsi="Arial"/>
          <w:color w:val="2D2D2D"/>
          <w:sz w:val="19"/>
          <w:szCs w:val="19"/>
        </w:rPr>
        <w:t xml:space="preserve">Implement risk-based controls to prevent and mitigate process-related incidents, applying the hierarchy of controls with engineering safeguards as the primary means of risk reduction.</w:t>
      </w:r>
    </w:p>
    <w:p>
      <w:pPr>
        <w:pStyle w:val="Heading2"/>
        <w:spacing w:after="60" w:before="240"/>
      </w:pPr>
      <w:r>
        <w:rPr>
          <w:rFonts w:ascii="Arial" w:cs="Arial" w:eastAsia="Arial" w:hAnsi="Arial"/>
          <w:b/>
          <w:bCs/>
          <w:color w:val="2E75B6"/>
          <w:sz w:val="22"/>
          <w:szCs w:val="22"/>
        </w:rPr>
        <w:t xml:space="preserve">Critical Safety Systems</w:t>
      </w:r>
    </w:p>
    <w:p>
      <w:pPr>
        <w:pStyle w:val="ListParagraph"/>
        <w:numPr>
          <w:ilvl w:val="0"/>
          <w:numId w:val="2"/>
        </w:numPr>
        <w:spacing w:after="40" w:before="40"/>
      </w:pPr>
      <w:r>
        <w:rPr>
          <w:rFonts w:ascii="Arial" w:cs="Arial" w:eastAsia="Arial" w:hAnsi="Arial"/>
          <w:b/>
          <w:bCs/>
          <w:color w:val="1F3864"/>
          <w:sz w:val="19"/>
          <w:szCs w:val="19"/>
        </w:rPr>
        <w:t xml:space="preserve">[RT – RT – Process Safety Standard]  </w:t>
      </w:r>
      <w:r>
        <w:rPr>
          <w:rFonts w:ascii="Arial" w:cs="Arial" w:eastAsia="Arial" w:hAnsi="Arial"/>
          <w:color w:val="2D2D2D"/>
          <w:sz w:val="19"/>
          <w:szCs w:val="19"/>
        </w:rPr>
        <w:t xml:space="preserve">Require identification of all critical safety systems and controls (Safety Instrumented Systems, pressure relief devices, containment systems). Require validation and verification that critical safety systems are designed, installed, and functioning as intended before any process is brought into service.</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Include all safety-critical pressure relief devices, rupture discs, and containment systems in the mechanical integrity and inspection programme.</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and document which systems are classified as safety-critical, assign a Safety Integrity Level (SIL) or equivalent risk-based classification to each, and document the basis for that classification. The project must set this classification before commissioning activities begin.</w:t>
      </w:r>
    </w:p>
    <w:p>
      <w:pPr>
        <w:pStyle w:val="Heading2"/>
        <w:spacing w:after="60" w:before="240"/>
      </w:pPr>
      <w:r>
        <w:rPr>
          <w:rFonts w:ascii="Arial" w:cs="Arial" w:eastAsia="Arial" w:hAnsi="Arial"/>
          <w:b/>
          <w:bCs/>
          <w:color w:val="2E75B6"/>
          <w:sz w:val="22"/>
          <w:szCs w:val="22"/>
        </w:rPr>
        <w:t xml:space="preserve">Safeguard Bypass Management</w:t>
      </w:r>
    </w:p>
    <w:p>
      <w:pPr>
        <w:pStyle w:val="ListParagraph"/>
        <w:numPr>
          <w:ilvl w:val="0"/>
          <w:numId w:val="2"/>
        </w:numPr>
        <w:spacing w:after="40" w:before="40"/>
      </w:pPr>
      <w:r>
        <w:rPr>
          <w:rFonts w:ascii="Arial" w:cs="Arial" w:eastAsia="Arial" w:hAnsi="Arial"/>
          <w:b/>
          <w:bCs/>
          <w:color w:val="1F3864"/>
          <w:sz w:val="19"/>
          <w:szCs w:val="19"/>
        </w:rPr>
        <w:t xml:space="preserve">[RT – RT – Process Safety Standard]  </w:t>
      </w:r>
      <w:r>
        <w:rPr>
          <w:rFonts w:ascii="Arial" w:cs="Arial" w:eastAsia="Arial" w:hAnsi="Arial"/>
          <w:color w:val="2D2D2D"/>
          <w:sz w:val="19"/>
          <w:szCs w:val="19"/>
        </w:rPr>
        <w:t xml:space="preserve">Require a formal authorisation process for defeating or bypassing any process safety device, including: a risk assessment before bypass; documented compensating controls; time limits on bypass duration; approval at an appropriate authority level; and active tracking and reporting of all active bypasses.</w:t>
      </w:r>
    </w:p>
    <w:p>
      <w:pPr>
        <w:pStyle w:val="ListParagraph"/>
        <w:numPr>
          <w:ilvl w:val="0"/>
          <w:numId w:val="2"/>
        </w:numPr>
        <w:spacing w:after="40" w:before="40"/>
      </w:pPr>
      <w:r>
        <w:rPr>
          <w:rFonts w:ascii="Arial" w:cs="Arial" w:eastAsia="Arial" w:hAnsi="Arial"/>
          <w:b/>
          <w:bCs/>
          <w:color w:val="C55A11"/>
          <w:sz w:val="19"/>
          <w:szCs w:val="19"/>
        </w:rPr>
        <w:t xml:space="preserve">[IFC – IFC PS1 §9]  </w:t>
      </w:r>
      <w:r>
        <w:rPr>
          <w:rFonts w:ascii="Arial" w:cs="Arial" w:eastAsia="Arial" w:hAnsi="Arial"/>
          <w:color w:val="2D2D2D"/>
          <w:sz w:val="19"/>
          <w:szCs w:val="19"/>
        </w:rPr>
        <w:t xml:space="preserve">Ensure that any bypassing of safety-critical controls is managed through the project Management of Change process and communicated to all affected personnel.</w:t>
      </w:r>
    </w:p>
    <w:p>
      <w:pPr>
        <w:pStyle w:val="Heading2"/>
        <w:spacing w:after="60" w:before="240"/>
      </w:pPr>
      <w:r>
        <w:rPr>
          <w:rFonts w:ascii="Arial" w:cs="Arial" w:eastAsia="Arial" w:hAnsi="Arial"/>
          <w:b/>
          <w:bCs/>
          <w:color w:val="2E75B6"/>
          <w:sz w:val="22"/>
          <w:szCs w:val="22"/>
        </w:rPr>
        <w:t xml:space="preserve">Mechanical Integrity</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Define mechanical integrity requirements for process vessels, piping, pressure relief systems, and safety-critical equipment, including risk-based inspection programmes aligned to equipment criticality and operating conditions.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§2.8]  </w:t>
      </w:r>
      <w:r>
        <w:rPr>
          <w:rFonts w:ascii="Arial" w:cs="Arial" w:eastAsia="Arial" w:hAnsi="Arial"/>
          <w:color w:val="2D2D2D"/>
          <w:sz w:val="19"/>
          <w:szCs w:val="19"/>
        </w:rPr>
        <w:t xml:space="preserve">Document inspection results, defect management procedures, and the criteria for when defective equipment must be removed from service or repaired before continued operation.</w:t>
      </w:r>
    </w:p>
    <w:p>
      <w:pPr>
        <w:pStyle w:val="Heading2"/>
        <w:spacing w:after="60" w:before="240"/>
      </w:pPr>
      <w:r>
        <w:rPr>
          <w:rFonts w:ascii="Arial" w:cs="Arial" w:eastAsia="Arial" w:hAnsi="Arial"/>
          <w:b/>
          <w:bCs/>
          <w:color w:val="2E75B6"/>
          <w:sz w:val="22"/>
          <w:szCs w:val="22"/>
        </w:rPr>
        <w:t xml:space="preserve">Process Safety Incident Management</w:t>
      </w:r>
    </w:p>
    <w:p>
      <w:pPr>
        <w:pStyle w:val="ListParagraph"/>
        <w:numPr>
          <w:ilvl w:val="0"/>
          <w:numId w:val="2"/>
        </w:numPr>
        <w:spacing w:after="40" w:before="40"/>
      </w:pPr>
      <w:r>
        <w:rPr>
          <w:rFonts w:ascii="Arial" w:cs="Arial" w:eastAsia="Arial" w:hAnsi="Arial"/>
          <w:b/>
          <w:bCs/>
          <w:color w:val="1F3864"/>
          <w:sz w:val="19"/>
          <w:szCs w:val="19"/>
        </w:rPr>
        <w:t xml:space="preserve">[RT – RT – Process Safety Standard]  </w:t>
      </w:r>
      <w:r>
        <w:rPr>
          <w:rFonts w:ascii="Arial" w:cs="Arial" w:eastAsia="Arial" w:hAnsi="Arial"/>
          <w:color w:val="2D2D2D"/>
          <w:sz w:val="19"/>
          <w:szCs w:val="19"/>
        </w:rPr>
        <w:t xml:space="preserve">Define process safety incident classifications (Tier 1, 2, and 3 per API RP 754 or equivalent) and their reporting requirements. Require RCA investigations for all Tier 1 and 2 events. Require process safety event data to be captured, trended, and reported as part of HSESC performance reporting.</w:t>
      </w:r>
    </w:p>
    <w:p>
      <w:pPr>
        <w:pStyle w:val="ListParagraph"/>
        <w:numPr>
          <w:ilvl w:val="0"/>
          <w:numId w:val="2"/>
        </w:numPr>
        <w:spacing w:after="40" w:before="40"/>
      </w:pPr>
      <w:r>
        <w:rPr>
          <w:rFonts w:ascii="Arial" w:cs="Arial" w:eastAsia="Arial" w:hAnsi="Arial"/>
          <w:b/>
          <w:bCs/>
          <w:color w:val="C55A11"/>
          <w:sz w:val="19"/>
          <w:szCs w:val="19"/>
        </w:rPr>
        <w:t xml:space="preserve">[IFC – IFC PS3 §8]  </w:t>
      </w:r>
      <w:r>
        <w:rPr>
          <w:rFonts w:ascii="Arial" w:cs="Arial" w:eastAsia="Arial" w:hAnsi="Arial"/>
          <w:color w:val="2D2D2D"/>
          <w:sz w:val="19"/>
          <w:szCs w:val="19"/>
        </w:rPr>
        <w:t xml:space="preserve">Ensure that process safety incidents trigger an environmental and social impact assessment update where a release could have affected communities or the environment.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which systems on this project require HAZOP analysis, and at what project stage each HAZOP must be completed. For brownfield projects, confirm whether existing HAZOP studies are current or require revalidation.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Develop the Safety-Critical Systems Register for this project: list each system, its classification (SIL or equivalent), the basis for the classification, and the proof test interval. This is a pre-commissioning deliverable.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bypass authority matrix for this project: which safety devices can be bypassed with supervisor approval; which require HSESC Manager approval; which require project director approval. Insert as a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mechanical integrity inspection programme schedule for all pressure equipment and safety-critical systems. Link to the Pressure Equipment Register (RTPR-HSE-REG-0013).</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Functional Safety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RTPR-HSE-PRO-0020</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SIL determination methodology</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Safety Requirements Specification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FAT and SAT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Defeat and bypass management for SIS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Proof test interval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Functional safety competency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RTPR-HSE-PRO-0019 – Process Safety (SIL classification basis)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(SIS testing via PTW)</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RTPR-HSE-PRO-0024 – Isolation (isolation of SIS for testing)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RTPR-HSE-PRO-0040 – Management of Change (SIS changes via MoC)</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RTPR-HSE-PRO-0047 – Commissioning (SIS commissioning and handover)</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(functional safety competency)</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RTPR-HSE-PRO-0019 references RTPR-HSE-PRO-0020 for SIS testing</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RTPR-HSE-PRO-0047 references RTPR-HSE-PRO-0020 for pre-commissioning safety system testing</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managing Safety Instrumented Systems (SIS) and other functional safety systems to ensure they remain capable of performing their intended safety function throughout their lifecycle — from design through commissioning, operation, maintenance, modification, and decommissioning.</w:t>
      </w:r>
    </w:p>
    <w:p>
      <w:pPr>
        <w:pStyle w:val="Heading2"/>
        <w:spacing w:after="60" w:before="240"/>
      </w:pPr>
      <w:r>
        <w:rPr>
          <w:rFonts w:ascii="Arial" w:cs="Arial" w:eastAsia="Arial" w:hAnsi="Arial"/>
          <w:b/>
          <w:bCs/>
          <w:color w:val="2E75B6"/>
          <w:sz w:val="22"/>
          <w:szCs w:val="22"/>
        </w:rPr>
        <w:t xml:space="preserve">Safety Requirements and SIL Classification</w:t>
      </w:r>
    </w:p>
    <w:p>
      <w:pPr>
        <w:pStyle w:val="ListParagraph"/>
        <w:numPr>
          <w:ilvl w:val="0"/>
          <w:numId w:val="2"/>
        </w:numPr>
        <w:spacing w:after="40" w:before="40"/>
      </w:pPr>
      <w:r>
        <w:rPr>
          <w:rFonts w:ascii="Arial" w:cs="Arial" w:eastAsia="Arial" w:hAnsi="Arial"/>
          <w:b/>
          <w:bCs/>
          <w:color w:val="1F3864"/>
          <w:sz w:val="19"/>
          <w:szCs w:val="19"/>
        </w:rPr>
        <w:t xml:space="preserve">[RT – RT – Process Safety Standard and Functional Safety Standard]  </w:t>
      </w:r>
      <w:r>
        <w:rPr>
          <w:rFonts w:ascii="Arial" w:cs="Arial" w:eastAsia="Arial" w:hAnsi="Arial"/>
          <w:color w:val="2D2D2D"/>
          <w:sz w:val="19"/>
          <w:szCs w:val="19"/>
        </w:rPr>
        <w:t xml:space="preserve">Define functional safety lifecycle requirements from concept through decommissioning. Require Safety Integrity Level (SIL) determination for all safety functions based on risk assessment. Require documented Safety Requirements Specifications (SRS) for each safety function before detailed design begins.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§2.8]  </w:t>
      </w:r>
      <w:r>
        <w:rPr>
          <w:rFonts w:ascii="Arial" w:cs="Arial" w:eastAsia="Arial" w:hAnsi="Arial"/>
          <w:color w:val="2D2D2D"/>
          <w:sz w:val="19"/>
          <w:szCs w:val="19"/>
        </w:rPr>
        <w:t xml:space="preserve">Ensure that SIS and other safety instrumented functions are designed by competent personnel and that the design basis is documented and retained for the life of the system.</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the methodology for SIL determination (e.g., risk graph, layer of protection analysis), the authority level required to approve SIL assignments, and the process for reviewing and confirming SIL allocations at each project stage gate.</w:t>
      </w:r>
    </w:p>
    <w:p>
      <w:pPr>
        <w:pStyle w:val="Heading2"/>
        <w:spacing w:after="60" w:before="240"/>
      </w:pPr>
      <w:r>
        <w:rPr>
          <w:rFonts w:ascii="Arial" w:cs="Arial" w:eastAsia="Arial" w:hAnsi="Arial"/>
          <w:b/>
          <w:bCs/>
          <w:color w:val="2E75B6"/>
          <w:sz w:val="22"/>
          <w:szCs w:val="22"/>
        </w:rPr>
        <w:t xml:space="preserve">Design, Installation and Commissioning</w:t>
      </w:r>
    </w:p>
    <w:p>
      <w:pPr>
        <w:pStyle w:val="ListParagraph"/>
        <w:numPr>
          <w:ilvl w:val="0"/>
          <w:numId w:val="2"/>
        </w:numPr>
        <w:spacing w:after="40" w:before="40"/>
      </w:pPr>
      <w:r>
        <w:rPr>
          <w:rFonts w:ascii="Arial" w:cs="Arial" w:eastAsia="Arial" w:hAnsi="Arial"/>
          <w:b/>
          <w:bCs/>
          <w:color w:val="1F3864"/>
          <w:sz w:val="19"/>
          <w:szCs w:val="19"/>
        </w:rPr>
        <w:t xml:space="preserve">[RT – RT – Functional Safety Standard]  </w:t>
      </w:r>
      <w:r>
        <w:rPr>
          <w:rFonts w:ascii="Arial" w:cs="Arial" w:eastAsia="Arial" w:hAnsi="Arial"/>
          <w:color w:val="2D2D2D"/>
          <w:sz w:val="19"/>
          <w:szCs w:val="19"/>
        </w:rPr>
        <w:t xml:space="preserve">Require Factory Acceptance Testing (FAT) and Site Acceptance Testing (SAT) for all SIS before commissioning, with results documented and retained. Require commissioning documentation confirming each safety function has been tested and verified before it is relied upon for plant protection.</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the minimum documentation requirements for SIS handover from the construction team to the operations team, ensuring that as-built documentation, test results, and proof test procedures are transferred and controlled.</w:t>
      </w:r>
    </w:p>
    <w:p>
      <w:pPr>
        <w:pStyle w:val="Heading2"/>
        <w:spacing w:after="60" w:before="240"/>
      </w:pPr>
      <w:r>
        <w:rPr>
          <w:rFonts w:ascii="Arial" w:cs="Arial" w:eastAsia="Arial" w:hAnsi="Arial"/>
          <w:b/>
          <w:bCs/>
          <w:color w:val="2E75B6"/>
          <w:sz w:val="22"/>
          <w:szCs w:val="22"/>
        </w:rPr>
        <w:t xml:space="preserve">Defeat and Bypass Management</w:t>
      </w:r>
    </w:p>
    <w:p>
      <w:pPr>
        <w:pStyle w:val="ListParagraph"/>
        <w:numPr>
          <w:ilvl w:val="0"/>
          <w:numId w:val="2"/>
        </w:numPr>
        <w:spacing w:after="40" w:before="40"/>
      </w:pPr>
      <w:r>
        <w:rPr>
          <w:rFonts w:ascii="Arial" w:cs="Arial" w:eastAsia="Arial" w:hAnsi="Arial"/>
          <w:b/>
          <w:bCs/>
          <w:color w:val="1F3864"/>
          <w:sz w:val="19"/>
          <w:szCs w:val="19"/>
        </w:rPr>
        <w:t xml:space="preserve">[RT – RT – Process Safety Standard]  </w:t>
      </w:r>
      <w:r>
        <w:rPr>
          <w:rFonts w:ascii="Arial" w:cs="Arial" w:eastAsia="Arial" w:hAnsi="Arial"/>
          <w:color w:val="2D2D2D"/>
          <w:sz w:val="19"/>
          <w:szCs w:val="19"/>
        </w:rPr>
        <w:t xml:space="preserve">Require a formal authorisation process for any defeat or bypass of a safety instrumented function: risk assessment before bypass; documented compensating controls; time-limited bypass with defined duration; approval at appropriate authority level; and active tracking of all active bypasses.</w:t>
      </w:r>
    </w:p>
    <w:p>
      <w:pPr>
        <w:pStyle w:val="ListParagraph"/>
        <w:numPr>
          <w:ilvl w:val="0"/>
          <w:numId w:val="2"/>
        </w:numPr>
        <w:spacing w:after="40" w:before="40"/>
      </w:pPr>
      <w:r>
        <w:rPr>
          <w:rFonts w:ascii="Arial" w:cs="Arial" w:eastAsia="Arial" w:hAnsi="Arial"/>
          <w:b/>
          <w:bCs/>
          <w:color w:val="375623"/>
          <w:sz w:val="19"/>
          <w:szCs w:val="19"/>
        </w:rPr>
        <w:t xml:space="preserve">[APPC – Appendix C, C-1 §26]  </w:t>
      </w:r>
      <w:r>
        <w:rPr>
          <w:rFonts w:ascii="Arial" w:cs="Arial" w:eastAsia="Arial" w:hAnsi="Arial"/>
          <w:color w:val="2D2D2D"/>
          <w:sz w:val="19"/>
          <w:szCs w:val="19"/>
        </w:rPr>
        <w:t xml:space="preserve">Ensure that bypass of any critical control is captured in the project action tracking system and reported to the project owner as part of monthly HSESC reporting.</w:t>
      </w:r>
    </w:p>
    <w:p>
      <w:pPr>
        <w:pStyle w:val="Heading2"/>
        <w:spacing w:after="60" w:before="240"/>
      </w:pPr>
      <w:r>
        <w:rPr>
          <w:rFonts w:ascii="Arial" w:cs="Arial" w:eastAsia="Arial" w:hAnsi="Arial"/>
          <w:b/>
          <w:bCs/>
          <w:color w:val="2E75B6"/>
          <w:sz w:val="22"/>
          <w:szCs w:val="22"/>
        </w:rPr>
        <w:t xml:space="preserve">Testing and Maintenance</w:t>
      </w:r>
    </w:p>
    <w:p>
      <w:pPr>
        <w:pStyle w:val="ListParagraph"/>
        <w:numPr>
          <w:ilvl w:val="0"/>
          <w:numId w:val="2"/>
        </w:numPr>
        <w:spacing w:after="40" w:before="40"/>
      </w:pPr>
      <w:r>
        <w:rPr>
          <w:rFonts w:ascii="Arial" w:cs="Arial" w:eastAsia="Arial" w:hAnsi="Arial"/>
          <w:b/>
          <w:bCs/>
          <w:color w:val="1F3864"/>
          <w:sz w:val="19"/>
          <w:szCs w:val="19"/>
        </w:rPr>
        <w:t xml:space="preserve">[RT – RT – Functional Safety Standard]  </w:t>
      </w:r>
      <w:r>
        <w:rPr>
          <w:rFonts w:ascii="Arial" w:cs="Arial" w:eastAsia="Arial" w:hAnsi="Arial"/>
          <w:color w:val="2D2D2D"/>
          <w:sz w:val="19"/>
          <w:szCs w:val="19"/>
        </w:rPr>
        <w:t xml:space="preserve">Define proof test interval requirements based on the SIL target for each safety function. Require that proof test procedures are documented, followed by competent personnel, and that results are documented and any failures investigated.</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the minimum functional safety competency requirements for personnel responsible for SIS testing and maintenance, and document the process for verifying that contractors engaged in SIS work meet those requirements.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SIL determination methodology approved for this project (risk graph, LOPA, or equivalent) and insert the approved methodology or reference to the project-specific process safety study.</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For each safety instrumented function on this project, complete the SRS before detailed design is finalised. Define the SRS template to be used.</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FAT and SAT requirements: what systems require FAT; who witnesses FAT/SAT; what documentation is required. Insert as a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functional safety competency requirements for this project: who must have formal TÜV or equivalent functional safety certification; who may perform proof tests under supervision only.</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Permit to Work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RTPR-HSE-PRO-0021</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PTW system structure and all permit types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Permit roles and their responsibilities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Permit lifecycle (development through closeout)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PTW status display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Concurrent permit management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PTW training and authorisation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(JHA as prerequisite to permit)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(permit role competency — documented in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RTPR-HSE-PRO-0010 – Document Control (permit records)</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RTPR-HSE-PRO-0008, RTPR-HSE-PRO-0014, RTPR-HSE-PRO-0015, RTPR-HSE-PRO-0016, RTPR-HSE-PRO-0024, RTPR-HSE-PRO-0025, RTPR-HSE-PRO-0029, RTPR-HSE-PRO-0046, RTPR-HSE-PRO-0047 ALL reference RTPR-HSE-PRO-0021 for permit processes — none of these procedures re-state permit content</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the owner-led project's Permit to Work (PTW) system — the formal authorisation mechanism that controls all work activities requiring specific risk assessment, planning, and verification before commencement. The PTW system applies to all project personnel including RT staff, all contractor organisations, and subcontractors.</w:t>
      </w:r>
    </w:p>
    <w:p>
      <w:pPr>
        <w:pStyle w:val="Heading2"/>
        <w:spacing w:after="60" w:before="240"/>
      </w:pPr>
      <w:r>
        <w:rPr>
          <w:rFonts w:ascii="Arial" w:cs="Arial" w:eastAsia="Arial" w:hAnsi="Arial"/>
          <w:b/>
          <w:bCs/>
          <w:color w:val="2E75B6"/>
          <w:sz w:val="22"/>
          <w:szCs w:val="22"/>
        </w:rPr>
        <w:t xml:space="preserve">Permit Types and Triggers</w:t>
      </w:r>
    </w:p>
    <w:p>
      <w:pPr>
        <w:pStyle w:val="ListParagraph"/>
        <w:numPr>
          <w:ilvl w:val="0"/>
          <w:numId w:val="2"/>
        </w:numPr>
        <w:spacing w:after="40" w:before="40"/>
      </w:pPr>
      <w:r>
        <w:rPr>
          <w:rFonts w:ascii="Arial" w:cs="Arial" w:eastAsia="Arial" w:hAnsi="Arial"/>
          <w:b/>
          <w:bCs/>
          <w:color w:val="1F3864"/>
          <w:sz w:val="19"/>
          <w:szCs w:val="19"/>
        </w:rPr>
        <w:t xml:space="preserve">[RT – RT C1, C2, C4, C5, C6 – Multiple RT Standards]  </w:t>
      </w:r>
      <w:r>
        <w:rPr>
          <w:rFonts w:ascii="Arial" w:cs="Arial" w:eastAsia="Arial" w:hAnsi="Arial"/>
          <w:color w:val="2D2D2D"/>
          <w:sz w:val="19"/>
          <w:szCs w:val="19"/>
        </w:rPr>
        <w:t xml:space="preserve">Define the following permit types and the specific conditions that trigger each: General Permit to Work; Isolation Permit; Electrical Safety Permit; Hot Works Permit; Working at Heights Permit; Excavation Permit; Penetration Permit; Confined Space Entry Permit; and Live Work Authorisation. Define which activities are excluded from the PTW system and the conditions under which exclusions apply.</w:t>
      </w:r>
    </w:p>
    <w:p>
      <w:pPr>
        <w:pStyle w:val="ListParagraph"/>
        <w:numPr>
          <w:ilvl w:val="0"/>
          <w:numId w:val="2"/>
        </w:numPr>
        <w:spacing w:after="40" w:before="40"/>
      </w:pPr>
      <w:r>
        <w:rPr>
          <w:rFonts w:ascii="Arial" w:cs="Arial" w:eastAsia="Arial" w:hAnsi="Arial"/>
          <w:b/>
          <w:bCs/>
          <w:color w:val="375623"/>
          <w:sz w:val="19"/>
          <w:szCs w:val="19"/>
        </w:rPr>
        <w:t xml:space="preserve">[APPC – Appendix C, C-2 §60]  </w:t>
      </w:r>
      <w:r>
        <w:rPr>
          <w:rFonts w:ascii="Arial" w:cs="Arial" w:eastAsia="Arial" w:hAnsi="Arial"/>
          <w:color w:val="2D2D2D"/>
          <w:sz w:val="19"/>
          <w:szCs w:val="19"/>
        </w:rPr>
        <w:t xml:space="preserve">Confirm that the PTW system has been agreed with the project owner before any work commences on site, and that the system covers all work locations across the project.</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Ensure the PTW system covers all high-hazard non-routine work and that it provides a systematic method for planning, authorising, communicating, and monitoring high-risk work activities.</w:t>
      </w:r>
    </w:p>
    <w:p>
      <w:pPr>
        <w:pStyle w:val="Heading2"/>
        <w:spacing w:after="60" w:before="240"/>
      </w:pPr>
      <w:r>
        <w:rPr>
          <w:rFonts w:ascii="Arial" w:cs="Arial" w:eastAsia="Arial" w:hAnsi="Arial"/>
          <w:b/>
          <w:bCs/>
          <w:color w:val="2E75B6"/>
          <w:sz w:val="22"/>
          <w:szCs w:val="22"/>
        </w:rPr>
        <w:t xml:space="preserve">Permit Process</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Define roles and responsibilities in the permit process: Permit Issuer/Authorised Officer; Permit Developer; Permit Holder; and workers operating under the permit. Define the permit lifecycle: development; risk assessment; authorisation; execution; suspension; extension; cancellation; and closeout.</w:t>
      </w:r>
    </w:p>
    <w:p>
      <w:pPr>
        <w:pStyle w:val="ListParagraph"/>
        <w:numPr>
          <w:ilvl w:val="0"/>
          <w:numId w:val="2"/>
        </w:numPr>
        <w:spacing w:after="40" w:before="40"/>
      </w:pPr>
      <w:r>
        <w:rPr>
          <w:rFonts w:ascii="Arial" w:cs="Arial" w:eastAsia="Arial" w:hAnsi="Arial"/>
          <w:b/>
          <w:bCs/>
          <w:color w:val="375623"/>
          <w:sz w:val="19"/>
          <w:szCs w:val="19"/>
        </w:rPr>
        <w:t xml:space="preserve">[APPC – Appendix C, C-2 §60]  </w:t>
      </w:r>
      <w:r>
        <w:rPr>
          <w:rFonts w:ascii="Arial" w:cs="Arial" w:eastAsia="Arial" w:hAnsi="Arial"/>
          <w:color w:val="2D2D2D"/>
          <w:sz w:val="19"/>
          <w:szCs w:val="19"/>
        </w:rPr>
        <w:t xml:space="preserve">Define minimum permit content: specific work location; scope and duration; persons authorised; controls required; concurrent permits; PPE requirements; and emergency contacts. Require JHAs to be completed and attached to the permit before authorisation.</w:t>
      </w:r>
    </w:p>
    <w:p>
      <w:pPr>
        <w:pStyle w:val="ListParagraph"/>
        <w:numPr>
          <w:ilvl w:val="0"/>
          <w:numId w:val="2"/>
        </w:numPr>
        <w:spacing w:after="40" w:before="40"/>
      </w:pPr>
      <w:r>
        <w:rPr>
          <w:rFonts w:ascii="Arial" w:cs="Arial" w:eastAsia="Arial" w:hAnsi="Arial"/>
          <w:b/>
          <w:bCs/>
          <w:color w:val="BF9000"/>
          <w:sz w:val="19"/>
          <w:szCs w:val="19"/>
        </w:rPr>
        <w:t xml:space="preserve">[OSHA – OSHA RP 2016 – Hazard Prevention and Control]  </w:t>
      </w:r>
      <w:r>
        <w:rPr>
          <w:rFonts w:ascii="Arial" w:cs="Arial" w:eastAsia="Arial" w:hAnsi="Arial"/>
          <w:color w:val="2D2D2D"/>
          <w:sz w:val="19"/>
          <w:szCs w:val="19"/>
        </w:rPr>
        <w:t xml:space="preserve">Ensure that every person working under a permit understands the hazards, the controls in place, and their personal responsibilities before work begins — not just the permit holder.</w:t>
      </w:r>
    </w:p>
    <w:p>
      <w:pPr>
        <w:pStyle w:val="Heading2"/>
        <w:spacing w:after="60" w:before="240"/>
      </w:pPr>
      <w:r>
        <w:rPr>
          <w:rFonts w:ascii="Arial" w:cs="Arial" w:eastAsia="Arial" w:hAnsi="Arial"/>
          <w:b/>
          <w:bCs/>
          <w:color w:val="2E75B6"/>
          <w:sz w:val="22"/>
          <w:szCs w:val="22"/>
        </w:rPr>
        <w:t xml:space="preserve">PTW Status Display</w:t>
      </w:r>
    </w:p>
    <w:p>
      <w:pPr>
        <w:pStyle w:val="ListParagraph"/>
        <w:numPr>
          <w:ilvl w:val="0"/>
          <w:numId w:val="2"/>
        </w:numPr>
        <w:spacing w:after="40" w:before="40"/>
      </w:pPr>
      <w:r>
        <w:rPr>
          <w:rFonts w:ascii="Arial" w:cs="Arial" w:eastAsia="Arial" w:hAnsi="Arial"/>
          <w:b/>
          <w:bCs/>
          <w:color w:val="375623"/>
          <w:sz w:val="19"/>
          <w:szCs w:val="19"/>
        </w:rPr>
        <w:t xml:space="preserve">[APPC – Appendix C, C-2 §60]  </w:t>
      </w:r>
      <w:r>
        <w:rPr>
          <w:rFonts w:ascii="Arial" w:cs="Arial" w:eastAsia="Arial" w:hAnsi="Arial"/>
          <w:color w:val="2D2D2D"/>
          <w:sz w:val="19"/>
          <w:szCs w:val="19"/>
        </w:rPr>
        <w:t xml:space="preserve">Require a system (physical boards, electronic system, or equivalent) providing clear and immediate visibility of all active permits and their status at all work locations. Require the system to be accessible to all personnel. Define how permits removed during emergencies are designated and tracked.</w:t>
      </w:r>
    </w:p>
    <w:p>
      <w:pPr>
        <w:pStyle w:val="Heading2"/>
        <w:spacing w:after="60" w:before="240"/>
      </w:pPr>
      <w:r>
        <w:rPr>
          <w:rFonts w:ascii="Arial" w:cs="Arial" w:eastAsia="Arial" w:hAnsi="Arial"/>
          <w:b/>
          <w:bCs/>
          <w:color w:val="2E75B6"/>
          <w:sz w:val="22"/>
          <w:szCs w:val="22"/>
        </w:rPr>
        <w:t xml:space="preserve">Training and Competency</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Define training and competency requirements for all permit roles. Require formal authorisation before personnel may act as a Permit Issuer or Permit Holder. Define minimum re-verification frequency for permit role competency.</w:t>
      </w:r>
    </w:p>
    <w:p>
      <w:pPr>
        <w:pStyle w:val="ListParagraph"/>
        <w:numPr>
          <w:ilvl w:val="0"/>
          <w:numId w:val="2"/>
        </w:numPr>
        <w:spacing w:after="40" w:before="40"/>
      </w:pPr>
      <w:r>
        <w:rPr>
          <w:rFonts w:ascii="Arial" w:cs="Arial" w:eastAsia="Arial" w:hAnsi="Arial"/>
          <w:b/>
          <w:bCs/>
          <w:color w:val="375623"/>
          <w:sz w:val="19"/>
          <w:szCs w:val="19"/>
        </w:rPr>
        <w:t xml:space="preserve">[APPC – Appendix C, C-2 §60]  </w:t>
      </w:r>
      <w:r>
        <w:rPr>
          <w:rFonts w:ascii="Arial" w:cs="Arial" w:eastAsia="Arial" w:hAnsi="Arial"/>
          <w:color w:val="2D2D2D"/>
          <w:sz w:val="19"/>
          <w:szCs w:val="19"/>
        </w:rPr>
        <w:t xml:space="preserve">Require that all contractor personnel who will issue, hold, or work under permits are trained in the project PTW system before commencing any permitted work.</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CRITICAL — The PTW system must be agreed with the project owner before any work commences on site. Confirm that approval has been received and document the approval reference in this procedure.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PTW status board format and location for each work area. The procedure requires visible status display — the project determines the implementation (physical board, electronic system, or hybrid).</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List all roles on this project that require PTW Issuer and PTW Holder authorisation, and confirm the authorisation process. Insert an Authorised Persons Register or reference RTPR-HSE-REG-0003.</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concurrent permit management process for this project: how are permits for simultaneous activities in the same area identified and coordinated; who reviews concurrent permit combinations.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C-1 §43.2.5]  </w:t>
            </w:r>
            <w:r>
              <w:rPr>
                <w:rFonts w:ascii="Arial" w:cs="Arial" w:eastAsia="Arial" w:hAnsi="Arial"/>
                <w:color w:val="2D2D2D"/>
                <w:sz w:val="19"/>
                <w:szCs w:val="19"/>
              </w:rPr>
              <w:t xml:space="preserve">When performing work in Company Operational (Brownfield) areas, contractors must adhere to the Company permit-to-work system. The interface between the project PTW system and the Company operational area PTW system must be defined and agreed before any brownfield work commences.</w:t>
            </w:r>
          </w:p>
          <w:p>
            <w:pPr>
              <w:pStyle w:val="ListParagraph"/>
              <w:numPr>
                <w:ilvl w:val="0"/>
                <w:numId w:val="2"/>
              </w:numPr>
              <w:spacing w:after="40" w:before="40"/>
            </w:pPr>
            <w:r>
              <w:rPr>
                <w:rFonts w:ascii="Arial" w:cs="Arial" w:eastAsia="Arial" w:hAnsi="Arial"/>
                <w:b/>
                <w:bCs/>
                <w:color w:val="375623"/>
                <w:sz w:val="19"/>
                <w:szCs w:val="19"/>
              </w:rPr>
              <w:t xml:space="preserve">[APPC – Appendix C, C-2 §60.0.1]  </w:t>
            </w:r>
            <w:r>
              <w:rPr>
                <w:rFonts w:ascii="Arial" w:cs="Arial" w:eastAsia="Arial" w:hAnsi="Arial"/>
                <w:color w:val="2D2D2D"/>
                <w:sz w:val="19"/>
                <w:szCs w:val="19"/>
              </w:rPr>
              <w:t xml:space="preserve">The project PTW system must include as minimum permit types: General Permit to Work; Working at Heights Permit; Confined Space Entry Permit; Hot Work Permit; Excavation and Ground Penetration Permit; Electrical Work Permit; and Commissioning and Operational Permit. Additional permit types may be required based on project risk assessment.</w:t>
            </w:r>
          </w:p>
          <w:p>
            <w:r>
              <w:rPr>
                <w:rFonts w:ascii="Arial" w:cs="Arial" w:eastAsia="Arial" w:hAnsi="Arial"/>
                <w:color w:val="3C2A00"/>
                <w:sz w:val="17"/>
                <w:szCs w:val="17"/>
              </w:rPr>
              <w:t xml:space="preserve">Define the emergency permit removal process for this project: who can remove a permit; what documentation is required; how the work area is made safe.</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Infectious Disease Control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RTPR-HSE-PRO-0022</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Infectious disease risk assessment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Location-specific disease control programmes (malaria, HIV/AIDS, TB, Legionella)</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Pandemic preparedness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(disease risk assessment framework)</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(health awareness training)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RTPR-HSE-PRO-0006 – Fitness for Work (vaccination and health screening)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RTPR-HSE-PRO-0041 – Business Resilience (pandemic response as an emergency scenario)</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(disease outbreak reporting)</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managing vector-borne and infectious disease risks relevant to project work locations, protecting the health of all project personnel and, where applicable, host communities. The specific requirements depend on the geographic risk profile of the project.</w:t>
      </w:r>
    </w:p>
    <w:p>
      <w:pPr>
        <w:pStyle w:val="Heading2"/>
        <w:spacing w:after="60" w:before="240"/>
      </w:pPr>
      <w:r>
        <w:rPr>
          <w:rFonts w:ascii="Arial" w:cs="Arial" w:eastAsia="Arial" w:hAnsi="Arial"/>
          <w:b/>
          <w:bCs/>
          <w:color w:val="2E75B6"/>
          <w:sz w:val="22"/>
          <w:szCs w:val="22"/>
        </w:rPr>
        <w:t xml:space="preserve">Risk Assessment and General Controls</w:t>
      </w:r>
    </w:p>
    <w:p>
      <w:pPr>
        <w:pStyle w:val="ListParagraph"/>
        <w:numPr>
          <w:ilvl w:val="0"/>
          <w:numId w:val="2"/>
        </w:numPr>
        <w:spacing w:after="40" w:before="40"/>
      </w:pPr>
      <w:r>
        <w:rPr>
          <w:rFonts w:ascii="Arial" w:cs="Arial" w:eastAsia="Arial" w:hAnsi="Arial"/>
          <w:b/>
          <w:bCs/>
          <w:color w:val="375623"/>
          <w:sz w:val="19"/>
          <w:szCs w:val="19"/>
        </w:rPr>
        <w:t xml:space="preserve">[APPC – Appendix C, C-2 §70.1]  </w:t>
      </w:r>
      <w:r>
        <w:rPr>
          <w:rFonts w:ascii="Arial" w:cs="Arial" w:eastAsia="Arial" w:hAnsi="Arial"/>
          <w:color w:val="2D2D2D"/>
          <w:sz w:val="19"/>
          <w:szCs w:val="19"/>
        </w:rPr>
        <w:t xml:space="preserve">Require disease-specific risk assessments for all work locations before mobilisation, covering diseases relevant to the location. Require annual evaluation of infectious disease management programmes by a competent person. Require minimisation of travel-related health risks including vaccination and health screening requirements.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§3.6]  </w:t>
      </w:r>
      <w:r>
        <w:rPr>
          <w:rFonts w:ascii="Arial" w:cs="Arial" w:eastAsia="Arial" w:hAnsi="Arial"/>
          <w:color w:val="2D2D2D"/>
          <w:sz w:val="19"/>
          <w:szCs w:val="19"/>
        </w:rPr>
        <w:t xml:space="preserve">Assess communicable disease risks associated with the project workforce, including risks associated with large influx of workers into areas with different disease prevalence, and implement controls proportionate to the identified risks.</w:t>
      </w:r>
    </w:p>
    <w:p>
      <w:pPr>
        <w:pStyle w:val="ListParagraph"/>
        <w:numPr>
          <w:ilvl w:val="0"/>
          <w:numId w:val="2"/>
        </w:numPr>
        <w:spacing w:after="40" w:before="40"/>
      </w:pPr>
      <w:r>
        <w:rPr>
          <w:rFonts w:ascii="Arial" w:cs="Arial" w:eastAsia="Arial" w:hAnsi="Arial"/>
          <w:b/>
          <w:bCs/>
          <w:color w:val="2F5496"/>
          <w:sz w:val="19"/>
          <w:szCs w:val="19"/>
        </w:rPr>
        <w:t xml:space="preserve">[TSM – TSM – Safe, Healthy and Respectful Workplaces Protocol, Indicator SH3]  </w:t>
      </w:r>
      <w:r>
        <w:rPr>
          <w:rFonts w:ascii="Arial" w:cs="Arial" w:eastAsia="Arial" w:hAnsi="Arial"/>
          <w:color w:val="2D2D2D"/>
          <w:sz w:val="19"/>
          <w:szCs w:val="19"/>
        </w:rPr>
        <w:t xml:space="preserve">Implement processes to prevent incidents and manage workplace health risks including communicable diseases, with documented controls and monitoring.</w:t>
      </w:r>
    </w:p>
    <w:p>
      <w:pPr>
        <w:pStyle w:val="Heading2"/>
        <w:spacing w:after="60" w:before="240"/>
      </w:pPr>
      <w:r>
        <w:rPr>
          <w:rFonts w:ascii="Arial" w:cs="Arial" w:eastAsia="Arial" w:hAnsi="Arial"/>
          <w:b/>
          <w:bCs/>
          <w:color w:val="2E75B6"/>
          <w:sz w:val="22"/>
          <w:szCs w:val="22"/>
        </w:rPr>
        <w:t xml:space="preserve">Location-Specific Disease Controls</w:t>
      </w:r>
    </w:p>
    <w:p>
      <w:pPr>
        <w:pStyle w:val="ListParagraph"/>
        <w:numPr>
          <w:ilvl w:val="0"/>
          <w:numId w:val="2"/>
        </w:numPr>
        <w:spacing w:after="40" w:before="40"/>
      </w:pPr>
      <w:r>
        <w:rPr>
          <w:rFonts w:ascii="Arial" w:cs="Arial" w:eastAsia="Arial" w:hAnsi="Arial"/>
          <w:b/>
          <w:bCs/>
          <w:color w:val="375623"/>
          <w:sz w:val="19"/>
          <w:szCs w:val="19"/>
        </w:rPr>
        <w:t xml:space="preserve">[APPC – Appendix C, C-2 §70.2]  </w:t>
      </w:r>
      <w:r>
        <w:rPr>
          <w:rFonts w:ascii="Arial" w:cs="Arial" w:eastAsia="Arial" w:hAnsi="Arial"/>
          <w:color w:val="2D2D2D"/>
          <w:sz w:val="19"/>
          <w:szCs w:val="19"/>
        </w:rPr>
        <w:t xml:space="preserve">Where HIV/AIDS or TB prevalence thresholds are met, ensure access to an HIV/AIDS and TB management programme including prevention, testing, treatment, and confidentiality protections.</w:t>
      </w:r>
    </w:p>
    <w:p>
      <w:pPr>
        <w:pStyle w:val="ListParagraph"/>
        <w:numPr>
          <w:ilvl w:val="0"/>
          <w:numId w:val="2"/>
        </w:numPr>
        <w:spacing w:after="40" w:before="40"/>
      </w:pPr>
      <w:r>
        <w:rPr>
          <w:rFonts w:ascii="Arial" w:cs="Arial" w:eastAsia="Arial" w:hAnsi="Arial"/>
          <w:b/>
          <w:bCs/>
          <w:color w:val="375623"/>
          <w:sz w:val="19"/>
          <w:szCs w:val="19"/>
        </w:rPr>
        <w:t xml:space="preserve">[APPC – Appendix C, C-2 §70.2.2]  </w:t>
      </w:r>
      <w:r>
        <w:rPr>
          <w:rFonts w:ascii="Arial" w:cs="Arial" w:eastAsia="Arial" w:hAnsi="Arial"/>
          <w:color w:val="2D2D2D"/>
          <w:sz w:val="19"/>
          <w:szCs w:val="19"/>
        </w:rPr>
        <w:t xml:space="preserve">In WHO-designated high-risk malaria locations, conduct a risk-based malaria assessment and implement a prevention and management programme covering: vector control; personal protection protocols; chemoprophylaxis; diagnosis and treatment; and education.</w:t>
      </w:r>
    </w:p>
    <w:p>
      <w:pPr>
        <w:pStyle w:val="ListParagraph"/>
        <w:numPr>
          <w:ilvl w:val="0"/>
          <w:numId w:val="2"/>
        </w:numPr>
        <w:spacing w:after="40" w:before="40"/>
      </w:pPr>
      <w:r>
        <w:rPr>
          <w:rFonts w:ascii="Arial" w:cs="Arial" w:eastAsia="Arial" w:hAnsi="Arial"/>
          <w:b/>
          <w:bCs/>
          <w:color w:val="375623"/>
          <w:sz w:val="19"/>
          <w:szCs w:val="19"/>
        </w:rPr>
        <w:t xml:space="preserve">[APPC – Appendix C, C-2 §70.2.3]  </w:t>
      </w:r>
      <w:r>
        <w:rPr>
          <w:rFonts w:ascii="Arial" w:cs="Arial" w:eastAsia="Arial" w:hAnsi="Arial"/>
          <w:color w:val="2D2D2D"/>
          <w:sz w:val="19"/>
          <w:szCs w:val="19"/>
        </w:rPr>
        <w:t xml:space="preserve">Identify water systems and equipment with potential for Legionella growth. Define testing, monitoring, treatment, and cleaning/disinfection schedules for identified systems.</w:t>
      </w:r>
    </w:p>
    <w:p>
      <w:pPr>
        <w:pStyle w:val="Heading2"/>
        <w:spacing w:after="60" w:before="240"/>
      </w:pPr>
      <w:r>
        <w:rPr>
          <w:rFonts w:ascii="Arial" w:cs="Arial" w:eastAsia="Arial" w:hAnsi="Arial"/>
          <w:b/>
          <w:bCs/>
          <w:color w:val="2E75B6"/>
          <w:sz w:val="22"/>
          <w:szCs w:val="22"/>
        </w:rPr>
        <w:t xml:space="preserve">Pandemic Preparedness</w:t>
      </w:r>
    </w:p>
    <w:p>
      <w:pPr>
        <w:pStyle w:val="ListParagraph"/>
        <w:numPr>
          <w:ilvl w:val="0"/>
          <w:numId w:val="2"/>
        </w:numPr>
        <w:spacing w:after="40" w:before="40"/>
      </w:pPr>
      <w:r>
        <w:rPr>
          <w:rFonts w:ascii="Arial" w:cs="Arial" w:eastAsia="Arial" w:hAnsi="Arial"/>
          <w:b/>
          <w:bCs/>
          <w:color w:val="375623"/>
          <w:sz w:val="19"/>
          <w:szCs w:val="19"/>
        </w:rPr>
        <w:t xml:space="preserve">[APPC – Appendix C, C-2 §70.2.5]  </w:t>
      </w:r>
      <w:r>
        <w:rPr>
          <w:rFonts w:ascii="Arial" w:cs="Arial" w:eastAsia="Arial" w:hAnsi="Arial"/>
          <w:color w:val="2D2D2D"/>
          <w:sz w:val="19"/>
          <w:szCs w:val="19"/>
        </w:rPr>
        <w:t xml:space="preserve">Define pandemic preparedness and response planning requirements covering: surveillance; containment; communication; workforce management; and business continuity. Define escalation triggers and response actions.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§3.6]  </w:t>
      </w:r>
      <w:r>
        <w:rPr>
          <w:rFonts w:ascii="Arial" w:cs="Arial" w:eastAsia="Arial" w:hAnsi="Arial"/>
          <w:color w:val="2D2D2D"/>
          <w:sz w:val="19"/>
          <w:szCs w:val="19"/>
        </w:rPr>
        <w:t xml:space="preserve">Ensure pandemic preparedness plans are consistent with WHO guidance and applicable national public health requirements, and that they address the specific vulnerabilities of project workforce accommodation settings.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Conduct a location-specific infectious disease risk assessment for this project before mobilisation. The procedure requires one — insert the assessment findings or a reference to the completed assessment.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If the project location is in a WHO-designated malaria risk area: complete the malaria programme section of this procedure with project-specific controls, chemoprophylaxis guidance, and the approved medical provider.</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Legionella monitoring programme for this project: identify all water systems at risk; insert the testing schedule and action levels.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§70.1.1]  </w:t>
            </w:r>
            <w:r>
              <w:rPr>
                <w:rFonts w:ascii="Arial" w:cs="Arial" w:eastAsia="Arial" w:hAnsi="Arial"/>
                <w:color w:val="2D2D2D"/>
                <w:sz w:val="19"/>
                <w:szCs w:val="19"/>
              </w:rPr>
              <w:t xml:space="preserve">Require risk assessments for vector-borne and infectious diseases relevant to all locations where the project operates. Assessments must be updated when project locations change.</w:t>
            </w:r>
          </w:p>
          <w:p>
            <w:pPr>
              <w:pStyle w:val="ListParagraph"/>
              <w:numPr>
                <w:ilvl w:val="0"/>
                <w:numId w:val="2"/>
              </w:numPr>
              <w:spacing w:after="40" w:before="40"/>
            </w:pPr>
            <w:r>
              <w:rPr>
                <w:rFonts w:ascii="Arial" w:cs="Arial" w:eastAsia="Arial" w:hAnsi="Arial"/>
                <w:b/>
                <w:bCs/>
                <w:color w:val="375623"/>
                <w:sz w:val="19"/>
                <w:szCs w:val="19"/>
              </w:rPr>
              <w:t xml:space="preserve">[APPC – Appendix C, C-2 §70.2.1.1]  </w:t>
            </w:r>
            <w:r>
              <w:rPr>
                <w:rFonts w:ascii="Arial" w:cs="Arial" w:eastAsia="Arial" w:hAnsi="Arial"/>
                <w:color w:val="2D2D2D"/>
                <w:sz w:val="19"/>
                <w:szCs w:val="19"/>
              </w:rPr>
              <w:t xml:space="preserve">Where HIV/AIDS or tuberculosis prevalence thresholds are met in the project jurisdiction, ensure access to an HIV/AIDS and TB management programme for all project personnel through health insurance, a private provider, or other locally available resources.</w:t>
            </w:r>
          </w:p>
          <w:p>
            <w:pPr>
              <w:pStyle w:val="ListParagraph"/>
              <w:numPr>
                <w:ilvl w:val="0"/>
                <w:numId w:val="2"/>
              </w:numPr>
              <w:spacing w:after="40" w:before="40"/>
            </w:pPr>
            <w:r>
              <w:rPr>
                <w:rFonts w:ascii="Arial" w:cs="Arial" w:eastAsia="Arial" w:hAnsi="Arial"/>
                <w:b/>
                <w:bCs/>
                <w:color w:val="375623"/>
                <w:sz w:val="19"/>
                <w:szCs w:val="19"/>
              </w:rPr>
              <w:t xml:space="preserve">[APPC – Appendix C, C-2 §70.2.2.1]  </w:t>
            </w:r>
            <w:r>
              <w:rPr>
                <w:rFonts w:ascii="Arial" w:cs="Arial" w:eastAsia="Arial" w:hAnsi="Arial"/>
                <w:color w:val="2D2D2D"/>
                <w:sz w:val="19"/>
                <w:szCs w:val="19"/>
              </w:rPr>
              <w:t xml:space="preserve">In high-risk malaria locations as defined by the World Health Organisation, conduct a risk-based malaria assessment and implement a prevention and management programme covering vector control, personal protection, chemoprophylaxis where recommended, and rapid diagnosis and treatment.</w:t>
            </w:r>
          </w:p>
          <w:p>
            <w:pPr>
              <w:pStyle w:val="ListParagraph"/>
              <w:numPr>
                <w:ilvl w:val="0"/>
                <w:numId w:val="2"/>
              </w:numPr>
              <w:spacing w:after="40" w:before="40"/>
            </w:pPr>
            <w:r>
              <w:rPr>
                <w:rFonts w:ascii="Arial" w:cs="Arial" w:eastAsia="Arial" w:hAnsi="Arial"/>
                <w:b/>
                <w:bCs/>
                <w:color w:val="375623"/>
                <w:sz w:val="19"/>
                <w:szCs w:val="19"/>
              </w:rPr>
              <w:t xml:space="preserve">[APPC – Appendix C, C-2 §70.2.3.1]  </w:t>
            </w:r>
            <w:r>
              <w:rPr>
                <w:rFonts w:ascii="Arial" w:cs="Arial" w:eastAsia="Arial" w:hAnsi="Arial"/>
                <w:color w:val="2D2D2D"/>
                <w:sz w:val="19"/>
                <w:szCs w:val="19"/>
              </w:rPr>
              <w:t xml:space="preserve">Identify all water systems and equipment with the potential for Legionella bacteria growth and mist generation. Conduct a risk assessment and implement a control programme for all identified high or critical risks, including regular water sampling and testing.</w:t>
            </w:r>
          </w:p>
          <w:p>
            <w:pPr>
              <w:pStyle w:val="ListParagraph"/>
              <w:numPr>
                <w:ilvl w:val="0"/>
                <w:numId w:val="2"/>
              </w:numPr>
              <w:spacing w:after="40" w:before="40"/>
            </w:pPr>
            <w:r>
              <w:rPr>
                <w:rFonts w:ascii="Arial" w:cs="Arial" w:eastAsia="Arial" w:hAnsi="Arial"/>
                <w:b/>
                <w:bCs/>
                <w:color w:val="375623"/>
                <w:sz w:val="19"/>
                <w:szCs w:val="19"/>
              </w:rPr>
              <w:t xml:space="preserve">[APPC – Appendix C, C-2 §70.2.4.1]  </w:t>
            </w:r>
            <w:r>
              <w:rPr>
                <w:rFonts w:ascii="Arial" w:cs="Arial" w:eastAsia="Arial" w:hAnsi="Arial"/>
                <w:color w:val="2D2D2D"/>
                <w:sz w:val="19"/>
                <w:szCs w:val="19"/>
              </w:rPr>
              <w:t xml:space="preserve">Require infectious disease preparedness and response measures for pandemic or outbreak-level events, including: defined roles and responsibilities; communication protocols; personnel education and training; vaccination requirements; health screening; quarantine and isolation protocols; PPE requirements; contact registration and tracing; physical distancing where required; ventilation requirements; and hygiene protocols.</w:t>
            </w:r>
          </w:p>
          <w:p>
            <w:r>
              <w:rPr>
                <w:rFonts w:ascii="Arial" w:cs="Arial" w:eastAsia="Arial" w:hAnsi="Arial"/>
                <w:color w:val="3C2A00"/>
                <w:sz w:val="17"/>
                <w:szCs w:val="17"/>
              </w:rPr>
              <w:t xml:space="preserve">Define the pandemic response activation triggers for this project and the communication chain. The procedure sets the framework — the project defines the specific triggers relevant to the host country context.</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Radiation Control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RTPR-HSE-PRO-0023</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Radiation source identification and registration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ALARA application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Radiation restricted zone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Dose monitoring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Radiation incident emergency response</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(radiation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RTPR-HSE-PRO-0001 – Legal Requirements (radiation licence requirements)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(radiation safety training — documented in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(radiation work via PTW)</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(radiation incident reporting)</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identifying, assessing, and controlling radiation hazards including ionising radiation (X-ray, gamma, beta, alpha, neutron) and non-ionising radiation (UV, laser, radiofrequency, microwave) in the project environment.</w:t>
      </w:r>
    </w:p>
    <w:p>
      <w:pPr>
        <w:pStyle w:val="Heading2"/>
        <w:spacing w:after="60" w:before="240"/>
      </w:pPr>
      <w:r>
        <w:rPr>
          <w:rFonts w:ascii="Arial" w:cs="Arial" w:eastAsia="Arial" w:hAnsi="Arial"/>
          <w:b/>
          <w:bCs/>
          <w:color w:val="2E75B6"/>
          <w:sz w:val="22"/>
          <w:szCs w:val="22"/>
        </w:rPr>
        <w:t xml:space="preserve">Hazard Identification and Assessment</w:t>
      </w:r>
    </w:p>
    <w:p>
      <w:pPr>
        <w:pStyle w:val="ListParagraph"/>
        <w:numPr>
          <w:ilvl w:val="0"/>
          <w:numId w:val="2"/>
        </w:numPr>
        <w:spacing w:after="40" w:before="40"/>
      </w:pPr>
      <w:r>
        <w:rPr>
          <w:rFonts w:ascii="Arial" w:cs="Arial" w:eastAsia="Arial" w:hAnsi="Arial"/>
          <w:b/>
          <w:bCs/>
          <w:color w:val="375623"/>
          <w:sz w:val="19"/>
          <w:szCs w:val="19"/>
        </w:rPr>
        <w:t xml:space="preserve">[APPC – Appendix C, C-2 §71]  </w:t>
      </w:r>
      <w:r>
        <w:rPr>
          <w:rFonts w:ascii="Arial" w:cs="Arial" w:eastAsia="Arial" w:hAnsi="Arial"/>
          <w:color w:val="2D2D2D"/>
          <w:sz w:val="19"/>
          <w:szCs w:val="19"/>
        </w:rPr>
        <w:t xml:space="preserve">Require identification of all radiation sources on site including: X-ray inspection equipment; nuclear density gauges; gamma sources; UV equipment; lasers; and RF/microwave emitting plant. Require all identified radiation sources to be registered and documented.</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§2.6]  </w:t>
      </w:r>
      <w:r>
        <w:rPr>
          <w:rFonts w:ascii="Arial" w:cs="Arial" w:eastAsia="Arial" w:hAnsi="Arial"/>
          <w:color w:val="2D2D2D"/>
          <w:sz w:val="19"/>
          <w:szCs w:val="19"/>
        </w:rPr>
        <w:t xml:space="preserve">Assess occupational radiation exposures against applicable dose limits and action levels. Manage radiation risks using the ALARA (As Low As Reasonably Achievable) principle.</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site-specific radiation dose limits consistent with applicable national legislation and IAEA Basic Safety Standards, and assign a Radiation Safety Officer (or equivalent) with defined responsibilities for programme oversight and emergency response.</w:t>
      </w:r>
    </w:p>
    <w:p>
      <w:pPr>
        <w:pStyle w:val="Heading2"/>
        <w:spacing w:after="60" w:before="240"/>
      </w:pPr>
      <w:r>
        <w:rPr>
          <w:rFonts w:ascii="Arial" w:cs="Arial" w:eastAsia="Arial" w:hAnsi="Arial"/>
          <w:b/>
          <w:bCs/>
          <w:color w:val="2E75B6"/>
          <w:sz w:val="22"/>
          <w:szCs w:val="22"/>
        </w:rPr>
        <w:t xml:space="preserve">Controls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§2.6]  </w:t>
      </w:r>
      <w:r>
        <w:rPr>
          <w:rFonts w:ascii="Arial" w:cs="Arial" w:eastAsia="Arial" w:hAnsi="Arial"/>
          <w:color w:val="2D2D2D"/>
          <w:sz w:val="19"/>
          <w:szCs w:val="19"/>
        </w:rPr>
        <w:t xml:space="preserve">Apply the three fundamental radiation protection principles: time (minimise exposure duration); distance (maximise distance from source); and shielding (use appropriate barriers). Define controls for each identified radiation source.</w:t>
      </w:r>
    </w:p>
    <w:p>
      <w:pPr>
        <w:pStyle w:val="ListParagraph"/>
        <w:numPr>
          <w:ilvl w:val="0"/>
          <w:numId w:val="2"/>
        </w:numPr>
        <w:spacing w:after="40" w:before="40"/>
      </w:pPr>
      <w:r>
        <w:rPr>
          <w:rFonts w:ascii="Arial" w:cs="Arial" w:eastAsia="Arial" w:hAnsi="Arial"/>
          <w:b/>
          <w:bCs/>
          <w:color w:val="BF9000"/>
          <w:sz w:val="19"/>
          <w:szCs w:val="19"/>
        </w:rPr>
        <w:t xml:space="preserve">[OSHA – OSHA 29 CFR 1910.97 / 1926.54]  </w:t>
      </w:r>
      <w:r>
        <w:rPr>
          <w:rFonts w:ascii="Arial" w:cs="Arial" w:eastAsia="Arial" w:hAnsi="Arial"/>
          <w:color w:val="2D2D2D"/>
          <w:sz w:val="19"/>
          <w:szCs w:val="19"/>
        </w:rPr>
        <w:t xml:space="preserve">Define restricted zones for radiation-emitting equipment, access controls, and warning signage requirements consistent with applicable regulatory requirements.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the radiation dose monitoring requirements for workers with regular radiation exposure, including the type of monitoring device (film badge, TLD, electronic personal dosimeter), monitoring period, and action level that triggers enhanced controls or exposure investigation.</w:t>
      </w:r>
    </w:p>
    <w:p>
      <w:pPr>
        <w:pStyle w:val="Heading2"/>
        <w:spacing w:after="60" w:before="240"/>
      </w:pPr>
      <w:r>
        <w:rPr>
          <w:rFonts w:ascii="Arial" w:cs="Arial" w:eastAsia="Arial" w:hAnsi="Arial"/>
          <w:b/>
          <w:bCs/>
          <w:color w:val="2E75B6"/>
          <w:sz w:val="22"/>
          <w:szCs w:val="22"/>
        </w:rPr>
        <w:t xml:space="preserve">Competency and Emergency Response</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the competency and licence requirements for personnel operating radiation-emitting equipment, and the emergency response requirements for radiation incidents (spills, lost sources, overexposures), including notification requirements to regulatory authorities.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Conduct a radiation source inventory for this project before work commences. List all radiation sources expected on site (X-ray inspection equipment, density gauges, UV sources, lasers) and insert into the designated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Radiation Safety Officer (or equivalent role) for this project — identify by name and position. This role must be confirmed before any radiation-emitting equipment is mobilised to site.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project-specific dose limits and monitoring device requirements for roles with radiation exposure. Confirm compliance with applicable national legislation.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§71.2]  </w:t>
            </w:r>
            <w:r>
              <w:rPr>
                <w:rFonts w:ascii="Arial" w:cs="Arial" w:eastAsia="Arial" w:hAnsi="Arial"/>
                <w:color w:val="2D2D2D"/>
                <w:sz w:val="19"/>
                <w:szCs w:val="19"/>
              </w:rPr>
              <w:t xml:space="preserve">Require risk assessment, measurement, and control of all workplace radiation hazards conducted by a competent person. Risk assessments must identify all ionising and non-ionising radiation sources and define proportionate controls.</w:t>
            </w:r>
          </w:p>
          <w:p>
            <w:pPr>
              <w:pStyle w:val="ListParagraph"/>
              <w:numPr>
                <w:ilvl w:val="0"/>
                <w:numId w:val="2"/>
              </w:numPr>
              <w:spacing w:after="40" w:before="40"/>
            </w:pPr>
            <w:r>
              <w:rPr>
                <w:rFonts w:ascii="Arial" w:cs="Arial" w:eastAsia="Arial" w:hAnsi="Arial"/>
                <w:b/>
                <w:bCs/>
                <w:color w:val="375623"/>
                <w:sz w:val="19"/>
                <w:szCs w:val="19"/>
              </w:rPr>
              <w:t xml:space="preserve">[APPC – Appendix C, C-2 §71.3]  </w:t>
            </w:r>
            <w:r>
              <w:rPr>
                <w:rFonts w:ascii="Arial" w:cs="Arial" w:eastAsia="Arial" w:hAnsi="Arial"/>
                <w:color w:val="2D2D2D"/>
                <w:sz w:val="19"/>
                <w:szCs w:val="19"/>
              </w:rPr>
              <w:t xml:space="preserve">Require a register documenting all radiation sources including: radiation source type; type of radiation emitted; dose rates; location; controls in place; and responsible person.</w:t>
            </w:r>
          </w:p>
          <w:p>
            <w:pPr>
              <w:pStyle w:val="ListParagraph"/>
              <w:numPr>
                <w:ilvl w:val="0"/>
                <w:numId w:val="2"/>
              </w:numPr>
              <w:spacing w:after="40" w:before="40"/>
            </w:pPr>
            <w:r>
              <w:rPr>
                <w:rFonts w:ascii="Arial" w:cs="Arial" w:eastAsia="Arial" w:hAnsi="Arial"/>
                <w:b/>
                <w:bCs/>
                <w:color w:val="375623"/>
                <w:sz w:val="19"/>
                <w:szCs w:val="19"/>
              </w:rPr>
              <w:t xml:space="preserve">[APPC – Appendix C, C-2 §71.4]  </w:t>
            </w:r>
            <w:r>
              <w:rPr>
                <w:rFonts w:ascii="Arial" w:cs="Arial" w:eastAsia="Arial" w:hAnsi="Arial"/>
                <w:color w:val="2D2D2D"/>
                <w:sz w:val="19"/>
                <w:szCs w:val="19"/>
              </w:rPr>
              <w:t xml:space="preserve">Require establishment of restricted or controlled access areas where ionising radiation annual doses exceed 5 milli-Sieverts (mSv). Access controls must be physical and documented.</w:t>
            </w:r>
          </w:p>
          <w:p>
            <w:pPr>
              <w:pStyle w:val="ListParagraph"/>
              <w:numPr>
                <w:ilvl w:val="0"/>
                <w:numId w:val="2"/>
              </w:numPr>
              <w:spacing w:after="40" w:before="40"/>
            </w:pPr>
            <w:r>
              <w:rPr>
                <w:rFonts w:ascii="Arial" w:cs="Arial" w:eastAsia="Arial" w:hAnsi="Arial"/>
                <w:b/>
                <w:bCs/>
                <w:color w:val="375623"/>
                <w:sz w:val="19"/>
                <w:szCs w:val="19"/>
              </w:rPr>
              <w:t xml:space="preserve">[APPC – Appendix C, C-2 §71.6]  </w:t>
            </w:r>
            <w:r>
              <w:rPr>
                <w:rFonts w:ascii="Arial" w:cs="Arial" w:eastAsia="Arial" w:hAnsi="Arial"/>
                <w:color w:val="2D2D2D"/>
                <w:sz w:val="19"/>
                <w:szCs w:val="19"/>
              </w:rPr>
              <w:t xml:space="preserve">Require development of a documented Radiation Protection Programme (RPP) where required by legal regulations or risk assessment, including exposure monitoring, dose limits, protective equipment, medical surveillance, and emergency procedures.</w:t>
            </w:r>
          </w:p>
          <w:p>
            <w:r>
              <w:rPr>
                <w:rFonts w:ascii="Arial" w:cs="Arial" w:eastAsia="Arial" w:hAnsi="Arial"/>
                <w:color w:val="3C2A00"/>
                <w:sz w:val="17"/>
                <w:szCs w:val="17"/>
              </w:rPr>
              <w:t xml:space="preserve">Define the project radiation incident emergency response process and notification pathway to the relevant regulatory authority.</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Isolation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RTPR-HSE-PRO-0024</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Isolation process steps and sequence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LOTO requirements and personal lock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Isolation Officer role and responsibilities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High pressure equipment register requirements (RTPR-HSE-REG-0013)</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Mechanical blocking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Guarding requirements and bypass prohibition</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Live/unisolated work authorisation process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(isolation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(Isolation Officer competency — documented in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(isolation permits via PTW system — refer RTPR-HSE-PRO-0021)</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RTPR-HSE-PRO-0025 – Electrical Safety (electrical isolation — refer to RTPR-HSE-PRO-0025, not this procedure)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RTPR-HSE-PRO-0040 – Management of Change (scope changes during isolation via MoC)</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RTPR-HSE-PRO-0008, RTPR-HSE-PRO-0014, RTPR-HSE-PRO-0015, RTPR-HSE-PRO-0016, RTPR-HSE-PRO-0025 all reference RTPR-HSE-PRO-0024 for isolation requirements</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RTPR-HSE-PRO-0047 references RTPR-HSE-PRO-0024 for commissioning isolation management</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applies to all energy isolation activities for non-electrical hazardous energy sources: hydraulic; pneumatic; mechanical (stored under tension or gravity); rotating and moving energies; radiation; and chemical energies. Electrical isolation is addressed in the Electrical Safety Procedure. All isolations require authorisation before work commences.</w:t>
      </w:r>
    </w:p>
    <w:p>
      <w:pPr>
        <w:pStyle w:val="Heading2"/>
        <w:spacing w:after="60" w:before="240"/>
      </w:pPr>
      <w:r>
        <w:rPr>
          <w:rFonts w:ascii="Arial" w:cs="Arial" w:eastAsia="Arial" w:hAnsi="Arial"/>
          <w:b/>
          <w:bCs/>
          <w:color w:val="2E75B6"/>
          <w:sz w:val="22"/>
          <w:szCs w:val="22"/>
        </w:rPr>
        <w:t xml:space="preserve">Hazardous Energy Identification</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Require identification of all energy sources and isolation points for each piece of equipment or system where hazardous energy exists. Require development of isolation drawings, P&amp;IDs, isolation lists, and boundary diagrams for all plant where hazardous energies exist.</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Require each energy source to have a defined isolation point and an appropriate isolation device (breaker, valve, disconnect). Require new plant and equipment to be designed to minimise the number and complexity of lockable isolation points.</w:t>
      </w:r>
    </w:p>
    <w:p>
      <w:pPr>
        <w:pStyle w:val="Heading2"/>
        <w:spacing w:after="60" w:before="240"/>
      </w:pPr>
      <w:r>
        <w:rPr>
          <w:rFonts w:ascii="Arial" w:cs="Arial" w:eastAsia="Arial" w:hAnsi="Arial"/>
          <w:b/>
          <w:bCs/>
          <w:color w:val="2E75B6"/>
          <w:sz w:val="22"/>
          <w:szCs w:val="22"/>
        </w:rPr>
        <w:t xml:space="preserve">Isolation Process</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Define the isolation process steps: identify all energy sources; de-energise; dissipate and restrain stored energy (bleed, vent, discharge, secure gravity); lock out; tag; verify zero energy; clear personnel before testing. Require isolation procedures to be equipment-specific, including relevant P&amp;IDs and schematics.</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Require each isolation to be carried out by an authorised and competent Isolation Officer. Require test equipment used to verify zero energy to be calibrated and suitable for the energy type.</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Ensure that the energy isolation process explicitly addresses each category of hazardous energy present, and that the effectiveness of each isolation is physically verified before workers enter the work area.</w:t>
      </w:r>
    </w:p>
    <w:p>
      <w:pPr>
        <w:pStyle w:val="Heading2"/>
        <w:spacing w:after="60" w:before="240"/>
      </w:pPr>
      <w:r>
        <w:rPr>
          <w:rFonts w:ascii="Arial" w:cs="Arial" w:eastAsia="Arial" w:hAnsi="Arial"/>
          <w:b/>
          <w:bCs/>
          <w:color w:val="2E75B6"/>
          <w:sz w:val="22"/>
          <w:szCs w:val="22"/>
        </w:rPr>
        <w:t xml:space="preserve">Lockout/Tagout (LOTO)</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Define personal isolation lock requirements: each worker in the isolation zone must apply their own personal lock. Define the role of the Isolation Officer and the group isolation process for multi-person jobs. Require that hand tools are only used after all energy sources, including stored energy, are effectively isolated and zero energy is verified.</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Define the process for managing scope changes during isolation — any scope change requires reassessment and updated planning before work proceeds.</w:t>
      </w:r>
    </w:p>
    <w:p>
      <w:pPr>
        <w:pStyle w:val="ListParagraph"/>
        <w:numPr>
          <w:ilvl w:val="0"/>
          <w:numId w:val="2"/>
        </w:numPr>
        <w:spacing w:after="40" w:before="40"/>
      </w:pPr>
      <w:r>
        <w:rPr>
          <w:rFonts w:ascii="Arial" w:cs="Arial" w:eastAsia="Arial" w:hAnsi="Arial"/>
          <w:b/>
          <w:bCs/>
          <w:color w:val="BF9000"/>
          <w:sz w:val="19"/>
          <w:szCs w:val="19"/>
        </w:rPr>
        <w:t xml:space="preserve">[OSHA – OSHA 29 CFR 1910.147 (LOTO Standard)]  </w:t>
      </w:r>
      <w:r>
        <w:rPr>
          <w:rFonts w:ascii="Arial" w:cs="Arial" w:eastAsia="Arial" w:hAnsi="Arial"/>
          <w:color w:val="2D2D2D"/>
          <w:sz w:val="19"/>
          <w:szCs w:val="19"/>
        </w:rPr>
        <w:t xml:space="preserve">Ensure the energy control programme meets minimum LOTO standard requirements: written procedures for each type of equipment; employee training; annual programme audits; and procedures for complex or group isolations.</w:t>
      </w:r>
    </w:p>
    <w:p>
      <w:pPr>
        <w:pStyle w:val="Heading2"/>
        <w:spacing w:after="60" w:before="240"/>
      </w:pPr>
      <w:r>
        <w:rPr>
          <w:rFonts w:ascii="Arial" w:cs="Arial" w:eastAsia="Arial" w:hAnsi="Arial"/>
          <w:b/>
          <w:bCs/>
          <w:color w:val="2E75B6"/>
          <w:sz w:val="22"/>
          <w:szCs w:val="22"/>
        </w:rPr>
        <w:t xml:space="preserve">High Pressure Equipment</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Require all high-pressure systems to be documented in a Pressure Equipment Register with design documentation, system pressure ratings, and OEM maintenance schedules. Require certified, correctly sized, and installed pressure relief devices on all high-pressure systems.</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Define specific controls for high-pressure hoses (hose socks, coupling lock systems), washing and water blasting equipment, and automatic pressure relief valves.</w:t>
      </w:r>
    </w:p>
    <w:p>
      <w:pPr>
        <w:pStyle w:val="Heading2"/>
        <w:spacing w:after="60" w:before="240"/>
      </w:pPr>
      <w:r>
        <w:rPr>
          <w:rFonts w:ascii="Arial" w:cs="Arial" w:eastAsia="Arial" w:hAnsi="Arial"/>
          <w:b/>
          <w:bCs/>
          <w:color w:val="2E75B6"/>
          <w:sz w:val="22"/>
          <w:szCs w:val="22"/>
        </w:rPr>
        <w:t xml:space="preserve">Mechanical Blocking and Guarding</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Require a risk-based process to identify maintenance work requiring mechanical blocking. Require that stored energy is relieved before mechanical blocking is applied. Require blocking equipment to be rated, certified, and included in a risk-based inspection programme.</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 Guarding Critical Control]  </w:t>
      </w:r>
      <w:r>
        <w:rPr>
          <w:rFonts w:ascii="Arial" w:cs="Arial" w:eastAsia="Arial" w:hAnsi="Arial"/>
          <w:color w:val="2D2D2D"/>
          <w:sz w:val="19"/>
          <w:szCs w:val="19"/>
        </w:rPr>
        <w:t xml:space="preserve">Require guarding on all plant equipment to prevent entanglement, crushing, and uncontrolled energy release. Guards must be securely affixed, prevent body part access, require a tool for removal, and not create additional hazards. Prohibit bypassing, removing, or defeating guards without the authorisation and permitting process.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isolation point identification and documentation method: P&amp;ID annotation standards, isolation list format, boundary diagram conventions. Insert the project standard or reference the engineering document.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LOTO device standard for this project: approved lock types, tag design, unique number or name identification. The procedure requires personal locks — define the project procurement and issuance process.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Isolation Officer authorisation process for this project: who approves Isolation Officers; what the competency assessment includes; where the Authorised Isolation Officers Register is kept.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Populate the Pressure Equipment Register (RTPR-HSE-REG-0013) with all high-pressure systems on this project before commissioning activities begin.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§50.0.5]  </w:t>
            </w:r>
            <w:r>
              <w:rPr>
                <w:rFonts w:ascii="Arial" w:cs="Arial" w:eastAsia="Arial" w:hAnsi="Arial"/>
                <w:color w:val="2D2D2D"/>
                <w:sz w:val="19"/>
                <w:szCs w:val="19"/>
              </w:rPr>
              <w:t xml:space="preserve">Require maintenance of a register of all locks and lock holders used in the project isolation system. Each lock must be uniquely identifiable and assigned to a named individual. The register must be current and available for audit at all times.</w:t>
            </w:r>
          </w:p>
          <w:p>
            <w:pPr>
              <w:pStyle w:val="ListParagraph"/>
              <w:numPr>
                <w:ilvl w:val="0"/>
                <w:numId w:val="2"/>
              </w:numPr>
              <w:spacing w:after="40" w:before="40"/>
            </w:pPr>
            <w:r>
              <w:rPr>
                <w:rFonts w:ascii="Arial" w:cs="Arial" w:eastAsia="Arial" w:hAnsi="Arial"/>
                <w:b/>
                <w:bCs/>
                <w:color w:val="375623"/>
                <w:sz w:val="19"/>
                <w:szCs w:val="19"/>
              </w:rPr>
              <w:t xml:space="preserve">[APPC – Appendix C, C-2 §50.0.6]  </w:t>
            </w:r>
            <w:r>
              <w:rPr>
                <w:rFonts w:ascii="Arial" w:cs="Arial" w:eastAsia="Arial" w:hAnsi="Arial"/>
                <w:color w:val="2D2D2D"/>
                <w:sz w:val="19"/>
                <w:szCs w:val="19"/>
              </w:rPr>
              <w:t xml:space="preserve">Require that all required authorised permits and documentation outlining isolation arrangements are available at the work site and communicated to all affected personnel before work commences on any isolated system.</w:t>
            </w:r>
          </w:p>
          <w:p>
            <w:pPr>
              <w:pStyle w:val="ListParagraph"/>
              <w:numPr>
                <w:ilvl w:val="0"/>
                <w:numId w:val="2"/>
              </w:numPr>
              <w:spacing w:after="40" w:before="40"/>
            </w:pPr>
            <w:r>
              <w:rPr>
                <w:rFonts w:ascii="Arial" w:cs="Arial" w:eastAsia="Arial" w:hAnsi="Arial"/>
                <w:b/>
                <w:bCs/>
                <w:color w:val="375623"/>
                <w:sz w:val="19"/>
                <w:szCs w:val="19"/>
              </w:rPr>
              <w:t xml:space="preserve">[APPC – Appendix C, C-2 §50.0.8]  </w:t>
            </w:r>
            <w:r>
              <w:rPr>
                <w:rFonts w:ascii="Arial" w:cs="Arial" w:eastAsia="Arial" w:hAnsi="Arial"/>
                <w:color w:val="2D2D2D"/>
                <w:sz w:val="19"/>
                <w:szCs w:val="19"/>
              </w:rPr>
              <w:t xml:space="preserve">Require that a designated competent person and the responsible person for work execution jointly verify at the work site that all physical isolations and controls are in place before work commences. Verification must be documented on the permit.</w:t>
            </w:r>
          </w:p>
          <w:p>
            <w:pPr>
              <w:pStyle w:val="ListParagraph"/>
              <w:numPr>
                <w:ilvl w:val="0"/>
                <w:numId w:val="2"/>
              </w:numPr>
              <w:spacing w:after="40" w:before="40"/>
            </w:pPr>
            <w:r>
              <w:rPr>
                <w:rFonts w:ascii="Arial" w:cs="Arial" w:eastAsia="Arial" w:hAnsi="Arial"/>
                <w:b/>
                <w:bCs/>
                <w:color w:val="375623"/>
                <w:sz w:val="19"/>
                <w:szCs w:val="19"/>
              </w:rPr>
              <w:t xml:space="preserve">[APPC – Appendix C, C-2 §50.0.9]  </w:t>
            </w:r>
            <w:r>
              <w:rPr>
                <w:rFonts w:ascii="Arial" w:cs="Arial" w:eastAsia="Arial" w:hAnsi="Arial"/>
                <w:color w:val="2D2D2D"/>
                <w:sz w:val="19"/>
                <w:szCs w:val="19"/>
              </w:rPr>
              <w:t xml:space="preserve">Require that changes in work conditions or scope that deviate from the authorised permits or LOTO documents trigger revalidation and re-verification of the isolation before work resumes.</w:t>
            </w:r>
          </w:p>
          <w:p>
            <w:pPr>
              <w:pStyle w:val="ListParagraph"/>
              <w:numPr>
                <w:ilvl w:val="0"/>
                <w:numId w:val="2"/>
              </w:numPr>
              <w:spacing w:after="40" w:before="40"/>
            </w:pPr>
            <w:r>
              <w:rPr>
                <w:rFonts w:ascii="Arial" w:cs="Arial" w:eastAsia="Arial" w:hAnsi="Arial"/>
                <w:b/>
                <w:bCs/>
                <w:color w:val="375623"/>
                <w:sz w:val="19"/>
                <w:szCs w:val="19"/>
              </w:rPr>
              <w:t xml:space="preserve">[APPC – Appendix C, C-2 §50.1.1]  </w:t>
            </w:r>
            <w:r>
              <w:rPr>
                <w:rFonts w:ascii="Arial" w:cs="Arial" w:eastAsia="Arial" w:hAnsi="Arial"/>
                <w:color w:val="2D2D2D"/>
                <w:sz w:val="19"/>
                <w:szCs w:val="19"/>
              </w:rPr>
              <w:t xml:space="preserve">Require that following locking and tagging, a test confirms the absence of voltage. For high-voltage isolations, conductors must be earthed. After any change in conditions or any worker break, a retest must revalidate the absence of voltage before work resumes.</w:t>
            </w:r>
          </w:p>
          <w:p>
            <w:r>
              <w:rPr>
                <w:rFonts w:ascii="Arial" w:cs="Arial" w:eastAsia="Arial" w:hAnsi="Arial"/>
                <w:color w:val="3C2A00"/>
                <w:sz w:val="17"/>
                <w:szCs w:val="17"/>
              </w:rPr>
              <w:t xml:space="preserve">Define the guarding inspection programme for this project: what equipment requires guarding inspection; at what frequency; who conducts inspections; where records are kept.</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Electrical Safety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RTPR-HSE-PRO-0025</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Arc flash hazard assessment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Electrical equipment inspection and tagging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SLD documentation and maintenance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Electrical isolation and zero-energy verification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Energised Work Authorisation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Arc flash PPE requirements by task category</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Lightning and severe weather electrical management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Electrical competency and authorisation categories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(electrical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(electrical competency — documented in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(electrical work permits via PTW — refer RTPR-HSE-PRO-0021)</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RTPR-HSE-PRO-0024 – Isolation (mechanical and energy isolation — electrical isolation covered here)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RTPR-HSE-PRO-0027 – PPE (arc flash PPE selection)</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RTPR-HSE-REG-0010 – Electrical Equipment Register (via RTPR-HSE-PRO-0010 document control)</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RTPR-HSE-PRO-0047 – Commissioning references RTPR-HSE-PRO-0025 for electrical commissioning requirements</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RTPR-HSE-PRO-0019 references RTPR-HSE-PRO-0025 for electrical aspects of process safety</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applies to all electrical work and electrical equipment at voltages above 50V AC or 110V DC, including arc flash risk management. All electrical work requires formal authorisation before commencement. This procedure complements the Isolation Procedure, which covers non-electrical energy sources.</w:t>
      </w:r>
    </w:p>
    <w:p>
      <w:pPr>
        <w:pStyle w:val="Heading2"/>
        <w:spacing w:after="60" w:before="240"/>
      </w:pPr>
      <w:r>
        <w:rPr>
          <w:rFonts w:ascii="Arial" w:cs="Arial" w:eastAsia="Arial" w:hAnsi="Arial"/>
          <w:b/>
          <w:bCs/>
          <w:color w:val="2E75B6"/>
          <w:sz w:val="22"/>
          <w:szCs w:val="22"/>
        </w:rPr>
        <w:t xml:space="preserve">Risk Assessment and Electrical Hazard Management</w:t>
      </w:r>
    </w:p>
    <w:p>
      <w:pPr>
        <w:pStyle w:val="ListParagraph"/>
        <w:numPr>
          <w:ilvl w:val="0"/>
          <w:numId w:val="2"/>
        </w:numPr>
        <w:spacing w:after="40" w:before="40"/>
      </w:pPr>
      <w:r>
        <w:rPr>
          <w:rFonts w:ascii="Arial" w:cs="Arial" w:eastAsia="Arial" w:hAnsi="Arial"/>
          <w:b/>
          <w:bCs/>
          <w:color w:val="1F3864"/>
          <w:sz w:val="19"/>
          <w:szCs w:val="19"/>
        </w:rPr>
        <w:t xml:space="preserve">[RT – RT C2 – Contact with Electricity Standard]  </w:t>
      </w:r>
      <w:r>
        <w:rPr>
          <w:rFonts w:ascii="Arial" w:cs="Arial" w:eastAsia="Arial" w:hAnsi="Arial"/>
          <w:color w:val="2D2D2D"/>
          <w:sz w:val="19"/>
          <w:szCs w:val="19"/>
        </w:rPr>
        <w:t xml:space="preserve">Require a risk assessment for all work involving arc flash, direct shock, or indirect shock exposure. Require arc flash hazard assessments per IEEE 1584 or equivalent for all work with arc flash risk. Require the documented electrical hazard management process to be reviewed at intervals not exceeding two years.</w:t>
      </w:r>
    </w:p>
    <w:p>
      <w:pPr>
        <w:pStyle w:val="ListParagraph"/>
        <w:numPr>
          <w:ilvl w:val="0"/>
          <w:numId w:val="2"/>
        </w:numPr>
        <w:spacing w:after="40" w:before="40"/>
      </w:pPr>
      <w:r>
        <w:rPr>
          <w:rFonts w:ascii="Arial" w:cs="Arial" w:eastAsia="Arial" w:hAnsi="Arial"/>
          <w:b/>
          <w:bCs/>
          <w:color w:val="1F3864"/>
          <w:sz w:val="19"/>
          <w:szCs w:val="19"/>
        </w:rPr>
        <w:t xml:space="preserve">[RT – RT C2 – Contact with Electricity Standard]  </w:t>
      </w:r>
      <w:r>
        <w:rPr>
          <w:rFonts w:ascii="Arial" w:cs="Arial" w:eastAsia="Arial" w:hAnsi="Arial"/>
          <w:color w:val="2D2D2D"/>
          <w:sz w:val="19"/>
          <w:szCs w:val="19"/>
        </w:rPr>
        <w:t xml:space="preserve">Require alignment with applicable national or international standards (IEC, NEMA, ANSI, IEEE, AS/NZS).</w:t>
      </w:r>
    </w:p>
    <w:p>
      <w:pPr>
        <w:pStyle w:val="Heading2"/>
        <w:spacing w:after="60" w:before="240"/>
      </w:pPr>
      <w:r>
        <w:rPr>
          <w:rFonts w:ascii="Arial" w:cs="Arial" w:eastAsia="Arial" w:hAnsi="Arial"/>
          <w:b/>
          <w:bCs/>
          <w:color w:val="2E75B6"/>
          <w:sz w:val="22"/>
          <w:szCs w:val="22"/>
        </w:rPr>
        <w:t xml:space="preserve">Equipment Design and Installation</w:t>
      </w:r>
    </w:p>
    <w:p>
      <w:pPr>
        <w:pStyle w:val="ListParagraph"/>
        <w:numPr>
          <w:ilvl w:val="0"/>
          <w:numId w:val="2"/>
        </w:numPr>
        <w:spacing w:after="40" w:before="40"/>
      </w:pPr>
      <w:r>
        <w:rPr>
          <w:rFonts w:ascii="Arial" w:cs="Arial" w:eastAsia="Arial" w:hAnsi="Arial"/>
          <w:b/>
          <w:bCs/>
          <w:color w:val="1F3864"/>
          <w:sz w:val="19"/>
          <w:szCs w:val="19"/>
        </w:rPr>
        <w:t xml:space="preserve">[RT – RT C2 – Contact with Electricity Standard]  </w:t>
      </w:r>
      <w:r>
        <w:rPr>
          <w:rFonts w:ascii="Arial" w:cs="Arial" w:eastAsia="Arial" w:hAnsi="Arial"/>
          <w:color w:val="2D2D2D"/>
          <w:sz w:val="19"/>
          <w:szCs w:val="19"/>
        </w:rPr>
        <w:t xml:space="preserve">Require overload protection on all final distribution circuits with settings verified and documented by authorised electrical personnel. Require earth leakage protection on all subcircuits supplying socket outlets where required by legislation or risk assessment. Require electrical equipment to be identifiable via labelling and single-line diagrams (SLDs) that are controlled, maintained, and updated following any modifications.</w:t>
      </w:r>
    </w:p>
    <w:p>
      <w:pPr>
        <w:pStyle w:val="ListParagraph"/>
        <w:numPr>
          <w:ilvl w:val="0"/>
          <w:numId w:val="2"/>
        </w:numPr>
        <w:spacing w:after="40" w:before="40"/>
      </w:pPr>
      <w:r>
        <w:rPr>
          <w:rFonts w:ascii="Arial" w:cs="Arial" w:eastAsia="Arial" w:hAnsi="Arial"/>
          <w:b/>
          <w:bCs/>
          <w:color w:val="375623"/>
          <w:sz w:val="19"/>
          <w:szCs w:val="19"/>
        </w:rPr>
        <w:t xml:space="preserve">[APPC – Appendix C, C-2 §61.1]  </w:t>
      </w:r>
      <w:r>
        <w:rPr>
          <w:rFonts w:ascii="Arial" w:cs="Arial" w:eastAsia="Arial" w:hAnsi="Arial"/>
          <w:color w:val="2D2D2D"/>
          <w:sz w:val="19"/>
          <w:szCs w:val="19"/>
        </w:rPr>
        <w:t xml:space="preserve">Require all electrical equipment to be inspected and tagged quarterly by a certified electrician, recorded in a register, and colour-coded to indicate inspection status.</w:t>
      </w:r>
    </w:p>
    <w:p>
      <w:pPr>
        <w:pStyle w:val="Heading2"/>
        <w:spacing w:after="60" w:before="240"/>
      </w:pPr>
      <w:r>
        <w:rPr>
          <w:rFonts w:ascii="Arial" w:cs="Arial" w:eastAsia="Arial" w:hAnsi="Arial"/>
          <w:b/>
          <w:bCs/>
          <w:color w:val="2E75B6"/>
          <w:sz w:val="22"/>
          <w:szCs w:val="22"/>
        </w:rPr>
        <w:t xml:space="preserve">Electrical Isolation and Zero Energy Verification</w:t>
      </w:r>
    </w:p>
    <w:p>
      <w:pPr>
        <w:pStyle w:val="ListParagraph"/>
        <w:numPr>
          <w:ilvl w:val="0"/>
          <w:numId w:val="2"/>
        </w:numPr>
        <w:spacing w:after="40" w:before="40"/>
      </w:pPr>
      <w:r>
        <w:rPr>
          <w:rFonts w:ascii="Arial" w:cs="Arial" w:eastAsia="Arial" w:hAnsi="Arial"/>
          <w:b/>
          <w:bCs/>
          <w:color w:val="1F3864"/>
          <w:sz w:val="19"/>
          <w:szCs w:val="19"/>
        </w:rPr>
        <w:t xml:space="preserve">[RT – RT C2 – Contact with Electricity Standard – Critical Control]  </w:t>
      </w:r>
      <w:r>
        <w:rPr>
          <w:rFonts w:ascii="Arial" w:cs="Arial" w:eastAsia="Arial" w:hAnsi="Arial"/>
          <w:color w:val="2D2D2D"/>
          <w:sz w:val="19"/>
          <w:szCs w:val="19"/>
        </w:rPr>
        <w:t xml:space="preserve">Define electrical isolation requirements: identification of energy sources; documented isolation methods for standard and novel isolations; personal isolation locks and tags; and the prohibition of access to conductors above 1,000V AC or 1,500V DC without full isolation, zero-energy verification, earthing, and an isolation permit.</w:t>
      </w:r>
    </w:p>
    <w:p>
      <w:pPr>
        <w:pStyle w:val="ListParagraph"/>
        <w:numPr>
          <w:ilvl w:val="0"/>
          <w:numId w:val="2"/>
        </w:numPr>
        <w:spacing w:after="40" w:before="40"/>
      </w:pPr>
      <w:r>
        <w:rPr>
          <w:rFonts w:ascii="Arial" w:cs="Arial" w:eastAsia="Arial" w:hAnsi="Arial"/>
          <w:b/>
          <w:bCs/>
          <w:color w:val="1F3864"/>
          <w:sz w:val="19"/>
          <w:szCs w:val="19"/>
        </w:rPr>
        <w:t xml:space="preserve">[RT – RT C2 – Contact with Electricity Standard – Critical Control]  </w:t>
      </w:r>
      <w:r>
        <w:rPr>
          <w:rFonts w:ascii="Arial" w:cs="Arial" w:eastAsia="Arial" w:hAnsi="Arial"/>
          <w:color w:val="2D2D2D"/>
          <w:sz w:val="19"/>
          <w:szCs w:val="19"/>
        </w:rPr>
        <w:t xml:space="preserve">Require zero-energy verification using approved, fit-for-purpose test equipment, function-tested immediately before and after verification. Apply 'test before you touch'. For conductors above 1,000V AC/1,500V DC, require approved absence-of-voltage test before earthing is applied.</w:t>
      </w:r>
    </w:p>
    <w:p>
      <w:pPr>
        <w:pStyle w:val="Heading2"/>
        <w:spacing w:after="60" w:before="240"/>
      </w:pPr>
      <w:r>
        <w:rPr>
          <w:rFonts w:ascii="Arial" w:cs="Arial" w:eastAsia="Arial" w:hAnsi="Arial"/>
          <w:b/>
          <w:bCs/>
          <w:color w:val="2E75B6"/>
          <w:sz w:val="22"/>
          <w:szCs w:val="22"/>
        </w:rPr>
        <w:t xml:space="preserve">Energised Work Authorisation</w:t>
      </w:r>
    </w:p>
    <w:p>
      <w:pPr>
        <w:pStyle w:val="ListParagraph"/>
        <w:numPr>
          <w:ilvl w:val="0"/>
          <w:numId w:val="2"/>
        </w:numPr>
        <w:spacing w:after="40" w:before="40"/>
      </w:pPr>
      <w:r>
        <w:rPr>
          <w:rFonts w:ascii="Arial" w:cs="Arial" w:eastAsia="Arial" w:hAnsi="Arial"/>
          <w:b/>
          <w:bCs/>
          <w:color w:val="1F3864"/>
          <w:sz w:val="19"/>
          <w:szCs w:val="19"/>
        </w:rPr>
        <w:t xml:space="preserve">[RT – RT C2 – Contact with Electricity Standard]  </w:t>
      </w:r>
      <w:r>
        <w:rPr>
          <w:rFonts w:ascii="Arial" w:cs="Arial" w:eastAsia="Arial" w:hAnsi="Arial"/>
          <w:color w:val="2D2D2D"/>
          <w:sz w:val="19"/>
          <w:szCs w:val="19"/>
        </w:rPr>
        <w:t xml:space="preserve">Prohibit work on or near energised equipment unless justified and no safer practicable alternative exists. Require a formal Energised Work Authorisation with independent review by an authorised person not directly involved in the task, supervision appropriate to risk level, and the authorisation available at the work location.</w:t>
      </w:r>
    </w:p>
    <w:p>
      <w:pPr>
        <w:pStyle w:val="Heading2"/>
        <w:spacing w:after="60" w:before="240"/>
      </w:pPr>
      <w:r>
        <w:rPr>
          <w:rFonts w:ascii="Arial" w:cs="Arial" w:eastAsia="Arial" w:hAnsi="Arial"/>
          <w:b/>
          <w:bCs/>
          <w:color w:val="2E75B6"/>
          <w:sz w:val="22"/>
          <w:szCs w:val="22"/>
        </w:rPr>
        <w:t xml:space="preserve">Arc Flash PPE and Protective Devices</w:t>
      </w:r>
    </w:p>
    <w:p>
      <w:pPr>
        <w:pStyle w:val="ListParagraph"/>
        <w:numPr>
          <w:ilvl w:val="0"/>
          <w:numId w:val="2"/>
        </w:numPr>
        <w:spacing w:after="40" w:before="40"/>
      </w:pPr>
      <w:r>
        <w:rPr>
          <w:rFonts w:ascii="Arial" w:cs="Arial" w:eastAsia="Arial" w:hAnsi="Arial"/>
          <w:b/>
          <w:bCs/>
          <w:color w:val="1F3864"/>
          <w:sz w:val="19"/>
          <w:szCs w:val="19"/>
        </w:rPr>
        <w:t xml:space="preserve">[RT – RT C2 – Contact with Electricity Standard]  </w:t>
      </w:r>
      <w:r>
        <w:rPr>
          <w:rFonts w:ascii="Arial" w:cs="Arial" w:eastAsia="Arial" w:hAnsi="Arial"/>
          <w:color w:val="2D2D2D"/>
          <w:sz w:val="19"/>
          <w:szCs w:val="19"/>
        </w:rPr>
        <w:t xml:space="preserve">Require arc flash PPE suitably rated for the specific task category and incident energy level, with voltage-rated tools, gloves, and operating sticks where required. Require arc flash relays or equivalent protective devices where the arc flash hazard assessment identifies they are necessary, with settings established, verified, and regularly tested.</w:t>
      </w:r>
    </w:p>
    <w:p>
      <w:pPr>
        <w:pStyle w:val="Heading2"/>
        <w:spacing w:after="60" w:before="240"/>
      </w:pPr>
      <w:r>
        <w:rPr>
          <w:rFonts w:ascii="Arial" w:cs="Arial" w:eastAsia="Arial" w:hAnsi="Arial"/>
          <w:b/>
          <w:bCs/>
          <w:color w:val="2E75B6"/>
          <w:sz w:val="22"/>
          <w:szCs w:val="22"/>
        </w:rPr>
        <w:t xml:space="preserve">Lightning, Severe Weather and Emergency Response</w:t>
      </w:r>
    </w:p>
    <w:p>
      <w:pPr>
        <w:pStyle w:val="ListParagraph"/>
        <w:numPr>
          <w:ilvl w:val="0"/>
          <w:numId w:val="2"/>
        </w:numPr>
        <w:spacing w:after="40" w:before="40"/>
      </w:pPr>
      <w:r>
        <w:rPr>
          <w:rFonts w:ascii="Arial" w:cs="Arial" w:eastAsia="Arial" w:hAnsi="Arial"/>
          <w:b/>
          <w:bCs/>
          <w:color w:val="1F3864"/>
          <w:sz w:val="19"/>
          <w:szCs w:val="19"/>
        </w:rPr>
        <w:t xml:space="preserve">[RT – RT C2 – Contact with Electricity Standard]  </w:t>
      </w:r>
      <w:r>
        <w:rPr>
          <w:rFonts w:ascii="Arial" w:cs="Arial" w:eastAsia="Arial" w:hAnsi="Arial"/>
          <w:color w:val="2D2D2D"/>
          <w:sz w:val="19"/>
          <w:szCs w:val="19"/>
        </w:rPr>
        <w:t xml:space="preserve">Require a documented lightning and severe weather management process with site-defined work suspension triggers, identification of shelters, and earthing/isolation arrangements for managing earth potential rise.</w:t>
      </w:r>
    </w:p>
    <w:p>
      <w:pPr>
        <w:pStyle w:val="ListParagraph"/>
        <w:numPr>
          <w:ilvl w:val="0"/>
          <w:numId w:val="2"/>
        </w:numPr>
        <w:spacing w:after="40" w:before="40"/>
      </w:pPr>
      <w:r>
        <w:rPr>
          <w:rFonts w:ascii="Arial" w:cs="Arial" w:eastAsia="Arial" w:hAnsi="Arial"/>
          <w:b/>
          <w:bCs/>
          <w:color w:val="1F3864"/>
          <w:sz w:val="19"/>
          <w:szCs w:val="19"/>
        </w:rPr>
        <w:t xml:space="preserve">[RT – RT C2 – Contact with Electricity Standard]  </w:t>
      </w:r>
      <w:r>
        <w:rPr>
          <w:rFonts w:ascii="Arial" w:cs="Arial" w:eastAsia="Arial" w:hAnsi="Arial"/>
          <w:color w:val="2D2D2D"/>
          <w:sz w:val="19"/>
          <w:szCs w:val="19"/>
        </w:rPr>
        <w:t xml:space="preserve">Require a task-specific Emergency Rescue Plan before commencing live testing or live electrical work. Require electrical emergency response drills on a risk-based frequency.</w:t>
      </w:r>
    </w:p>
    <w:p>
      <w:pPr>
        <w:pStyle w:val="Heading2"/>
        <w:spacing w:after="60" w:before="240"/>
      </w:pPr>
      <w:r>
        <w:rPr>
          <w:rFonts w:ascii="Arial" w:cs="Arial" w:eastAsia="Arial" w:hAnsi="Arial"/>
          <w:b/>
          <w:bCs/>
          <w:color w:val="2E75B6"/>
          <w:sz w:val="22"/>
          <w:szCs w:val="22"/>
        </w:rPr>
        <w:t xml:space="preserve">Competency and Authorisation</w:t>
      </w:r>
    </w:p>
    <w:p>
      <w:pPr>
        <w:pStyle w:val="ListParagraph"/>
        <w:numPr>
          <w:ilvl w:val="0"/>
          <w:numId w:val="2"/>
        </w:numPr>
        <w:spacing w:after="40" w:before="40"/>
      </w:pPr>
      <w:r>
        <w:rPr>
          <w:rFonts w:ascii="Arial" w:cs="Arial" w:eastAsia="Arial" w:hAnsi="Arial"/>
          <w:b/>
          <w:bCs/>
          <w:color w:val="1F3864"/>
          <w:sz w:val="19"/>
          <w:szCs w:val="19"/>
        </w:rPr>
        <w:t xml:space="preserve">[RT – RT C2 – Contact with Electricity Standard]  </w:t>
      </w:r>
      <w:r>
        <w:rPr>
          <w:rFonts w:ascii="Arial" w:cs="Arial" w:eastAsia="Arial" w:hAnsi="Arial"/>
          <w:color w:val="2D2D2D"/>
          <w:sz w:val="19"/>
          <w:szCs w:val="19"/>
        </w:rPr>
        <w:t xml:space="preserve">Require all personnel performing electrical work to be qualified, competent, and formally authorised. Where legislation requires a licence, the licence must be held before authorisation is granted. Define authorisation categories: electrical work and isolation; protective equipment selection; and hazardous environment entry including potline environments where applicable.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Commission an arc flash hazard assessment for this project's electrical systems before any energised work commences. Insert the assessment findings or reference the completed assessment report.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electrical authorisation categories for this project: what work can be performed by a licensed electrician without additional project authorisation; what requires project-level Authorised Person status. Insert the authorisation matrix.</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SLD documentation standard: where SLDs are stored; who maintains them; what triggers a SLD update. This is critical for isolation accuracy.</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lightning and severe weather suspension threshold for electrical work (e.g., lightning within X km). The procedure requires a defined threshold — the project sets it based on site location and risk.</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§51.0.1]  </w:t>
            </w:r>
            <w:r>
              <w:rPr>
                <w:rFonts w:ascii="Arial" w:cs="Arial" w:eastAsia="Arial" w:hAnsi="Arial"/>
                <w:color w:val="2D2D2D"/>
                <w:sz w:val="19"/>
                <w:szCs w:val="19"/>
              </w:rPr>
              <w:t xml:space="preserve">Require that personnel performing electrical work are deemed competent and authorised with competency reassessments at intervals not exceeding two years. Authorisation must be withdrawn and reassessment conducted when personnel change work roles.</w:t>
            </w:r>
          </w:p>
          <w:p>
            <w:pPr>
              <w:pStyle w:val="ListParagraph"/>
              <w:numPr>
                <w:ilvl w:val="0"/>
                <w:numId w:val="2"/>
              </w:numPr>
              <w:spacing w:after="40" w:before="40"/>
            </w:pPr>
            <w:r>
              <w:rPr>
                <w:rFonts w:ascii="Arial" w:cs="Arial" w:eastAsia="Arial" w:hAnsi="Arial"/>
                <w:b/>
                <w:bCs/>
                <w:color w:val="375623"/>
                <w:sz w:val="19"/>
                <w:szCs w:val="19"/>
              </w:rPr>
              <w:t xml:space="preserve">[APPC – Appendix C, C-2 §51.0.4]  </w:t>
            </w:r>
            <w:r>
              <w:rPr>
                <w:rFonts w:ascii="Arial" w:cs="Arial" w:eastAsia="Arial" w:hAnsi="Arial"/>
                <w:color w:val="2D2D2D"/>
                <w:sz w:val="19"/>
                <w:szCs w:val="19"/>
              </w:rPr>
              <w:t xml:space="preserve">Require that access to exposed, energised parts exceeding 1,000 volts is prohibited except for isolation, inspection, or testing by competent and authorised personnel using appropriate high-voltage equipment, procedures, and PPE.</w:t>
            </w:r>
          </w:p>
          <w:p>
            <w:pPr>
              <w:pStyle w:val="ListParagraph"/>
              <w:numPr>
                <w:ilvl w:val="0"/>
                <w:numId w:val="2"/>
              </w:numPr>
              <w:spacing w:after="40" w:before="40"/>
            </w:pPr>
            <w:r>
              <w:rPr>
                <w:rFonts w:ascii="Arial" w:cs="Arial" w:eastAsia="Arial" w:hAnsi="Arial"/>
                <w:b/>
                <w:bCs/>
                <w:color w:val="375623"/>
                <w:sz w:val="19"/>
                <w:szCs w:val="19"/>
              </w:rPr>
              <w:t xml:space="preserve">[APPC – Appendix C, C-2 §51.0.8]  </w:t>
            </w:r>
            <w:r>
              <w:rPr>
                <w:rFonts w:ascii="Arial" w:cs="Arial" w:eastAsia="Arial" w:hAnsi="Arial"/>
                <w:color w:val="2D2D2D"/>
                <w:sz w:val="19"/>
                <w:szCs w:val="19"/>
              </w:rPr>
              <w:t xml:space="preserve">Require that temporary electrical switchgear is designed and installed in accordance with relevant standards and Company specifications. Temporary switchgear must be formally inspected before energisation.</w:t>
            </w:r>
          </w:p>
          <w:p>
            <w:pPr>
              <w:pStyle w:val="ListParagraph"/>
              <w:numPr>
                <w:ilvl w:val="0"/>
                <w:numId w:val="2"/>
              </w:numPr>
              <w:spacing w:after="40" w:before="40"/>
            </w:pPr>
            <w:r>
              <w:rPr>
                <w:rFonts w:ascii="Arial" w:cs="Arial" w:eastAsia="Arial" w:hAnsi="Arial"/>
                <w:b/>
                <w:bCs/>
                <w:color w:val="375623"/>
                <w:sz w:val="19"/>
                <w:szCs w:val="19"/>
              </w:rPr>
              <w:t xml:space="preserve">[APPC – Appendix C, C-2 §51.0.9]  </w:t>
            </w:r>
            <w:r>
              <w:rPr>
                <w:rFonts w:ascii="Arial" w:cs="Arial" w:eastAsia="Arial" w:hAnsi="Arial"/>
                <w:color w:val="2D2D2D"/>
                <w:sz w:val="19"/>
                <w:szCs w:val="19"/>
              </w:rPr>
              <w:t xml:space="preserve">Require that overhead power lines are protected, with crossing points demarcated and barricade flags placed adjacent to the lines. Minimum approach distances must be posted at each crossing point.</w:t>
            </w:r>
          </w:p>
          <w:p>
            <w:pPr>
              <w:pStyle w:val="ListParagraph"/>
              <w:numPr>
                <w:ilvl w:val="0"/>
                <w:numId w:val="2"/>
              </w:numPr>
              <w:spacing w:after="40" w:before="40"/>
            </w:pPr>
            <w:r>
              <w:rPr>
                <w:rFonts w:ascii="Arial" w:cs="Arial" w:eastAsia="Arial" w:hAnsi="Arial"/>
                <w:b/>
                <w:bCs/>
                <w:color w:val="375623"/>
                <w:sz w:val="19"/>
                <w:szCs w:val="19"/>
              </w:rPr>
              <w:t xml:space="preserve">[APPC – Appendix C, C-2 §51.0.10]  </w:t>
            </w:r>
            <w:r>
              <w:rPr>
                <w:rFonts w:ascii="Arial" w:cs="Arial" w:eastAsia="Arial" w:hAnsi="Arial"/>
                <w:color w:val="2D2D2D"/>
                <w:sz w:val="19"/>
                <w:szCs w:val="19"/>
              </w:rPr>
              <w:t xml:space="preserve">Where work is required on structures above energised overhead power lines, require a dedicated safe work procedure approved by a competent electrical engineer with a specific permit and formal risk assessment.</w:t>
            </w:r>
          </w:p>
          <w:p>
            <w:r>
              <w:rPr>
                <w:rFonts w:ascii="Arial" w:cs="Arial" w:eastAsia="Arial" w:hAnsi="Arial"/>
                <w:color w:val="3C2A00"/>
                <w:sz w:val="17"/>
                <w:szCs w:val="17"/>
              </w:rPr>
              <w:t xml:space="preserve">Define the potline-specific requirements if this project includes aluminium smelting or electrolytic process operations.</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Vehicles and Driving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RTPR-HSE-PRO-0026</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Vehicle minimum specification requirements (Table 1)</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Driver and operator authorisation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Positive communications process and distance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Fundamentally stable parking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Journey Management Plan trigger criteria and minimum content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Downhill haulage ramp register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Vehicle technology (IVMS)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(vehicle and traffic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(driver competency — documented in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RTPR-HSE-PRO-0006 – Fitness for Work (driver fitness, D&amp;A testing)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(pit permits for restricted area access — via RTPR-HSE-PRO-0021)</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RTPR-HSE-PRO-0031 – Traffic Management (traffic management planning)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(vehicle incident reporting)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RTPR-HSE-PRO-0008 – Working at Height (height controls for load securing at height)</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RTPR-HSE-PRO-0031 – Traffic Management references RTPR-HSE-PRO-0026 for vehicle specifications and driver requirements</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applies to all light vehicles, mass transport vehicles, heavy mobile equipment (HME), special-purpose vehicles, ancillary mobile equipment, and powered mobile equipment operated on the owner-led project. All project vehicle operators — RT staff and contractors — must comply. Mass transport vehicles are those designed to transport nine or more persons including the driver.</w:t>
      </w:r>
    </w:p>
    <w:p>
      <w:pPr>
        <w:pStyle w:val="Heading2"/>
        <w:spacing w:after="60" w:before="240"/>
      </w:pPr>
      <w:r>
        <w:rPr>
          <w:rFonts w:ascii="Arial" w:cs="Arial" w:eastAsia="Arial" w:hAnsi="Arial"/>
          <w:b/>
          <w:bCs/>
          <w:color w:val="2E75B6"/>
          <w:sz w:val="22"/>
          <w:szCs w:val="22"/>
        </w:rPr>
        <w:t xml:space="preserve">Vehicle Minimum Specifications</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w:t>
      </w:r>
      <w:r>
        <w:rPr>
          <w:rFonts w:ascii="Arial" w:cs="Arial" w:eastAsia="Arial" w:hAnsi="Arial"/>
          <w:color w:val="2D2D2D"/>
          <w:sz w:val="19"/>
          <w:szCs w:val="19"/>
        </w:rPr>
        <w:t xml:space="preserve">Define minimum specifications for all vehicles per the RT standard: occupant protection (fixed seats and seatbelts for all occupants); speedometer; markings visible from all directions; pedestrian/object warning systems; reverse alarm; site-compatible two-way communications; park brake; horn; fire suppression or extinguisher (risk-based); and identified lockable isolation point.</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w:t>
      </w:r>
      <w:r>
        <w:rPr>
          <w:rFonts w:ascii="Arial" w:cs="Arial" w:eastAsia="Arial" w:hAnsi="Arial"/>
          <w:color w:val="2D2D2D"/>
          <w:sz w:val="19"/>
          <w:szCs w:val="19"/>
        </w:rPr>
        <w:t xml:space="preserve">Require all new light vehicle purchases to hold a minimum 5-star NCAP rating. Define legacy fleet minimum requirements. Define additional mass transport vehicle technology requirements: IVMS with in-vehicle camera; fatigue detection technology with immediate driver alert; and blind spot monitoring.</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w:t>
      </w:r>
      <w:r>
        <w:rPr>
          <w:rFonts w:ascii="Arial" w:cs="Arial" w:eastAsia="Arial" w:hAnsi="Arial"/>
          <w:color w:val="2D2D2D"/>
          <w:sz w:val="19"/>
          <w:szCs w:val="19"/>
        </w:rPr>
        <w:t xml:space="preserve">Require pre-first-use inspection of all vehicles to verify minimum requirements are met and functioning correctly.</w:t>
      </w:r>
    </w:p>
    <w:p>
      <w:pPr>
        <w:pStyle w:val="Heading2"/>
        <w:spacing w:after="60" w:before="240"/>
      </w:pPr>
      <w:r>
        <w:rPr>
          <w:rFonts w:ascii="Arial" w:cs="Arial" w:eastAsia="Arial" w:hAnsi="Arial"/>
          <w:b/>
          <w:bCs/>
          <w:color w:val="2E75B6"/>
          <w:sz w:val="22"/>
          <w:szCs w:val="22"/>
        </w:rPr>
        <w:t xml:space="preserve">Driver and Operator Authorisation</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 Critical Control]  </w:t>
      </w:r>
      <w:r>
        <w:rPr>
          <w:rFonts w:ascii="Arial" w:cs="Arial" w:eastAsia="Arial" w:hAnsi="Arial"/>
          <w:color w:val="2D2D2D"/>
          <w:sz w:val="19"/>
          <w:szCs w:val="19"/>
        </w:rPr>
        <w:t xml:space="preserve">Require compliance with all regulatory licensing requirements. Require training per a documented protocol by qualified trainers, vehicle-specific theory and practical assessments, and a risk-based competency reassessment frequency. Define HME-specific competency requirements: downhill haulage risks and controls; use of Retard Speed Control (RSC); and use of independent braking systems in emergency situations.</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w:t>
      </w:r>
      <w:r>
        <w:rPr>
          <w:rFonts w:ascii="Arial" w:cs="Arial" w:eastAsia="Arial" w:hAnsi="Arial"/>
          <w:color w:val="2D2D2D"/>
          <w:sz w:val="19"/>
          <w:szCs w:val="19"/>
        </w:rPr>
        <w:t xml:space="preserve">Require defensive driver training for mass transport vehicle drivers. Define risk-based requirements for other vehicle types.</w:t>
      </w:r>
    </w:p>
    <w:p>
      <w:pPr>
        <w:pStyle w:val="Heading2"/>
        <w:spacing w:after="60" w:before="240"/>
      </w:pPr>
      <w:r>
        <w:rPr>
          <w:rFonts w:ascii="Arial" w:cs="Arial" w:eastAsia="Arial" w:hAnsi="Arial"/>
          <w:b/>
          <w:bCs/>
          <w:color w:val="2E75B6"/>
          <w:sz w:val="22"/>
          <w:szCs w:val="22"/>
        </w:rPr>
        <w:t xml:space="preserve">Positive Communications</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 Critical Control]  </w:t>
      </w:r>
      <w:r>
        <w:rPr>
          <w:rFonts w:ascii="Arial" w:cs="Arial" w:eastAsia="Arial" w:hAnsi="Arial"/>
          <w:color w:val="2D2D2D"/>
          <w:sz w:val="19"/>
          <w:szCs w:val="19"/>
        </w:rPr>
        <w:t xml:space="preserve">Define the positive communication process for vehicle/PME interactions. Require agreed communication method, clear initiation, and confirmed acknowledgement using a repeat-back or equivalent. Surface mining: no vehicle may approach within 50 metres of HME without first establishing positive communication. Underground mining: no person or vehicle may approach HME without positive communication. Define the overtaking protocol for HME.</w:t>
      </w:r>
    </w:p>
    <w:p>
      <w:pPr>
        <w:pStyle w:val="Heading2"/>
        <w:spacing w:after="60" w:before="240"/>
      </w:pPr>
      <w:r>
        <w:rPr>
          <w:rFonts w:ascii="Arial" w:cs="Arial" w:eastAsia="Arial" w:hAnsi="Arial"/>
          <w:b/>
          <w:bCs/>
          <w:color w:val="2E75B6"/>
          <w:sz w:val="22"/>
          <w:szCs w:val="22"/>
        </w:rPr>
        <w:t xml:space="preserve">Fatigue, FFW, and Pre-operational Checks</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 Critical Control]  </w:t>
      </w:r>
      <w:r>
        <w:rPr>
          <w:rFonts w:ascii="Arial" w:cs="Arial" w:eastAsia="Arial" w:hAnsi="Arial"/>
          <w:color w:val="2D2D2D"/>
          <w:sz w:val="19"/>
          <w:szCs w:val="19"/>
        </w:rPr>
        <w:t xml:space="preserve">Require verification that drivers/operators are not under the influence of alcohol, drugs, or impairing medications. Require alcohol testing for mass transport vehicle drivers at commencement of shift. Require fatigue management for all drivers. Define pre-operational check requirements with equipment-specific checklists and Go/No-Go thresholds. Require immediate removal from service for any defect that renders the vehicle unsafe.</w:t>
      </w:r>
    </w:p>
    <w:p>
      <w:pPr>
        <w:pStyle w:val="Heading2"/>
        <w:spacing w:after="60" w:before="240"/>
      </w:pPr>
      <w:r>
        <w:rPr>
          <w:rFonts w:ascii="Arial" w:cs="Arial" w:eastAsia="Arial" w:hAnsi="Arial"/>
          <w:b/>
          <w:bCs/>
          <w:color w:val="2E75B6"/>
          <w:sz w:val="22"/>
          <w:szCs w:val="22"/>
        </w:rPr>
        <w:t xml:space="preserve">Journey Management</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 Critical Control]  </w:t>
      </w:r>
      <w:r>
        <w:rPr>
          <w:rFonts w:ascii="Arial" w:cs="Arial" w:eastAsia="Arial" w:hAnsi="Arial"/>
          <w:color w:val="2D2D2D"/>
          <w:sz w:val="19"/>
          <w:szCs w:val="19"/>
        </w:rPr>
        <w:t xml:space="preserve">Define the risk-based approach to journey management, including triggers for a Journey Management Plan (JMP). Define minimum JMP content: fatigue management protocols; live vehicle tracking and communication protocols; and emergency response protocols. Require all high-risk journeys to have a documented JMP before departure.</w:t>
      </w:r>
    </w:p>
    <w:p>
      <w:pPr>
        <w:pStyle w:val="Heading2"/>
        <w:spacing w:after="60" w:before="240"/>
      </w:pPr>
      <w:r>
        <w:rPr>
          <w:rFonts w:ascii="Arial" w:cs="Arial" w:eastAsia="Arial" w:hAnsi="Arial"/>
          <w:b/>
          <w:bCs/>
          <w:color w:val="2E75B6"/>
          <w:sz w:val="22"/>
          <w:szCs w:val="22"/>
        </w:rPr>
        <w:t xml:space="preserve">Traffic Management, Segregation and Parking</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 Critical Control]  </w:t>
      </w:r>
      <w:r>
        <w:rPr>
          <w:rFonts w:ascii="Arial" w:cs="Arial" w:eastAsia="Arial" w:hAnsi="Arial"/>
          <w:color w:val="2D2D2D"/>
          <w:sz w:val="19"/>
          <w:szCs w:val="19"/>
        </w:rPr>
        <w:t xml:space="preserve">Require physical segregation between PME, pedestrians, and other vehicles as the preferred control. Define alternative separation methods (50m exclusion zones, dedicated pedestrian crossings) where physical segregation cannot be achieved. Require roads to be designed and maintained by a competent person with a documented inspection and maintenance schedule.</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 Critical Control]  </w:t>
      </w:r>
      <w:r>
        <w:rPr>
          <w:rFonts w:ascii="Arial" w:cs="Arial" w:eastAsia="Arial" w:hAnsi="Arial"/>
          <w:color w:val="2D2D2D"/>
          <w:sz w:val="19"/>
          <w:szCs w:val="19"/>
        </w:rPr>
        <w:t xml:space="preserve">Require vehicles and PME to be parked in a fundamentally stable state: park brake engaged; wheel chocks where required; ignition off when operator absent (unless risk-assessed); and parked in a designated area suitable for the vehicle type.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Complete the vehicle fleet inventory for this project: list all vehicle and equipment types; confirm which meet minimum specifications; identify any legacy equipment requiring assessment or upgrade.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positive communication protocol for this project: what communication system is used (UHF channel, Bluetooth, proximity detection); the specific channel/frequency allocations for each site area. The procedure sets the 50m requirement — the project implements the specific system.</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JMP trigger list for this project: which journeys are automatically high-risk requiring a JMP; which require a risk assessment to determine. Insert as a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If this project involves downhill haul roads: populate the Ramp Register before HME operations commence, including gradient verification by a competent person.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§52.1.3]  </w:t>
            </w:r>
            <w:r>
              <w:rPr>
                <w:rFonts w:ascii="Arial" w:cs="Arial" w:eastAsia="Arial" w:hAnsi="Arial"/>
                <w:color w:val="2D2D2D"/>
                <w:sz w:val="19"/>
                <w:szCs w:val="19"/>
              </w:rPr>
              <w:t xml:space="preserve">Require that seat belts in all project vehicles are three-point lap-sash seat belts with pre-tensioner. Lap-only or sash-only seat belts are not permitted.</w:t>
            </w:r>
          </w:p>
          <w:p>
            <w:pPr>
              <w:pStyle w:val="ListParagraph"/>
              <w:numPr>
                <w:ilvl w:val="0"/>
                <w:numId w:val="2"/>
              </w:numPr>
              <w:spacing w:after="40" w:before="40"/>
            </w:pPr>
            <w:r>
              <w:rPr>
                <w:rFonts w:ascii="Arial" w:cs="Arial" w:eastAsia="Arial" w:hAnsi="Arial"/>
                <w:b/>
                <w:bCs/>
                <w:color w:val="375623"/>
                <w:sz w:val="19"/>
                <w:szCs w:val="19"/>
              </w:rPr>
              <w:t xml:space="preserve">[APPC – Appendix C, C-2 §52.1.4]  </w:t>
            </w:r>
            <w:r>
              <w:rPr>
                <w:rFonts w:ascii="Arial" w:cs="Arial" w:eastAsia="Arial" w:hAnsi="Arial"/>
                <w:color w:val="2D2D2D"/>
                <w:sz w:val="19"/>
                <w:szCs w:val="19"/>
              </w:rPr>
              <w:t xml:space="preserve">Require that mobile phones and portable electronic devices may only be used by the driver when the vehicle is stationary and in a safe location. Hands-free devices are not exempt from this requirement.</w:t>
            </w:r>
          </w:p>
          <w:p>
            <w:pPr>
              <w:pStyle w:val="ListParagraph"/>
              <w:numPr>
                <w:ilvl w:val="0"/>
                <w:numId w:val="2"/>
              </w:numPr>
              <w:spacing w:after="40" w:before="40"/>
            </w:pPr>
            <w:r>
              <w:rPr>
                <w:rFonts w:ascii="Arial" w:cs="Arial" w:eastAsia="Arial" w:hAnsi="Arial"/>
                <w:b/>
                <w:bCs/>
                <w:color w:val="375623"/>
                <w:sz w:val="19"/>
                <w:szCs w:val="19"/>
              </w:rPr>
              <w:t xml:space="preserve">[APPC – Appendix C, C-2 §52.5.1]  </w:t>
            </w:r>
            <w:r>
              <w:rPr>
                <w:rFonts w:ascii="Arial" w:cs="Arial" w:eastAsia="Arial" w:hAnsi="Arial"/>
                <w:color w:val="2D2D2D"/>
                <w:sz w:val="19"/>
                <w:szCs w:val="19"/>
              </w:rPr>
              <w:t xml:space="preserve">Require a risk assessment before loading or unloading any load, confirming the load will not shift, roll, tip over, fall, or move once unsecured and will not inadvertently release hazardous substances.</w:t>
            </w:r>
          </w:p>
          <w:p>
            <w:pPr>
              <w:pStyle w:val="Heading2Numbered_"/>
              <w:spacing w:after="40" w:before="200"/>
            </w:pPr>
            <w:r>
              <w:rPr>
                <w:rFonts w:ascii="Arial" w:cs="Arial" w:eastAsia="Arial" w:hAnsi="Arial"/>
                <w:b/>
                <w:sz w:val="20"/>
                <w:szCs w:val="20"/>
              </w:rPr>
              <w:t xml:space="preserve">Mass Transport</w:t>
            </w:r>
          </w:p>
          <w:p>
            <w:pPr>
              <w:pStyle w:val="ListParagraph"/>
              <w:numPr>
                <w:ilvl w:val="0"/>
                <w:numId w:val="2"/>
              </w:numPr>
              <w:spacing w:after="40" w:before="40"/>
            </w:pPr>
            <w:r>
              <w:rPr>
                <w:rFonts w:ascii="Arial" w:cs="Arial" w:eastAsia="Arial" w:hAnsi="Arial"/>
                <w:b/>
                <w:bCs/>
                <w:color w:val="375623"/>
                <w:sz w:val="19"/>
                <w:szCs w:val="19"/>
              </w:rPr>
              <w:t xml:space="preserve">[APPC – Appendix C, C-2 §53.1.3.1]  </w:t>
            </w:r>
            <w:r>
              <w:rPr>
                <w:rFonts w:ascii="Arial" w:cs="Arial" w:eastAsia="Arial" w:hAnsi="Arial"/>
                <w:color w:val="2D2D2D"/>
                <w:sz w:val="19"/>
                <w:szCs w:val="19"/>
              </w:rPr>
              <w:t xml:space="preserve">Require that all mass transport vehicles are equipped with In-Vehicle Monitoring Systems (IVMS) and cameras. IVMS must monitor and alert for speed limit breaches, seat belt non-compliance, and harsh acceleration or braking. Cameras must cover the front windscreen and the driver.</w:t>
            </w:r>
          </w:p>
          <w:p>
            <w:pPr>
              <w:pStyle w:val="ListParagraph"/>
              <w:numPr>
                <w:ilvl w:val="0"/>
                <w:numId w:val="2"/>
              </w:numPr>
              <w:spacing w:after="40" w:before="40"/>
            </w:pPr>
            <w:r>
              <w:rPr>
                <w:rFonts w:ascii="Arial" w:cs="Arial" w:eastAsia="Arial" w:hAnsi="Arial"/>
                <w:b/>
                <w:bCs/>
                <w:color w:val="375623"/>
                <w:sz w:val="19"/>
                <w:szCs w:val="19"/>
              </w:rPr>
              <w:t xml:space="preserve">[APPC – Appendix C, C-2 §53.1.5.1]  </w:t>
            </w:r>
            <w:r>
              <w:rPr>
                <w:rFonts w:ascii="Arial" w:cs="Arial" w:eastAsia="Arial" w:hAnsi="Arial"/>
                <w:color w:val="2D2D2D"/>
                <w:sz w:val="19"/>
                <w:szCs w:val="19"/>
              </w:rPr>
              <w:t xml:space="preserve">Require that vehicles purchased after January 2022 for mass transport meet minimum standards: three-point seat belts with warning system; ESC or ABS; lane departure warning; engine bay fire detection and suppression; pedestrian alert system; blind spot monitoring; and adequate emergency exits.</w:t>
            </w:r>
          </w:p>
          <w:p>
            <w:pPr>
              <w:pStyle w:val="ListParagraph"/>
              <w:numPr>
                <w:ilvl w:val="0"/>
                <w:numId w:val="2"/>
              </w:numPr>
              <w:spacing w:after="40" w:before="40"/>
            </w:pPr>
            <w:r>
              <w:rPr>
                <w:rFonts w:ascii="Arial" w:cs="Arial" w:eastAsia="Arial" w:hAnsi="Arial"/>
                <w:b/>
                <w:bCs/>
                <w:color w:val="375623"/>
                <w:sz w:val="19"/>
                <w:szCs w:val="19"/>
              </w:rPr>
              <w:t xml:space="preserve">[APPC – Appendix C, C-2 §53.1.2.8]  </w:t>
            </w:r>
            <w:r>
              <w:rPr>
                <w:rFonts w:ascii="Arial" w:cs="Arial" w:eastAsia="Arial" w:hAnsi="Arial"/>
                <w:color w:val="2D2D2D"/>
                <w:sz w:val="19"/>
                <w:szCs w:val="19"/>
              </w:rPr>
              <w:t xml:space="preserve">Require a formal Journey Management Plan for journeys involving travel outside daylight hours, unfamiliar routes, areas with limited communications, travel to remote locations, or other high-risk factors. The JMP must address route selection, fatigue risk, rest stops, communication, weather conditions, and emergency supply provisions.</w:t>
            </w:r>
          </w:p>
          <w:p>
            <w:r>
              <w:rPr>
                <w:rFonts w:ascii="Arial" w:cs="Arial" w:eastAsia="Arial" w:hAnsi="Arial"/>
                <w:color w:val="3C2A00"/>
                <w:sz w:val="17"/>
                <w:szCs w:val="17"/>
              </w:rPr>
              <w:t xml:space="preserve">Define the IVMS monitoring process for this project: who monitors IVMS data; at what frequency; what threshold events trigger investigation. The procedure requires IVMS — the project defines the monitoring governance.</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Personal Protective Equipment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RTPR-HSE-PRO-0027</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Minimum PPE requirements for all personnel</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PPE selection process by hazard type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PPE inspection, maintenance and replacement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Training requirements for PPE use</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(PPE as last resort in control hierarchy)</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(PPE training — documented in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RTPR-HSE-PRO-0008 – Working at Height (fall protection equipment)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RTPR-HSE-PRO-0013 – Noise (hearing protection selection)</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RTPR-HSE-PRO-0025 – Electrical Safety (arc flash PPE)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RTPR-HSE-PRO-0012 – Chemicals (chemical-resistant PPE)</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All operational procedures reference RTPR-HSE-PRO-0027 for PPE requirements — they do not specify PPE in isolation</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the minimum PPE requirements for all project personnel and the process for selecting, providing, inspecting, maintaining, and replacing PPE. PPE is the last line of defence in the hierarchy of controls and must only be used in combination with higher-order controls.</w:t>
      </w:r>
    </w:p>
    <w:p>
      <w:pPr>
        <w:pStyle w:val="Heading2"/>
        <w:spacing w:after="60" w:before="240"/>
      </w:pPr>
      <w:r>
        <w:rPr>
          <w:rFonts w:ascii="Arial" w:cs="Arial" w:eastAsia="Arial" w:hAnsi="Arial"/>
          <w:b/>
          <w:bCs/>
          <w:color w:val="2E75B6"/>
          <w:sz w:val="22"/>
          <w:szCs w:val="22"/>
        </w:rPr>
        <w:t xml:space="preserve">Minimum PPE Requirements</w:t>
      </w:r>
    </w:p>
    <w:p>
      <w:pPr>
        <w:pStyle w:val="ListParagraph"/>
        <w:numPr>
          <w:ilvl w:val="0"/>
          <w:numId w:val="2"/>
        </w:numPr>
        <w:spacing w:after="40" w:before="40"/>
      </w:pPr>
      <w:r>
        <w:rPr>
          <w:rFonts w:ascii="Arial" w:cs="Arial" w:eastAsia="Arial" w:hAnsi="Arial"/>
          <w:b/>
          <w:bCs/>
          <w:color w:val="375623"/>
          <w:sz w:val="19"/>
          <w:szCs w:val="19"/>
        </w:rPr>
        <w:t xml:space="preserve">[APPC – Appendix C, C-1 §37]  </w:t>
      </w:r>
      <w:r>
        <w:rPr>
          <w:rFonts w:ascii="Arial" w:cs="Arial" w:eastAsia="Arial" w:hAnsi="Arial"/>
          <w:color w:val="2D2D2D"/>
          <w:sz w:val="19"/>
          <w:szCs w:val="19"/>
        </w:rPr>
        <w:t xml:space="preserve">Define minimum PPE for all personnel on site: head protection; eye protection; foot protection; hand protection; hearing protection (in designated areas); and protective clothing (long sleeves and long pants). Confirm that PPE requirements meet or exceed Applicable Laws and industry best practices.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§2.7]  </w:t>
      </w:r>
      <w:r>
        <w:rPr>
          <w:rFonts w:ascii="Arial" w:cs="Arial" w:eastAsia="Arial" w:hAnsi="Arial"/>
          <w:color w:val="2D2D2D"/>
          <w:sz w:val="19"/>
          <w:szCs w:val="19"/>
        </w:rPr>
        <w:t xml:space="preserve">Ensure PPE is appropriate for the hazards identified in the work environment and is selected to provide adequate protection for the relevant exposure scenario.</w:t>
      </w:r>
    </w:p>
    <w:p>
      <w:pPr>
        <w:pStyle w:val="Heading2"/>
        <w:spacing w:after="60" w:before="240"/>
      </w:pPr>
      <w:r>
        <w:rPr>
          <w:rFonts w:ascii="Arial" w:cs="Arial" w:eastAsia="Arial" w:hAnsi="Arial"/>
          <w:b/>
          <w:bCs/>
          <w:color w:val="2E75B6"/>
          <w:sz w:val="22"/>
          <w:szCs w:val="22"/>
        </w:rPr>
        <w:t xml:space="preserve">PPE Selection and High-Risk Activities</w:t>
      </w:r>
    </w:p>
    <w:p>
      <w:pPr>
        <w:pStyle w:val="ListParagraph"/>
        <w:numPr>
          <w:ilvl w:val="0"/>
          <w:numId w:val="2"/>
        </w:numPr>
        <w:spacing w:after="40" w:before="40"/>
      </w:pPr>
      <w:r>
        <w:rPr>
          <w:rFonts w:ascii="Arial" w:cs="Arial" w:eastAsia="Arial" w:hAnsi="Arial"/>
          <w:b/>
          <w:bCs/>
          <w:color w:val="1F3864"/>
          <w:sz w:val="19"/>
          <w:szCs w:val="19"/>
        </w:rPr>
        <w:t xml:space="preserve">[RT – RT C2 – Contact with Electricity Standard / RT C4 – Fall from Height Standard]  </w:t>
      </w:r>
      <w:r>
        <w:rPr>
          <w:rFonts w:ascii="Arial" w:cs="Arial" w:eastAsia="Arial" w:hAnsi="Arial"/>
          <w:color w:val="2D2D2D"/>
          <w:sz w:val="19"/>
          <w:szCs w:val="19"/>
        </w:rPr>
        <w:t xml:space="preserve">Define specialist PPE requirements for high-risk activities, with selection based on the specific hazard and required protection level: arc flash rated PPE (based on incident energy calculations); fall arrest equipment (selected to minimise fall distances); and RPE (selected based on contaminant type and exposure level).</w:t>
      </w:r>
    </w:p>
    <w:p>
      <w:pPr>
        <w:pStyle w:val="ListParagraph"/>
        <w:numPr>
          <w:ilvl w:val="0"/>
          <w:numId w:val="2"/>
        </w:numPr>
        <w:spacing w:after="40" w:before="40"/>
      </w:pPr>
      <w:r>
        <w:rPr>
          <w:rFonts w:ascii="Arial" w:cs="Arial" w:eastAsia="Arial" w:hAnsi="Arial"/>
          <w:b/>
          <w:bCs/>
          <w:color w:val="375623"/>
          <w:sz w:val="19"/>
          <w:szCs w:val="19"/>
        </w:rPr>
        <w:t xml:space="preserve">[APPC – Appendix C, C-1 §37]  </w:t>
      </w:r>
      <w:r>
        <w:rPr>
          <w:rFonts w:ascii="Arial" w:cs="Arial" w:eastAsia="Arial" w:hAnsi="Arial"/>
          <w:color w:val="2D2D2D"/>
          <w:sz w:val="19"/>
          <w:szCs w:val="19"/>
        </w:rPr>
        <w:t xml:space="preserve">Require PPE requirements for high-risk tasks to be identified during job-specific planning and documented in the relevant JHA or safe work procedure.</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 site-specific PPE selection guide for common hazards across the project, specifying the minimum protection class required for each identified hazard type, which will serve as the default standard for all project personnel.</w:t>
      </w:r>
    </w:p>
    <w:p>
      <w:pPr>
        <w:pStyle w:val="Heading2"/>
        <w:spacing w:after="60" w:before="240"/>
      </w:pPr>
      <w:r>
        <w:rPr>
          <w:rFonts w:ascii="Arial" w:cs="Arial" w:eastAsia="Arial" w:hAnsi="Arial"/>
          <w:b/>
          <w:bCs/>
          <w:color w:val="2E75B6"/>
          <w:sz w:val="22"/>
          <w:szCs w:val="22"/>
        </w:rPr>
        <w:t xml:space="preserve">Training, Inspection and Maintenance</w:t>
      </w:r>
    </w:p>
    <w:p>
      <w:pPr>
        <w:pStyle w:val="ListParagraph"/>
        <w:numPr>
          <w:ilvl w:val="0"/>
          <w:numId w:val="2"/>
        </w:numPr>
        <w:spacing w:after="40" w:before="40"/>
      </w:pPr>
      <w:r>
        <w:rPr>
          <w:rFonts w:ascii="Arial" w:cs="Arial" w:eastAsia="Arial" w:hAnsi="Arial"/>
          <w:b/>
          <w:bCs/>
          <w:color w:val="375623"/>
          <w:sz w:val="19"/>
          <w:szCs w:val="19"/>
        </w:rPr>
        <w:t xml:space="preserve">[APPC – Appendix C, C-1 §37]  </w:t>
      </w:r>
      <w:r>
        <w:rPr>
          <w:rFonts w:ascii="Arial" w:cs="Arial" w:eastAsia="Arial" w:hAnsi="Arial"/>
          <w:color w:val="2D2D2D"/>
          <w:sz w:val="19"/>
          <w:szCs w:val="19"/>
        </w:rPr>
        <w:t xml:space="preserve">Require all personnel to be trained in the correct use, care, and limitations of their required PPE. Require PPE to be regularly inspected, maintained, and replaced as necessary. Require immediate removal from service and replacement of any defective or damaged PPE.</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§2.7]  </w:t>
      </w:r>
      <w:r>
        <w:rPr>
          <w:rFonts w:ascii="Arial" w:cs="Arial" w:eastAsia="Arial" w:hAnsi="Arial"/>
          <w:color w:val="2D2D2D"/>
          <w:sz w:val="19"/>
          <w:szCs w:val="19"/>
        </w:rPr>
        <w:t xml:space="preserve">Ensure that PPE is stored appropriately to prevent deterioration or damage between uses, and that inspection records are maintained.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Develop the project-specific PPE selection guide as Appendix A of this procedure. The guide must list every identified hazard type on this project and the minimum required PPE specification (e.g., minimum cut resistance class for gloves, minimum safety footwear rating, arc flash PPE category). This is a project deliverable.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PPE provision and replacement process: how is PPE issued; who pays for replacement; what is the maximum wear period before mandatory replacement for critical items.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§37.1]  </w:t>
            </w:r>
            <w:r>
              <w:rPr>
                <w:rFonts w:ascii="Arial" w:cs="Arial" w:eastAsia="Arial" w:hAnsi="Arial"/>
                <w:color w:val="2D2D2D"/>
                <w:sz w:val="19"/>
                <w:szCs w:val="19"/>
              </w:rPr>
              <w:t xml:space="preserve">Require that all PPE used on the project meets or exceeds Applicable Laws. Where Company standards are more stringent than local legislation, the Company standard applies.</w:t>
            </w:r>
          </w:p>
          <w:p>
            <w:pPr>
              <w:pStyle w:val="ListParagraph"/>
              <w:numPr>
                <w:ilvl w:val="0"/>
                <w:numId w:val="2"/>
              </w:numPr>
              <w:spacing w:after="40" w:before="40"/>
            </w:pPr>
            <w:r>
              <w:rPr>
                <w:rFonts w:ascii="Arial" w:cs="Arial" w:eastAsia="Arial" w:hAnsi="Arial"/>
                <w:b/>
                <w:bCs/>
                <w:color w:val="375623"/>
                <w:sz w:val="19"/>
                <w:szCs w:val="19"/>
              </w:rPr>
              <w:t xml:space="preserve">[APPC – Appendix C, C-2 §37.2]  </w:t>
            </w:r>
            <w:r>
              <w:rPr>
                <w:rFonts w:ascii="Arial" w:cs="Arial" w:eastAsia="Arial" w:hAnsi="Arial"/>
                <w:color w:val="2D2D2D"/>
                <w:sz w:val="19"/>
                <w:szCs w:val="19"/>
              </w:rPr>
              <w:t xml:space="preserve">Define the minimum PPE standard for all personnel on site: head protection; eye protection; foot protection; hand protection; hearing protection; and protective clothing consisting of long-sleeve shirt and long trousers as a minimum.</w:t>
            </w:r>
          </w:p>
          <w:p>
            <w:pPr>
              <w:pStyle w:val="ListParagraph"/>
              <w:numPr>
                <w:ilvl w:val="0"/>
                <w:numId w:val="2"/>
              </w:numPr>
              <w:spacing w:after="40" w:before="40"/>
            </w:pPr>
            <w:r>
              <w:rPr>
                <w:rFonts w:ascii="Arial" w:cs="Arial" w:eastAsia="Arial" w:hAnsi="Arial"/>
                <w:b/>
                <w:bCs/>
                <w:color w:val="375623"/>
                <w:sz w:val="19"/>
                <w:szCs w:val="19"/>
              </w:rPr>
              <w:t xml:space="preserve">[APPC – Appendix C, C-2 §37.3]  </w:t>
            </w:r>
            <w:r>
              <w:rPr>
                <w:rFonts w:ascii="Arial" w:cs="Arial" w:eastAsia="Arial" w:hAnsi="Arial"/>
                <w:color w:val="2D2D2D"/>
                <w:sz w:val="19"/>
                <w:szCs w:val="19"/>
              </w:rPr>
              <w:t xml:space="preserve">Require that PPE requirements for high-risk activities are identified in the JHA and specified in the relevant permit. Task-specific PPE must address the hazards identified in that specific work environment.</w:t>
            </w:r>
          </w:p>
          <w:p>
            <w:pPr>
              <w:pStyle w:val="ListParagraph"/>
              <w:numPr>
                <w:ilvl w:val="0"/>
                <w:numId w:val="2"/>
              </w:numPr>
              <w:spacing w:after="40" w:before="40"/>
            </w:pPr>
            <w:r>
              <w:rPr>
                <w:rFonts w:ascii="Arial" w:cs="Arial" w:eastAsia="Arial" w:hAnsi="Arial"/>
                <w:b/>
                <w:bCs/>
                <w:color w:val="375623"/>
                <w:sz w:val="19"/>
                <w:szCs w:val="19"/>
              </w:rPr>
              <w:t xml:space="preserve">[APPC – Appendix C, C-2 §37.4]  </w:t>
            </w:r>
            <w:r>
              <w:rPr>
                <w:rFonts w:ascii="Arial" w:cs="Arial" w:eastAsia="Arial" w:hAnsi="Arial"/>
                <w:color w:val="2D2D2D"/>
                <w:sz w:val="19"/>
                <w:szCs w:val="19"/>
              </w:rPr>
              <w:t xml:space="preserve">Require that all personnel are trained in correct use, care, and limitations of PPE before use. Damaged or defective PPE must be immediately removed from service and replaced, with replacement records maintained.</w:t>
            </w:r>
          </w:p>
          <w:p>
            <w:r>
              <w:rPr>
                <w:rFonts w:ascii="Arial" w:cs="Arial" w:eastAsia="Arial" w:hAnsi="Arial"/>
                <w:color w:val="3C2A00"/>
                <w:sz w:val="17"/>
                <w:szCs w:val="17"/>
              </w:rPr>
              <w:t xml:space="preserve">Confirm the project mandatory PPE standard for all personnel on site (site-wide minimum). Some projects have elevated minimum standards (e.g., tinted safety glasses mandatory at all times outdoors) — define the project standard.</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Barricading, Signage and Demarcation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RTPR-HSE-PRO-0028</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Barricading hierarchy and when barricading is required</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Solid vs temporary barricading criteria</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Crane danger tag spacing requirements (max 10m)</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Prohibition on rope/chain as handrail substitute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Signage standards and content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Authorised entry process for barricaded areas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(barricading as a control)</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RTPR-HSE-PRO-0008 – Working at Height (edge protection requirements — barricading is one implementation)</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(permit required for barricaded area access)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RTPR-HSE-PRO-0031 – Traffic Management (traffic signage as a subset of signage)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RTPR-HSE-PRO-0015 – Cranes (crane danger zone barricading)</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RTPR-HSE-PRO-0008 references RTPR-HSE-PRO-0028 for edge protection barricading</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RTPR-HSE-PRO-0029 references RTPR-HSE-PRO-0028 for excavation barricading</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RTPR-HSE-PRO-0014 references RTPR-HSE-PRO-0028 for confined space entry barricading</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establishing, maintaining, and removing temporary and permanent barricading, signage, and demarcation across all project work areas. The primary purpose is to prevent personnel, vehicles, or equipment from entering hazardous zones without authorisation.</w:t>
      </w:r>
    </w:p>
    <w:p>
      <w:pPr>
        <w:pStyle w:val="Heading2"/>
        <w:spacing w:after="60" w:before="240"/>
      </w:pPr>
      <w:r>
        <w:rPr>
          <w:rFonts w:ascii="Arial" w:cs="Arial" w:eastAsia="Arial" w:hAnsi="Arial"/>
          <w:b/>
          <w:bCs/>
          <w:color w:val="2E75B6"/>
          <w:sz w:val="22"/>
          <w:szCs w:val="22"/>
        </w:rPr>
        <w:t xml:space="preserve">Hierarchy and Barricading Plan</w:t>
      </w:r>
    </w:p>
    <w:p>
      <w:pPr>
        <w:pStyle w:val="ListParagraph"/>
        <w:numPr>
          <w:ilvl w:val="0"/>
          <w:numId w:val="2"/>
        </w:numPr>
        <w:spacing w:after="40" w:before="40"/>
      </w:pPr>
      <w:r>
        <w:rPr>
          <w:rFonts w:ascii="Arial" w:cs="Arial" w:eastAsia="Arial" w:hAnsi="Arial"/>
          <w:b/>
          <w:bCs/>
          <w:color w:val="375623"/>
          <w:sz w:val="19"/>
          <w:szCs w:val="19"/>
        </w:rPr>
        <w:t xml:space="preserve">[APPC – Appendix C, C-2 §62]  </w:t>
      </w:r>
      <w:r>
        <w:rPr>
          <w:rFonts w:ascii="Arial" w:cs="Arial" w:eastAsia="Arial" w:hAnsi="Arial"/>
          <w:color w:val="2D2D2D"/>
          <w:sz w:val="19"/>
          <w:szCs w:val="19"/>
        </w:rPr>
        <w:t xml:space="preserve">Require assessment of whether the hazard can be eliminated, substituted, or controlled through engineering measures before erecting barricading — barricading is an administrative control, not a substitute for engineering controls.</w:t>
      </w:r>
    </w:p>
    <w:p>
      <w:pPr>
        <w:pStyle w:val="ListParagraph"/>
        <w:numPr>
          <w:ilvl w:val="0"/>
          <w:numId w:val="2"/>
        </w:numPr>
        <w:spacing w:after="40" w:before="40"/>
      </w:pPr>
      <w:r>
        <w:rPr>
          <w:rFonts w:ascii="Arial" w:cs="Arial" w:eastAsia="Arial" w:hAnsi="Arial"/>
          <w:b/>
          <w:bCs/>
          <w:color w:val="375623"/>
          <w:sz w:val="19"/>
          <w:szCs w:val="19"/>
        </w:rPr>
        <w:t xml:space="preserve">[APPC – Appendix C, C-2 §62]  </w:t>
      </w:r>
      <w:r>
        <w:rPr>
          <w:rFonts w:ascii="Arial" w:cs="Arial" w:eastAsia="Arial" w:hAnsi="Arial"/>
          <w:color w:val="2D2D2D"/>
          <w:sz w:val="19"/>
          <w:szCs w:val="19"/>
        </w:rPr>
        <w:t xml:space="preserve">Require development of a Barricading Plan defining: temporary barricading requirements for working at height; excavation work; commissioning zones; crane working areas (including crane danger tags at maximum 10-metre intervals); blast exclusion zones; and confined space/manhole entries. Prohibit the use of rope or chain as a temporary barricade replacing a handrail.</w:t>
      </w:r>
    </w:p>
    <w:p>
      <w:pPr>
        <w:pStyle w:val="Heading2"/>
        <w:spacing w:after="60" w:before="240"/>
      </w:pPr>
      <w:r>
        <w:rPr>
          <w:rFonts w:ascii="Arial" w:cs="Arial" w:eastAsia="Arial" w:hAnsi="Arial"/>
          <w:b/>
          <w:bCs/>
          <w:color w:val="2E75B6"/>
          <w:sz w:val="22"/>
          <w:szCs w:val="22"/>
        </w:rPr>
        <w:t xml:space="preserve">Solid Barricading Requirements</w:t>
      </w:r>
    </w:p>
    <w:p>
      <w:pPr>
        <w:pStyle w:val="ListParagraph"/>
        <w:numPr>
          <w:ilvl w:val="0"/>
          <w:numId w:val="2"/>
        </w:numPr>
        <w:spacing w:after="40" w:before="40"/>
      </w:pPr>
      <w:r>
        <w:rPr>
          <w:rFonts w:ascii="Arial" w:cs="Arial" w:eastAsia="Arial" w:hAnsi="Arial"/>
          <w:b/>
          <w:bCs/>
          <w:color w:val="375623"/>
          <w:sz w:val="19"/>
          <w:szCs w:val="19"/>
        </w:rPr>
        <w:t xml:space="preserve">[APPC – Appendix C, C-2 §62]  </w:t>
      </w:r>
      <w:r>
        <w:rPr>
          <w:rFonts w:ascii="Arial" w:cs="Arial" w:eastAsia="Arial" w:hAnsi="Arial"/>
          <w:color w:val="2D2D2D"/>
          <w:sz w:val="19"/>
          <w:szCs w:val="19"/>
        </w:rPr>
        <w:t xml:space="preserve">Specify mandatory use of solid barricading where: barricading height exceeds two metres; flooring, handrails, or fixed barriers have been removed creating an open fall hazard; holes or excavations are to remain open. Define construction and maintenance standards for solid barricading.</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Ensure that barricading materials are rated or suitable to withstand the forces likely to be applied in the hazardous area, including vehicle impact where applicable.</w:t>
      </w:r>
    </w:p>
    <w:p>
      <w:pPr>
        <w:pStyle w:val="Heading2"/>
        <w:spacing w:after="60" w:before="240"/>
      </w:pPr>
      <w:r>
        <w:rPr>
          <w:rFonts w:ascii="Arial" w:cs="Arial" w:eastAsia="Arial" w:hAnsi="Arial"/>
          <w:b/>
          <w:bCs/>
          <w:color w:val="2E75B6"/>
          <w:sz w:val="22"/>
          <w:szCs w:val="22"/>
        </w:rPr>
        <w:t xml:space="preserve">Signage Requirements</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w:t>
      </w:r>
      <w:r>
        <w:rPr>
          <w:rFonts w:ascii="Arial" w:cs="Arial" w:eastAsia="Arial" w:hAnsi="Arial"/>
          <w:color w:val="2D2D2D"/>
          <w:sz w:val="19"/>
          <w:szCs w:val="19"/>
        </w:rPr>
        <w:t xml:space="preserve">Require traffic signage for: speed limits; road rules; pedestrian walkways, crossings and restricted pathways; restricted access areas; and traffic flow and vehicle movement requirements.</w:t>
      </w:r>
    </w:p>
    <w:p>
      <w:pPr>
        <w:pStyle w:val="ListParagraph"/>
        <w:numPr>
          <w:ilvl w:val="0"/>
          <w:numId w:val="2"/>
        </w:numPr>
        <w:spacing w:after="40" w:before="40"/>
      </w:pPr>
      <w:r>
        <w:rPr>
          <w:rFonts w:ascii="Arial" w:cs="Arial" w:eastAsia="Arial" w:hAnsi="Arial"/>
          <w:b/>
          <w:bCs/>
          <w:color w:val="375623"/>
          <w:sz w:val="19"/>
          <w:szCs w:val="19"/>
        </w:rPr>
        <w:t xml:space="preserve">[APPC – Appendix C, C-2 §62]  </w:t>
      </w:r>
      <w:r>
        <w:rPr>
          <w:rFonts w:ascii="Arial" w:cs="Arial" w:eastAsia="Arial" w:hAnsi="Arial"/>
          <w:color w:val="2D2D2D"/>
          <w:sz w:val="19"/>
          <w:szCs w:val="19"/>
        </w:rPr>
        <w:t xml:space="preserve">Define minimum signage standards including colour coding, size, language requirements, and placement heights. Require bilingual or visual (pictogram) signage where the workforce includes non-English speakers.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develop a site-specific signage standard specifying which sign types are used for which hazards, the minimum distance at which approach signs must be placed, and the inspection and maintenance schedule for all site signage.</w:t>
      </w:r>
    </w:p>
    <w:p>
      <w:pPr>
        <w:pStyle w:val="Heading2"/>
        <w:spacing w:after="60" w:before="240"/>
      </w:pPr>
      <w:r>
        <w:rPr>
          <w:rFonts w:ascii="Arial" w:cs="Arial" w:eastAsia="Arial" w:hAnsi="Arial"/>
          <w:b/>
          <w:bCs/>
          <w:color w:val="2E75B6"/>
          <w:sz w:val="22"/>
          <w:szCs w:val="22"/>
        </w:rPr>
        <w:t xml:space="preserve">Access to Barricaded Areas</w:t>
      </w:r>
    </w:p>
    <w:p>
      <w:pPr>
        <w:pStyle w:val="ListParagraph"/>
        <w:numPr>
          <w:ilvl w:val="0"/>
          <w:numId w:val="2"/>
        </w:numPr>
        <w:spacing w:after="40" w:before="40"/>
      </w:pPr>
      <w:r>
        <w:rPr>
          <w:rFonts w:ascii="Arial" w:cs="Arial" w:eastAsia="Arial" w:hAnsi="Arial"/>
          <w:b/>
          <w:bCs/>
          <w:color w:val="375623"/>
          <w:sz w:val="19"/>
          <w:szCs w:val="19"/>
        </w:rPr>
        <w:t xml:space="preserve">[APPC – Appendix C, C-2 §62]  </w:t>
      </w:r>
      <w:r>
        <w:rPr>
          <w:rFonts w:ascii="Arial" w:cs="Arial" w:eastAsia="Arial" w:hAnsi="Arial"/>
          <w:color w:val="2D2D2D"/>
          <w:sz w:val="19"/>
          <w:szCs w:val="19"/>
        </w:rPr>
        <w:t xml:space="preserve">Define the process for authorised entry into barricaded work areas, including any permit requirements or supervisor notification obligations.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barricading standard: approved barricading materials by scenario (e.g., approved barrier types for each application). The procedure sets minimum requirements — the project specifies the approved product types.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signage standard: approved sign formats, minimum sizes, language requirements. If non-English speaking workers are expected, define the bilingual/visual pictogram standard.</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Develop the project Barricading Plan (or confirm it is addressed in the Traffic Management Plan). The procedure requires a Barricading Plan — insert or reference it.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inspection frequency and process for temporary barricading: who inspects; how often; what is the defect reporting process.</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Excavation and Penetration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RTPR-HSE-PRO-0029</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Excavation and penetration permit requirements (via RTPR-HSE-PRO-0021)</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Services identification and clearance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Excavation stability and edge protection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Access and egress requirements for excavations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Dewatering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(excavation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(excavation/penetration permit via PTW — refer RTPR-HSE-PRO-0021)</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RTPR-HSE-PRO-0008 – Working at Height (fall into excavation — edge protection via RTPR-HSE-PRO-0008)</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RTPR-HSE-PRO-0028 – Barricading (excavation barricading requirements via RTPR-HSE-PRO-0028)</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RTPR-HSE-PRO-0024 – Isolation (isolation of services before excavation)</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(excavation incident reporting)</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applies to all excavation work (mechanical and manual) and all penetrations through structures, floors, walls, ceilings, and ground surfaces across the owner-led project.</w:t>
      </w:r>
    </w:p>
    <w:p>
      <w:pPr>
        <w:pStyle w:val="Heading2"/>
        <w:spacing w:after="60" w:before="240"/>
      </w:pPr>
      <w:r>
        <w:rPr>
          <w:rFonts w:ascii="Arial" w:cs="Arial" w:eastAsia="Arial" w:hAnsi="Arial"/>
          <w:b/>
          <w:bCs/>
          <w:color w:val="2E75B6"/>
          <w:sz w:val="22"/>
          <w:szCs w:val="22"/>
        </w:rPr>
        <w:t xml:space="preserve">Risk Assessment and Permits</w:t>
      </w:r>
    </w:p>
    <w:p>
      <w:pPr>
        <w:pStyle w:val="ListParagraph"/>
        <w:numPr>
          <w:ilvl w:val="0"/>
          <w:numId w:val="2"/>
        </w:numPr>
        <w:spacing w:after="40" w:before="40"/>
      </w:pPr>
      <w:r>
        <w:rPr>
          <w:rFonts w:ascii="Arial" w:cs="Arial" w:eastAsia="Arial" w:hAnsi="Arial"/>
          <w:b/>
          <w:bCs/>
          <w:color w:val="375623"/>
          <w:sz w:val="19"/>
          <w:szCs w:val="19"/>
        </w:rPr>
        <w:t xml:space="preserve">[APPC – Appendix C, C-2 §60]  </w:t>
      </w:r>
      <w:r>
        <w:rPr>
          <w:rFonts w:ascii="Arial" w:cs="Arial" w:eastAsia="Arial" w:hAnsi="Arial"/>
          <w:color w:val="2D2D2D"/>
          <w:sz w:val="19"/>
          <w:szCs w:val="19"/>
        </w:rPr>
        <w:t xml:space="preserve">Require an Excavation Permit and/or Penetration Permit (as applicable) before all excavation and penetration activities, with minimum content: work location; dimensions; identified underground or in-structure services; edge protection requirements; shoring requirements; and access and egress provisions.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Require a hazard identification and risk assessment specific to the excavation or penetration activity, covering slope stability, water ingress, adjacent services, and construction activity interfaces.</w:t>
      </w:r>
    </w:p>
    <w:p>
      <w:pPr>
        <w:pStyle w:val="Heading2"/>
        <w:spacing w:after="60" w:before="240"/>
      </w:pPr>
      <w:r>
        <w:rPr>
          <w:rFonts w:ascii="Arial" w:cs="Arial" w:eastAsia="Arial" w:hAnsi="Arial"/>
          <w:b/>
          <w:bCs/>
          <w:color w:val="2E75B6"/>
          <w:sz w:val="22"/>
          <w:szCs w:val="22"/>
        </w:rPr>
        <w:t xml:space="preserve">Services Identification</w:t>
      </w:r>
    </w:p>
    <w:p>
      <w:pPr>
        <w:pStyle w:val="ListParagraph"/>
        <w:numPr>
          <w:ilvl w:val="0"/>
          <w:numId w:val="2"/>
        </w:numPr>
        <w:spacing w:after="40" w:before="40"/>
      </w:pPr>
      <w:r>
        <w:rPr>
          <w:rFonts w:ascii="Arial" w:cs="Arial" w:eastAsia="Arial" w:hAnsi="Arial"/>
          <w:b/>
          <w:bCs/>
          <w:color w:val="375623"/>
          <w:sz w:val="19"/>
          <w:szCs w:val="19"/>
        </w:rPr>
        <w:t xml:space="preserve">[APPC – Appendix C, C-2 §60]  </w:t>
      </w:r>
      <w:r>
        <w:rPr>
          <w:rFonts w:ascii="Arial" w:cs="Arial" w:eastAsia="Arial" w:hAnsi="Arial"/>
          <w:color w:val="2D2D2D"/>
          <w:sz w:val="19"/>
          <w:szCs w:val="19"/>
        </w:rPr>
        <w:t xml:space="preserve">Require identification and marking of all underground and in-structure services (electrical, gas, hydraulic, telecommunications, water, process services) before excavation or penetration commences, using utility mapping, as-built drawings, ground penetrating radar, or other suitable methods.</w:t>
      </w:r>
    </w:p>
    <w:p>
      <w:pPr>
        <w:pStyle w:val="ListParagraph"/>
        <w:numPr>
          <w:ilvl w:val="0"/>
          <w:numId w:val="2"/>
        </w:numPr>
        <w:spacing w:after="40" w:before="40"/>
      </w:pPr>
      <w:r>
        <w:rPr>
          <w:rFonts w:ascii="Arial" w:cs="Arial" w:eastAsia="Arial" w:hAnsi="Arial"/>
          <w:b/>
          <w:bCs/>
          <w:color w:val="BF9000"/>
          <w:sz w:val="19"/>
          <w:szCs w:val="19"/>
        </w:rPr>
        <w:t xml:space="preserve">[OSHA – OSHA 29 CFR 1926 Subpart P – Excavations]  </w:t>
      </w:r>
      <w:r>
        <w:rPr>
          <w:rFonts w:ascii="Arial" w:cs="Arial" w:eastAsia="Arial" w:hAnsi="Arial"/>
          <w:color w:val="2D2D2D"/>
          <w:sz w:val="19"/>
          <w:szCs w:val="19"/>
        </w:rPr>
        <w:t xml:space="preserve">Define exclusion zones around identified services and require manual excavation within defined proximity distances. Require the competent person to establish clearance procedures for all identified services before work commences.</w:t>
      </w:r>
    </w:p>
    <w:p>
      <w:pPr>
        <w:pStyle w:val="Heading2"/>
        <w:spacing w:after="60" w:before="240"/>
      </w:pPr>
      <w:r>
        <w:rPr>
          <w:rFonts w:ascii="Arial" w:cs="Arial" w:eastAsia="Arial" w:hAnsi="Arial"/>
          <w:b/>
          <w:bCs/>
          <w:color w:val="2E75B6"/>
          <w:sz w:val="22"/>
          <w:szCs w:val="22"/>
        </w:rPr>
        <w:t xml:space="preserve">Excavation Stability and Edge Protection</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Define slope and benching requirements for unsupported excavations and shoring requirements for excavations beyond defined depths, based on soil type assessment by a competent person.</w:t>
      </w:r>
    </w:p>
    <w:p>
      <w:pPr>
        <w:pStyle w:val="ListParagraph"/>
        <w:numPr>
          <w:ilvl w:val="0"/>
          <w:numId w:val="2"/>
        </w:numPr>
        <w:spacing w:after="40" w:before="40"/>
      </w:pPr>
      <w:r>
        <w:rPr>
          <w:rFonts w:ascii="Arial" w:cs="Arial" w:eastAsia="Arial" w:hAnsi="Arial"/>
          <w:b/>
          <w:bCs/>
          <w:color w:val="1F3864"/>
          <w:sz w:val="19"/>
          <w:szCs w:val="19"/>
        </w:rPr>
        <w:t xml:space="preserve">[RT – RT C4 – Fall from Height Standard]  </w:t>
      </w:r>
      <w:r>
        <w:rPr>
          <w:rFonts w:ascii="Arial" w:cs="Arial" w:eastAsia="Arial" w:hAnsi="Arial"/>
          <w:color w:val="2D2D2D"/>
          <w:sz w:val="19"/>
          <w:szCs w:val="19"/>
        </w:rPr>
        <w:t xml:space="preserve">Require edge protection (barriers/bunding) around all open excavations with fall potential, consistent with the requirements of the Working at Heights Procedure.</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the maximum unsupported excavation depth before geotechnical assessment is required, and the minimum frequency of stability inspection for open excavations, based on soil conditions, weather exposure, and adjacent loading.</w:t>
      </w:r>
    </w:p>
    <w:p>
      <w:pPr>
        <w:pStyle w:val="Heading2"/>
        <w:spacing w:after="60" w:before="240"/>
      </w:pPr>
      <w:r>
        <w:rPr>
          <w:rFonts w:ascii="Arial" w:cs="Arial" w:eastAsia="Arial" w:hAnsi="Arial"/>
          <w:b/>
          <w:bCs/>
          <w:color w:val="2E75B6"/>
          <w:sz w:val="22"/>
          <w:szCs w:val="22"/>
        </w:rPr>
        <w:t xml:space="preserve">Access, Monitoring and Dewatering</w:t>
      </w:r>
    </w:p>
    <w:p>
      <w:pPr>
        <w:pStyle w:val="ListParagraph"/>
        <w:numPr>
          <w:ilvl w:val="0"/>
          <w:numId w:val="2"/>
        </w:numPr>
        <w:spacing w:after="40" w:before="40"/>
      </w:pPr>
      <w:r>
        <w:rPr>
          <w:rFonts w:ascii="Arial" w:cs="Arial" w:eastAsia="Arial" w:hAnsi="Arial"/>
          <w:b/>
          <w:bCs/>
          <w:color w:val="BF9000"/>
          <w:sz w:val="19"/>
          <w:szCs w:val="19"/>
        </w:rPr>
        <w:t xml:space="preserve">[OSHA – OSHA 29 CFR 1926 Subpart P]  </w:t>
      </w:r>
      <w:r>
        <w:rPr>
          <w:rFonts w:ascii="Arial" w:cs="Arial" w:eastAsia="Arial" w:hAnsi="Arial"/>
          <w:color w:val="2D2D2D"/>
          <w:sz w:val="19"/>
          <w:szCs w:val="19"/>
        </w:rPr>
        <w:t xml:space="preserve">Require safe means of access and egress for all excavations accessible to personnel (e.g., ladders, ramps, stairs) placed every 7.5 metres (25 feet) maximum in long trenches.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the inspection frequency for open excavations (including after rain events, ground movement, or adjacent loading changes), the criteria for stopping work if unsafe conditions are identified, and the process for dewatering water-filled excavations.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utility mapping process for this project: what utility records are available; what ground penetrating radar or equivalent process is required; who certifies the area as clear. Insert the project-specific process.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maximum unsupported excavation depth before geotechnical assessment is required. The procedure requires this threshold to be set — insert the project-specific value based on anticipated soil conditions.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excavation inspection frequency for this project (minimum after each rain event, before each shift). Confirm the inspection record format and storage.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§62.1]  </w:t>
            </w:r>
            <w:r>
              <w:rPr>
                <w:rFonts w:ascii="Arial" w:cs="Arial" w:eastAsia="Arial" w:hAnsi="Arial"/>
                <w:color w:val="2D2D2D"/>
                <w:sz w:val="19"/>
                <w:szCs w:val="19"/>
              </w:rPr>
              <w:t xml:space="preserve">Require assessment of whether the identified hazard can be eliminated, substituted, or controlled through engineering means before barricading is selected as a control. Barricading is within the administrative tier of the hierarchy of controls.</w:t>
            </w:r>
          </w:p>
          <w:p>
            <w:pPr>
              <w:pStyle w:val="ListParagraph"/>
              <w:numPr>
                <w:ilvl w:val="0"/>
                <w:numId w:val="2"/>
              </w:numPr>
              <w:spacing w:after="40" w:before="40"/>
            </w:pPr>
            <w:r>
              <w:rPr>
                <w:rFonts w:ascii="Arial" w:cs="Arial" w:eastAsia="Arial" w:hAnsi="Arial"/>
                <w:b/>
                <w:bCs/>
                <w:color w:val="375623"/>
                <w:sz w:val="19"/>
                <w:szCs w:val="19"/>
              </w:rPr>
              <w:t xml:space="preserve">[APPC – Appendix C, C-2 §62.1]  </w:t>
            </w:r>
            <w:r>
              <w:rPr>
                <w:rFonts w:ascii="Arial" w:cs="Arial" w:eastAsia="Arial" w:hAnsi="Arial"/>
                <w:color w:val="2D2D2D"/>
                <w:sz w:val="19"/>
                <w:szCs w:val="19"/>
              </w:rPr>
              <w:t xml:space="preserve">Require barricading for all of the following scenarios as a minimum: work at height where there is a risk of falling objects, with barricading extending outward at 15 degrees from the highest point; excavation edges; commissioning access control zones; crane operating areas and drop zones; blast exclusion areas; and manholes.</w:t>
            </w:r>
          </w:p>
          <w:p>
            <w:pPr>
              <w:pStyle w:val="ListParagraph"/>
              <w:numPr>
                <w:ilvl w:val="0"/>
                <w:numId w:val="2"/>
              </w:numPr>
              <w:spacing w:after="40" w:before="40"/>
            </w:pPr>
            <w:r>
              <w:rPr>
                <w:rFonts w:ascii="Arial" w:cs="Arial" w:eastAsia="Arial" w:hAnsi="Arial"/>
                <w:b/>
                <w:bCs/>
                <w:color w:val="375623"/>
                <w:sz w:val="19"/>
                <w:szCs w:val="19"/>
              </w:rPr>
              <w:t xml:space="preserve">[APPC – Appendix C, C-2 §62.7]  </w:t>
            </w:r>
            <w:r>
              <w:rPr>
                <w:rFonts w:ascii="Arial" w:cs="Arial" w:eastAsia="Arial" w:hAnsi="Arial"/>
                <w:color w:val="2D2D2D"/>
                <w:sz w:val="19"/>
                <w:szCs w:val="19"/>
              </w:rPr>
              <w:t xml:space="preserve">Require solid barricading where the barricade must be higher than two metres, where flooring or handrails have been removed creating fall risk, or where holes or excavations are intended to remain open. Rope or chain must not be used as a temporary barricade to replace a handrail.</w:t>
            </w:r>
          </w:p>
          <w:p>
            <w:pPr>
              <w:pStyle w:val="ListParagraph"/>
              <w:numPr>
                <w:ilvl w:val="0"/>
                <w:numId w:val="2"/>
              </w:numPr>
              <w:spacing w:after="40" w:before="40"/>
            </w:pPr>
            <w:r>
              <w:rPr>
                <w:rFonts w:ascii="Arial" w:cs="Arial" w:eastAsia="Arial" w:hAnsi="Arial"/>
                <w:b/>
                <w:bCs/>
                <w:color w:val="375623"/>
                <w:sz w:val="19"/>
                <w:szCs w:val="19"/>
              </w:rPr>
              <w:t xml:space="preserve">[APPC – Appendix C, C-2 §62.1]  </w:t>
            </w:r>
            <w:r>
              <w:rPr>
                <w:rFonts w:ascii="Arial" w:cs="Arial" w:eastAsia="Arial" w:hAnsi="Arial"/>
                <w:color w:val="2D2D2D"/>
                <w:sz w:val="19"/>
                <w:szCs w:val="19"/>
              </w:rPr>
              <w:t xml:space="preserve">Require the Barricading Plan to define the process for safely accessing barricaded work areas, including the permit or authorisation required and the conditions that must be met before any person enters a barricaded zone.</w:t>
            </w:r>
          </w:p>
          <w:p>
            <w:pPr>
              <w:pStyle w:val="ListParagraph"/>
              <w:numPr>
                <w:ilvl w:val="0"/>
                <w:numId w:val="2"/>
              </w:numPr>
              <w:spacing w:after="40" w:before="40"/>
            </w:pPr>
            <w:r>
              <w:rPr>
                <w:rFonts w:ascii="Arial" w:cs="Arial" w:eastAsia="Arial" w:hAnsi="Arial"/>
                <w:b/>
                <w:bCs/>
                <w:color w:val="375623"/>
                <w:sz w:val="19"/>
                <w:szCs w:val="19"/>
              </w:rPr>
              <w:t xml:space="preserve">[APPC – Appendix C, C-2 §63.0.1]  </w:t>
            </w:r>
            <w:r>
              <w:rPr>
                <w:rFonts w:ascii="Arial" w:cs="Arial" w:eastAsia="Arial" w:hAnsi="Arial"/>
                <w:color w:val="2D2D2D"/>
                <w:sz w:val="19"/>
                <w:szCs w:val="19"/>
              </w:rPr>
              <w:t xml:space="preserve">Require a SIMOPS assessment for all excavation and penetration activities occurring in areas where other work scopes are active. Where excavation interfaces with adjacent scopes, the SIMOPS plan must define safe separation distances and coordination protocols — refer RTPR-HSE-PRO-0048.</w:t>
            </w:r>
          </w:p>
          <w:p>
            <w:pPr>
              <w:pStyle w:val="ListParagraph"/>
              <w:numPr>
                <w:ilvl w:val="0"/>
                <w:numId w:val="2"/>
              </w:numPr>
              <w:spacing w:after="40" w:before="40"/>
            </w:pPr>
            <w:r>
              <w:rPr>
                <w:rFonts w:ascii="Arial" w:cs="Arial" w:eastAsia="Arial" w:hAnsi="Arial"/>
                <w:b/>
                <w:bCs/>
                <w:color w:val="375623"/>
                <w:sz w:val="19"/>
                <w:szCs w:val="19"/>
              </w:rPr>
              <w:t xml:space="preserve">[APPC – Appendix C, C-2 §62.2]  </w:t>
            </w:r>
            <w:r>
              <w:rPr>
                <w:rFonts w:ascii="Arial" w:cs="Arial" w:eastAsia="Arial" w:hAnsi="Arial"/>
                <w:color w:val="2D2D2D"/>
                <w:sz w:val="19"/>
                <w:szCs w:val="19"/>
              </w:rPr>
              <w:t xml:space="preserve">Require barricading of all excavations where personnel or machinery could approach the edge. Solid barricading must be used for excavations intended to remain open for extended periods — refer RTPR-HSE-PRO-0028.</w:t>
            </w:r>
          </w:p>
          <w:p>
            <w:r>
              <w:rPr>
                <w:rFonts w:ascii="Arial" w:cs="Arial" w:eastAsia="Arial" w:hAnsi="Arial"/>
                <w:color w:val="3C2A00"/>
                <w:sz w:val="17"/>
                <w:szCs w:val="17"/>
              </w:rPr>
              <w:t xml:space="preserve">If the project involves excavation near existing infrastructure: define the hand-dig exclusion zone distances for each utility type relevant to this project location.</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Working Over Water and Marine Vetting Activities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RTPR-HSE-PRO-0030</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Near-water definition (1.5m/2m thresholds)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Water rescue plan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PFD requirements (ISO 12402 certification)</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Vessel certification and vetting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Mooring equipment register requirements (RTPR-HSE-REG-0016)</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Ship boarding and access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Occupational diving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Marine biosecurity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(near-water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(water rescue competency, diving competency —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RTPR-HSE-PRO-0008 – Working at Height (height controls on structures over water)</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(water-related incident reporting)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RTPR-HSE-PRO-0041 – Business Resilience (water rescue as emergency response scenario)</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RTPR-HSE-PRO-0046 – Scaffolding references RTPR-HSE-PRO-0030 for scaffold over water requirements</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all work on, near, or over water bodies, including: work on wharves, jetties, and bridges; vessel operations; personnel transfers; near-water vehicle and PME operations; occupational diving; and marine vetting of vessels used for project activities. 'Near water' is defined as working within 1.5 metres of the water's edge where there is risk of immersion, or within two metres of an unguarded edge above water.</w:t>
      </w:r>
    </w:p>
    <w:p>
      <w:pPr>
        <w:pStyle w:val="Heading2"/>
        <w:spacing w:after="60" w:before="240"/>
      </w:pPr>
      <w:r>
        <w:rPr>
          <w:rFonts w:ascii="Arial" w:cs="Arial" w:eastAsia="Arial" w:hAnsi="Arial"/>
          <w:b/>
          <w:bCs/>
          <w:color w:val="2E75B6"/>
          <w:sz w:val="22"/>
          <w:szCs w:val="22"/>
        </w:rPr>
        <w:t xml:space="preserve">Risk Assessment and Structure Design</w:t>
      </w:r>
    </w:p>
    <w:p>
      <w:pPr>
        <w:pStyle w:val="ListParagraph"/>
        <w:numPr>
          <w:ilvl w:val="0"/>
          <w:numId w:val="2"/>
        </w:numPr>
        <w:spacing w:after="40" w:before="40"/>
      </w:pPr>
      <w:r>
        <w:rPr>
          <w:rFonts w:ascii="Arial" w:cs="Arial" w:eastAsia="Arial" w:hAnsi="Arial"/>
          <w:b/>
          <w:bCs/>
          <w:color w:val="1F3864"/>
          <w:sz w:val="19"/>
          <w:szCs w:val="19"/>
        </w:rPr>
        <w:t xml:space="preserve">[RT – RT – Managing Work on/near/over Water Standard]  </w:t>
      </w:r>
      <w:r>
        <w:rPr>
          <w:rFonts w:ascii="Arial" w:cs="Arial" w:eastAsia="Arial" w:hAnsi="Arial"/>
          <w:color w:val="2D2D2D"/>
          <w:sz w:val="19"/>
          <w:szCs w:val="19"/>
        </w:rPr>
        <w:t xml:space="preserve">Require a risk assessment for all near-water work covering: fixed and temporary structures; natural and constructed landforms; vessel operations; personnel transfers; diving activities; and vehicle/PME near water. Require assessment of environmental conditions (weather, tides, vessel movements, ice) as part of planning for each near-water activity.</w:t>
      </w:r>
    </w:p>
    <w:p>
      <w:pPr>
        <w:pStyle w:val="ListParagraph"/>
        <w:numPr>
          <w:ilvl w:val="0"/>
          <w:numId w:val="2"/>
        </w:numPr>
        <w:spacing w:after="40" w:before="40"/>
      </w:pPr>
      <w:r>
        <w:rPr>
          <w:rFonts w:ascii="Arial" w:cs="Arial" w:eastAsia="Arial" w:hAnsi="Arial"/>
          <w:b/>
          <w:bCs/>
          <w:color w:val="1F3864"/>
          <w:sz w:val="19"/>
          <w:szCs w:val="19"/>
        </w:rPr>
        <w:t xml:space="preserve">[RT – RT – Managing Work on/near/over Water Standard]  </w:t>
      </w:r>
      <w:r>
        <w:rPr>
          <w:rFonts w:ascii="Arial" w:cs="Arial" w:eastAsia="Arial" w:hAnsi="Arial"/>
          <w:color w:val="2D2D2D"/>
          <w:sz w:val="19"/>
          <w:szCs w:val="19"/>
        </w:rPr>
        <w:t xml:space="preserve">Require structures over or near water to be engineered for: stable, non-slip, drainable surfaces; adequate static and dynamic load capacity; edge protection (guardrails at minimum 900mm, mid-rails, toe-boards); and emergency access and egress for rapid recovery of an immersed person.</w:t>
      </w:r>
    </w:p>
    <w:p>
      <w:pPr>
        <w:pStyle w:val="Heading2"/>
        <w:spacing w:after="60" w:before="240"/>
      </w:pPr>
      <w:r>
        <w:rPr>
          <w:rFonts w:ascii="Arial" w:cs="Arial" w:eastAsia="Arial" w:hAnsi="Arial"/>
          <w:b/>
          <w:bCs/>
          <w:color w:val="2E75B6"/>
          <w:sz w:val="22"/>
          <w:szCs w:val="22"/>
        </w:rPr>
        <w:t xml:space="preserve">Access Control and Edge Protection</w:t>
      </w:r>
    </w:p>
    <w:p>
      <w:pPr>
        <w:pStyle w:val="ListParagraph"/>
        <w:numPr>
          <w:ilvl w:val="0"/>
          <w:numId w:val="2"/>
        </w:numPr>
        <w:spacing w:after="40" w:before="40"/>
      </w:pPr>
      <w:r>
        <w:rPr>
          <w:rFonts w:ascii="Arial" w:cs="Arial" w:eastAsia="Arial" w:hAnsi="Arial"/>
          <w:b/>
          <w:bCs/>
          <w:color w:val="1F3864"/>
          <w:sz w:val="19"/>
          <w:szCs w:val="19"/>
        </w:rPr>
        <w:t xml:space="preserve">[RT – RT – Managing Work on/near/over Water Standard – Critical Control]  </w:t>
      </w:r>
      <w:r>
        <w:rPr>
          <w:rFonts w:ascii="Arial" w:cs="Arial" w:eastAsia="Arial" w:hAnsi="Arial"/>
          <w:color w:val="2D2D2D"/>
          <w:sz w:val="19"/>
          <w:szCs w:val="19"/>
        </w:rPr>
        <w:t xml:space="preserve">Require access to water-risk zones to be limited to authorised personnel, with physical controls (barriers, self-closing or locked gates, covers), clear signage, and a defined inspection and maintenance programme for all access controls.</w:t>
      </w:r>
    </w:p>
    <w:p>
      <w:pPr>
        <w:pStyle w:val="ListParagraph"/>
        <w:numPr>
          <w:ilvl w:val="0"/>
          <w:numId w:val="2"/>
        </w:numPr>
        <w:spacing w:after="40" w:before="40"/>
      </w:pPr>
      <w:r>
        <w:rPr>
          <w:rFonts w:ascii="Arial" w:cs="Arial" w:eastAsia="Arial" w:hAnsi="Arial"/>
          <w:b/>
          <w:bCs/>
          <w:color w:val="1F3864"/>
          <w:sz w:val="19"/>
          <w:szCs w:val="19"/>
        </w:rPr>
        <w:t xml:space="preserve">[RT – RT – Managing Work on/near/over Water Standard – Critical Control]  </w:t>
      </w:r>
      <w:r>
        <w:rPr>
          <w:rFonts w:ascii="Arial" w:cs="Arial" w:eastAsia="Arial" w:hAnsi="Arial"/>
          <w:color w:val="2D2D2D"/>
          <w:sz w:val="19"/>
          <w:szCs w:val="19"/>
        </w:rPr>
        <w:t xml:space="preserve">Require a continuous physical barrier (berm, guardrail, or engineered equivalent) at all water-adjacent work areas. Require guardrails of at minimum 900mm on docks, pontoons, walkways, and platforms. Define berm construction requirements and mandatory event-triggered inspection requirements (heavy rainfall, pumping/dewatering events).</w:t>
      </w:r>
    </w:p>
    <w:p>
      <w:pPr>
        <w:pStyle w:val="Heading2"/>
        <w:spacing w:after="60" w:before="240"/>
      </w:pPr>
      <w:r>
        <w:rPr>
          <w:rFonts w:ascii="Arial" w:cs="Arial" w:eastAsia="Arial" w:hAnsi="Arial"/>
          <w:b/>
          <w:bCs/>
          <w:color w:val="2E75B6"/>
          <w:sz w:val="22"/>
          <w:szCs w:val="22"/>
        </w:rPr>
        <w:t xml:space="preserve">Personal Flotation Devices</w:t>
      </w:r>
    </w:p>
    <w:p>
      <w:pPr>
        <w:pStyle w:val="ListParagraph"/>
        <w:numPr>
          <w:ilvl w:val="0"/>
          <w:numId w:val="2"/>
        </w:numPr>
        <w:spacing w:after="40" w:before="40"/>
      </w:pPr>
      <w:r>
        <w:rPr>
          <w:rFonts w:ascii="Arial" w:cs="Arial" w:eastAsia="Arial" w:hAnsi="Arial"/>
          <w:b/>
          <w:bCs/>
          <w:color w:val="1F3864"/>
          <w:sz w:val="19"/>
          <w:szCs w:val="19"/>
        </w:rPr>
        <w:t xml:space="preserve">[RT – RT – Managing Work on/near/over Water Standard – Critical Control]  </w:t>
      </w:r>
      <w:r>
        <w:rPr>
          <w:rFonts w:ascii="Arial" w:cs="Arial" w:eastAsia="Arial" w:hAnsi="Arial"/>
          <w:color w:val="2D2D2D"/>
          <w:sz w:val="19"/>
          <w:szCs w:val="19"/>
        </w:rPr>
        <w:t xml:space="preserve">Require all personnel working within two metres of an unprotected edge adjacent to water to wear an approved PFD. Require PFDs to be ISO 12402 certified, appropriate for the specific water conditions, selected by risk assessment (including during scaffold erection/dismantling over water), inspected pre-use, and maintained per manufacturer requirements.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Ensure that PFDs are compatible with other PPE being worn (e.g., harness systems) and that their use does not introduce additional rescue complications.</w:t>
      </w:r>
    </w:p>
    <w:p>
      <w:pPr>
        <w:pStyle w:val="Heading2"/>
        <w:spacing w:after="60" w:before="240"/>
      </w:pPr>
      <w:r>
        <w:rPr>
          <w:rFonts w:ascii="Arial" w:cs="Arial" w:eastAsia="Arial" w:hAnsi="Arial"/>
          <w:b/>
          <w:bCs/>
          <w:color w:val="2E75B6"/>
          <w:sz w:val="22"/>
          <w:szCs w:val="22"/>
        </w:rPr>
        <w:t xml:space="preserve">Water Rescue Plan</w:t>
      </w:r>
    </w:p>
    <w:p>
      <w:pPr>
        <w:pStyle w:val="ListParagraph"/>
        <w:numPr>
          <w:ilvl w:val="0"/>
          <w:numId w:val="2"/>
        </w:numPr>
        <w:spacing w:after="40" w:before="40"/>
      </w:pPr>
      <w:r>
        <w:rPr>
          <w:rFonts w:ascii="Arial" w:cs="Arial" w:eastAsia="Arial" w:hAnsi="Arial"/>
          <w:b/>
          <w:bCs/>
          <w:color w:val="1F3864"/>
          <w:sz w:val="19"/>
          <w:szCs w:val="19"/>
        </w:rPr>
        <w:t xml:space="preserve">[RT – RT – Managing Work on/near/over Water Standard – Critical Control]  </w:t>
      </w:r>
      <w:r>
        <w:rPr>
          <w:rFonts w:ascii="Arial" w:cs="Arial" w:eastAsia="Arial" w:hAnsi="Arial"/>
          <w:color w:val="2D2D2D"/>
          <w:sz w:val="19"/>
          <w:szCs w:val="19"/>
        </w:rPr>
        <w:t xml:space="preserve">Require a water rescue plan for all areas where personnel work near water, covering: roles; immediate rescue actions; emergency communication; site and activity-specific hazards (depth, currents, hypothermia, fauna); and rescue equipment immediately accessible at all near-water work locations and inspected at least quarterly.</w:t>
      </w:r>
    </w:p>
    <w:p>
      <w:pPr>
        <w:pStyle w:val="ListParagraph"/>
        <w:numPr>
          <w:ilvl w:val="0"/>
          <w:numId w:val="2"/>
        </w:numPr>
        <w:spacing w:after="40" w:before="40"/>
      </w:pPr>
      <w:r>
        <w:rPr>
          <w:rFonts w:ascii="Arial" w:cs="Arial" w:eastAsia="Arial" w:hAnsi="Arial"/>
          <w:b/>
          <w:bCs/>
          <w:color w:val="1F3864"/>
          <w:sz w:val="19"/>
          <w:szCs w:val="19"/>
        </w:rPr>
        <w:t xml:space="preserve">[RT – RT – Managing Work on/near/over Water Standard]  </w:t>
      </w:r>
      <w:r>
        <w:rPr>
          <w:rFonts w:ascii="Arial" w:cs="Arial" w:eastAsia="Arial" w:hAnsi="Arial"/>
          <w:color w:val="2D2D2D"/>
          <w:sz w:val="19"/>
          <w:szCs w:val="19"/>
        </w:rPr>
        <w:t xml:space="preserve">Require only trained and authorised personnel to perform water rescues. Require annual water rescue drills (or more frequently per site risk assessment or legislative requirements).</w:t>
      </w:r>
    </w:p>
    <w:p>
      <w:pPr>
        <w:pStyle w:val="Heading2"/>
        <w:spacing w:after="60" w:before="240"/>
      </w:pPr>
      <w:r>
        <w:rPr>
          <w:rFonts w:ascii="Arial" w:cs="Arial" w:eastAsia="Arial" w:hAnsi="Arial"/>
          <w:b/>
          <w:bCs/>
          <w:color w:val="2E75B6"/>
          <w:sz w:val="22"/>
          <w:szCs w:val="22"/>
        </w:rPr>
        <w:t xml:space="preserve">Vessel Requirements and Marine Vetting</w:t>
      </w:r>
    </w:p>
    <w:p>
      <w:pPr>
        <w:pStyle w:val="ListParagraph"/>
        <w:numPr>
          <w:ilvl w:val="0"/>
          <w:numId w:val="2"/>
        </w:numPr>
        <w:spacing w:after="40" w:before="40"/>
      </w:pPr>
      <w:r>
        <w:rPr>
          <w:rFonts w:ascii="Arial" w:cs="Arial" w:eastAsia="Arial" w:hAnsi="Arial"/>
          <w:b/>
          <w:bCs/>
          <w:color w:val="1F3864"/>
          <w:sz w:val="19"/>
          <w:szCs w:val="19"/>
        </w:rPr>
        <w:t xml:space="preserve">[RT – RT – Managing Work on/near/over Water Standard]  </w:t>
      </w:r>
      <w:r>
        <w:rPr>
          <w:rFonts w:ascii="Arial" w:cs="Arial" w:eastAsia="Arial" w:hAnsi="Arial"/>
          <w:color w:val="2D2D2D"/>
          <w:sz w:val="19"/>
          <w:szCs w:val="19"/>
        </w:rPr>
        <w:t xml:space="preserve">Require all vessels to be approved by a competent person with current third-party certification and compliance with all statutory regulations in the area of operation. Define maintenance requirements and require passenger and non-crew safety briefings before all marine journeys.</w:t>
      </w:r>
    </w:p>
    <w:p>
      <w:pPr>
        <w:pStyle w:val="ListParagraph"/>
        <w:numPr>
          <w:ilvl w:val="0"/>
          <w:numId w:val="2"/>
        </w:numPr>
        <w:spacing w:after="40" w:before="40"/>
      </w:pPr>
      <w:r>
        <w:rPr>
          <w:rFonts w:ascii="Arial" w:cs="Arial" w:eastAsia="Arial" w:hAnsi="Arial"/>
          <w:b/>
          <w:bCs/>
          <w:color w:val="375623"/>
          <w:sz w:val="19"/>
          <w:szCs w:val="19"/>
        </w:rPr>
        <w:t xml:space="preserve">[APPC – Appendix C, C-2 §53.4.1]  </w:t>
      </w:r>
      <w:r>
        <w:rPr>
          <w:rFonts w:ascii="Arial" w:cs="Arial" w:eastAsia="Arial" w:hAnsi="Arial"/>
          <w:color w:val="2D2D2D"/>
          <w:sz w:val="19"/>
          <w:szCs w:val="19"/>
        </w:rPr>
        <w:t xml:space="preserve">Define marine biosecurity requirements for vessels: hull inspection and management of biofouling; controlled movement of ballast water; and vessel equipment cleaning protocols to prevent introduction of invasive species.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 marine vessel vetting process specifying the minimum certification, maintenance, and safety equipment standards for all vessel types used on the project, and the process for approving and documenting vessel suitability before first use.</w:t>
      </w:r>
    </w:p>
    <w:p>
      <w:pPr>
        <w:pStyle w:val="Heading2"/>
        <w:spacing w:after="60" w:before="240"/>
      </w:pPr>
      <w:r>
        <w:rPr>
          <w:rFonts w:ascii="Arial" w:cs="Arial" w:eastAsia="Arial" w:hAnsi="Arial"/>
          <w:b/>
          <w:bCs/>
          <w:color w:val="2E75B6"/>
          <w:sz w:val="22"/>
          <w:szCs w:val="22"/>
        </w:rPr>
        <w:t xml:space="preserve">Mooring, Berthing, and Ship Access</w:t>
      </w:r>
    </w:p>
    <w:p>
      <w:pPr>
        <w:pStyle w:val="ListParagraph"/>
        <w:numPr>
          <w:ilvl w:val="0"/>
          <w:numId w:val="2"/>
        </w:numPr>
        <w:spacing w:after="40" w:before="40"/>
      </w:pPr>
      <w:r>
        <w:rPr>
          <w:rFonts w:ascii="Arial" w:cs="Arial" w:eastAsia="Arial" w:hAnsi="Arial"/>
          <w:b/>
          <w:bCs/>
          <w:color w:val="1F3864"/>
          <w:sz w:val="19"/>
          <w:szCs w:val="19"/>
        </w:rPr>
        <w:t xml:space="preserve">[RT – RT – Managing Work on/near/over Water Standard – Critical Control]  </w:t>
      </w:r>
      <w:r>
        <w:rPr>
          <w:rFonts w:ascii="Arial" w:cs="Arial" w:eastAsia="Arial" w:hAnsi="Arial"/>
          <w:color w:val="2D2D2D"/>
          <w:sz w:val="19"/>
          <w:szCs w:val="19"/>
        </w:rPr>
        <w:t xml:space="preserve">Require documented Mooring System or Line Management processes, and require mooring equipment to be inspected, certified, load-rated, and recorded in a mooring equipment register. Require task-specific exclusion zones during all mooring line handling. Require trained and competent personnel for all mooring operations with positive communications between shore and vessel.</w:t>
      </w:r>
    </w:p>
    <w:p>
      <w:pPr>
        <w:pStyle w:val="ListParagraph"/>
        <w:numPr>
          <w:ilvl w:val="0"/>
          <w:numId w:val="2"/>
        </w:numPr>
        <w:spacing w:after="40" w:before="40"/>
      </w:pPr>
      <w:r>
        <w:rPr>
          <w:rFonts w:ascii="Arial" w:cs="Arial" w:eastAsia="Arial" w:hAnsi="Arial"/>
          <w:b/>
          <w:bCs/>
          <w:color w:val="1F3864"/>
          <w:sz w:val="19"/>
          <w:szCs w:val="19"/>
        </w:rPr>
        <w:t xml:space="preserve">[RT – RT – Managing Work on/near/over Water Standard – Critical Control]  </w:t>
      </w:r>
      <w:r>
        <w:rPr>
          <w:rFonts w:ascii="Arial" w:cs="Arial" w:eastAsia="Arial" w:hAnsi="Arial"/>
          <w:color w:val="2D2D2D"/>
          <w:sz w:val="19"/>
          <w:szCs w:val="19"/>
        </w:rPr>
        <w:t xml:space="preserve">Require ship boarding access systems to be certified, WLL-marked, edge-protected (guardrails at minimum 900mm), inspected before use, and include immediate water rescue capability at the boarding point whenever access systems are in use over water.</w:t>
      </w:r>
    </w:p>
    <w:p>
      <w:pPr>
        <w:pStyle w:val="Heading2"/>
        <w:spacing w:after="60" w:before="240"/>
      </w:pPr>
      <w:r>
        <w:rPr>
          <w:rFonts w:ascii="Arial" w:cs="Arial" w:eastAsia="Arial" w:hAnsi="Arial"/>
          <w:b/>
          <w:bCs/>
          <w:color w:val="2E75B6"/>
          <w:sz w:val="22"/>
          <w:szCs w:val="22"/>
        </w:rPr>
        <w:t xml:space="preserve">Occupational Diving</w:t>
      </w:r>
    </w:p>
    <w:p>
      <w:pPr>
        <w:pStyle w:val="ListParagraph"/>
        <w:numPr>
          <w:ilvl w:val="0"/>
          <w:numId w:val="2"/>
        </w:numPr>
        <w:spacing w:after="40" w:before="40"/>
      </w:pPr>
      <w:r>
        <w:rPr>
          <w:rFonts w:ascii="Arial" w:cs="Arial" w:eastAsia="Arial" w:hAnsi="Arial"/>
          <w:b/>
          <w:bCs/>
          <w:color w:val="1F3864"/>
          <w:sz w:val="19"/>
          <w:szCs w:val="19"/>
        </w:rPr>
        <w:t xml:space="preserve">[RT – RT – Managing Work on/near/over Water Standard]  </w:t>
      </w:r>
      <w:r>
        <w:rPr>
          <w:rFonts w:ascii="Arial" w:cs="Arial" w:eastAsia="Arial" w:hAnsi="Arial"/>
          <w:color w:val="2D2D2D"/>
          <w:sz w:val="19"/>
          <w:szCs w:val="19"/>
        </w:rPr>
        <w:t xml:space="preserve">Require diving personnel to hold relevant statutory training, competence, and medical clearances. Require a Dive Plan developed and approved by a competent person. Require propeller guards for relevant vessels, use of buoys and markers, and appropriate dive flags.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the minimum dive team composition for each type of diving activity (surface supply, SCUBA, commercial saturation) and the conditions under which occupational diving is prohibited (e.g., current speed, visibility, water temperature thresholds), to be documented in the project Dive Plan standard.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Conduct a near-water risk assessment specific to this project's geographic context before near-water work commences. Insert or reference the completed assessment.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water rescue team capability for this project: who is trained; what rescue equipment is staged at each near-water location; what is the maximum response time. Insert as a table by work area.</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If vessels are used on this project: complete the vessel vetting process for each vessel before first use. Define the project vessel register and insert the completed vetting records or a reference to them.</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If occupational diving occurs on this project: define the project dive plan approval authority and the minimum dive team composition for each type of diving operation.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PFD inspection and maintenance schedule for this project and the process for recording pre-use inspections.</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Traffic Management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RTPR-HSE-PRO-0031</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Traffic Management Plan and TCP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Physical segregation standards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Road design and maintenance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Level crossing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(traffic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RTPR-HSE-PRO-0026 – Vehicles (vehicle specifications and driver requirements — refer RTPR-HSE-PRO-0026)</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RTPR-HSE-PRO-0028 – Barricading (traffic barricading and signage — refer RTPR-HSE-PRO-0028)</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RTPR-HSE-PRO-0015 – Cranes (crane operations and traffic interface)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(traffic incident reporting)</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RTPR-HSE-PRO-0026 references RTPR-HSE-PRO-0031 for traffic management planning</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managing all vehicle and pedestrian traffic on and around the owner-led project site — covering HME, light vehicles, mass transport vehicles, pedestrians, and public road interfaces. It is supported by site-specific Traffic Management Plans and Traffic Control Plans developed under this procedure.</w:t>
      </w:r>
    </w:p>
    <w:p>
      <w:pPr>
        <w:pStyle w:val="Heading2"/>
        <w:spacing w:after="60" w:before="240"/>
      </w:pPr>
      <w:r>
        <w:rPr>
          <w:rFonts w:ascii="Arial" w:cs="Arial" w:eastAsia="Arial" w:hAnsi="Arial"/>
          <w:b/>
          <w:bCs/>
          <w:color w:val="2E75B6"/>
          <w:sz w:val="22"/>
          <w:szCs w:val="22"/>
        </w:rPr>
        <w:t xml:space="preserve">Traffic Management Plan and TCP</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w:t>
      </w:r>
      <w:r>
        <w:rPr>
          <w:rFonts w:ascii="Arial" w:cs="Arial" w:eastAsia="Arial" w:hAnsi="Arial"/>
          <w:color w:val="2D2D2D"/>
          <w:sz w:val="19"/>
          <w:szCs w:val="19"/>
        </w:rPr>
        <w:t xml:space="preserve">Require development of a site Traffic Management Plan (TMP) before work commences, defining: site traffic rules; speed limits; HME and light vehicle operating areas; pedestrian routes; and interface with public roads. Require a Traffic Control Plan (TCP) as the operational-level document for day-to-day traffic control activities.</w:t>
      </w:r>
    </w:p>
    <w:p>
      <w:pPr>
        <w:pStyle w:val="ListParagraph"/>
        <w:numPr>
          <w:ilvl w:val="0"/>
          <w:numId w:val="2"/>
        </w:numPr>
        <w:spacing w:after="40" w:before="40"/>
      </w:pPr>
      <w:r>
        <w:rPr>
          <w:rFonts w:ascii="Arial" w:cs="Arial" w:eastAsia="Arial" w:hAnsi="Arial"/>
          <w:b/>
          <w:bCs/>
          <w:color w:val="375623"/>
          <w:sz w:val="19"/>
          <w:szCs w:val="19"/>
        </w:rPr>
        <w:t xml:space="preserve">[APPC – Appendix C, C-2 §52.6]  </w:t>
      </w:r>
      <w:r>
        <w:rPr>
          <w:rFonts w:ascii="Arial" w:cs="Arial" w:eastAsia="Arial" w:hAnsi="Arial"/>
          <w:color w:val="2D2D2D"/>
          <w:sz w:val="19"/>
          <w:szCs w:val="19"/>
        </w:rPr>
        <w:t xml:space="preserve">Require both plans to be regularly reviewed and updated when site conditions, scope, or equipment fleet change.</w:t>
      </w:r>
    </w:p>
    <w:p>
      <w:pPr>
        <w:pStyle w:val="Heading2"/>
        <w:spacing w:after="60" w:before="240"/>
      </w:pPr>
      <w:r>
        <w:rPr>
          <w:rFonts w:ascii="Arial" w:cs="Arial" w:eastAsia="Arial" w:hAnsi="Arial"/>
          <w:b/>
          <w:bCs/>
          <w:color w:val="2E75B6"/>
          <w:sz w:val="22"/>
          <w:szCs w:val="22"/>
        </w:rPr>
        <w:t xml:space="preserve">Segregation</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 Critical Control]  </w:t>
      </w:r>
      <w:r>
        <w:rPr>
          <w:rFonts w:ascii="Arial" w:cs="Arial" w:eastAsia="Arial" w:hAnsi="Arial"/>
          <w:color w:val="2D2D2D"/>
          <w:sz w:val="19"/>
          <w:szCs w:val="19"/>
        </w:rPr>
        <w:t xml:space="preserve">Require physical segregation between PME, pedestrians, and other vehicles as the preferred control — installed to an appropriate standard, regularly inspected, and maintained in good working condition. Where physical segregation is not possible, document alternative separation controls (50m/160ft exclusion zones, dedicated pedestrian crossings, positive communication protocols).</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w:t>
      </w:r>
      <w:r>
        <w:rPr>
          <w:rFonts w:ascii="Arial" w:cs="Arial" w:eastAsia="Arial" w:hAnsi="Arial"/>
          <w:color w:val="2D2D2D"/>
          <w:sz w:val="19"/>
          <w:szCs w:val="19"/>
        </w:rPr>
        <w:t xml:space="preserve">Define requirements for vertical segregation and exclusion zones where simultaneous activities occur at different elevations in the same work area.</w:t>
      </w:r>
    </w:p>
    <w:p>
      <w:pPr>
        <w:pStyle w:val="Heading2"/>
        <w:spacing w:after="60" w:before="240"/>
      </w:pPr>
      <w:r>
        <w:rPr>
          <w:rFonts w:ascii="Arial" w:cs="Arial" w:eastAsia="Arial" w:hAnsi="Arial"/>
          <w:b/>
          <w:bCs/>
          <w:color w:val="2E75B6"/>
          <w:sz w:val="22"/>
          <w:szCs w:val="22"/>
        </w:rPr>
        <w:t xml:space="preserve">Road Design and Maintenance</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 Critical Control]  </w:t>
      </w:r>
      <w:r>
        <w:rPr>
          <w:rFonts w:ascii="Arial" w:cs="Arial" w:eastAsia="Arial" w:hAnsi="Arial"/>
          <w:color w:val="2D2D2D"/>
          <w:sz w:val="19"/>
          <w:szCs w:val="19"/>
        </w:rPr>
        <w:t xml:space="preserve">Require all roads to be designed and constructed by a competent person, considering: the operating characteristics of vehicles using the roads; road types (pit ramps, haul roads, load/dump areas, plant roads); and layout features that maintain visibility in all directions and reduce 4-way intersections.</w:t>
      </w:r>
    </w:p>
    <w:p>
      <w:pPr>
        <w:pStyle w:val="ListParagraph"/>
        <w:numPr>
          <w:ilvl w:val="0"/>
          <w:numId w:val="2"/>
        </w:numPr>
        <w:spacing w:after="40" w:before="40"/>
      </w:pPr>
      <w:r>
        <w:rPr>
          <w:rFonts w:ascii="Arial" w:cs="Arial" w:eastAsia="Arial" w:hAnsi="Arial"/>
          <w:b/>
          <w:bCs/>
          <w:color w:val="1F3864"/>
          <w:sz w:val="19"/>
          <w:szCs w:val="19"/>
        </w:rPr>
        <w:t xml:space="preserve">[RT – RT C3 – Vehicles and Driving Standard]  </w:t>
      </w:r>
      <w:r>
        <w:rPr>
          <w:rFonts w:ascii="Arial" w:cs="Arial" w:eastAsia="Arial" w:hAnsi="Arial"/>
          <w:color w:val="2D2D2D"/>
          <w:sz w:val="19"/>
          <w:szCs w:val="19"/>
        </w:rPr>
        <w:t xml:space="preserve">Require a documented road inspection and maintenance schedule. Define requirements for berms and windrows in pit environments.</w:t>
      </w:r>
    </w:p>
    <w:p>
      <w:pPr>
        <w:pStyle w:val="Heading2"/>
        <w:spacing w:after="60" w:before="240"/>
      </w:pPr>
      <w:r>
        <w:rPr>
          <w:rFonts w:ascii="Arial" w:cs="Arial" w:eastAsia="Arial" w:hAnsi="Arial"/>
          <w:b/>
          <w:bCs/>
          <w:color w:val="2E75B6"/>
          <w:sz w:val="22"/>
          <w:szCs w:val="22"/>
        </w:rPr>
        <w:t xml:space="preserve">Level Crossings</w:t>
      </w:r>
    </w:p>
    <w:p>
      <w:pPr>
        <w:pStyle w:val="ListParagraph"/>
        <w:numPr>
          <w:ilvl w:val="0"/>
          <w:numId w:val="2"/>
        </w:numPr>
        <w:spacing w:after="40" w:before="40"/>
      </w:pPr>
      <w:r>
        <w:rPr>
          <w:rFonts w:ascii="Arial" w:cs="Arial" w:eastAsia="Arial" w:hAnsi="Arial"/>
          <w:b/>
          <w:bCs/>
          <w:color w:val="1F3864"/>
          <w:sz w:val="19"/>
          <w:szCs w:val="19"/>
        </w:rPr>
        <w:t xml:space="preserve">[RT – RT Rail Safety Standard – Critical Control]  </w:t>
      </w:r>
      <w:r>
        <w:rPr>
          <w:rFonts w:ascii="Arial" w:cs="Arial" w:eastAsia="Arial" w:hAnsi="Arial"/>
          <w:color w:val="2D2D2D"/>
          <w:sz w:val="19"/>
          <w:szCs w:val="19"/>
        </w:rPr>
        <w:t xml:space="preserve">Where rail lines cross road surfaces on site, require level crossings to minimise collision risk through: minimising the number of crossings; ensuring sufficient visibility or active protection (boom gates); eliminating traffic obstruction risks; warning signage; and defined audible warning requirements for rail vehicles. Where requirements cannot be met, require a documented mitigation process.</w:t>
      </w:r>
    </w:p>
    <w:p>
      <w:pPr>
        <w:pStyle w:val="Heading2"/>
        <w:spacing w:after="60" w:before="240"/>
      </w:pPr>
      <w:r>
        <w:rPr>
          <w:rFonts w:ascii="Arial" w:cs="Arial" w:eastAsia="Arial" w:hAnsi="Arial"/>
          <w:b/>
          <w:bCs/>
          <w:color w:val="2E75B6"/>
          <w:sz w:val="22"/>
          <w:szCs w:val="22"/>
        </w:rPr>
        <w:t xml:space="preserve">Mass Transport and SIMOPS Interface</w:t>
      </w:r>
    </w:p>
    <w:p>
      <w:pPr>
        <w:pStyle w:val="ListParagraph"/>
        <w:numPr>
          <w:ilvl w:val="0"/>
          <w:numId w:val="2"/>
        </w:numPr>
        <w:spacing w:after="40" w:before="40"/>
      </w:pPr>
      <w:r>
        <w:rPr>
          <w:rFonts w:ascii="Arial" w:cs="Arial" w:eastAsia="Arial" w:hAnsi="Arial"/>
          <w:b/>
          <w:bCs/>
          <w:color w:val="375623"/>
          <w:sz w:val="19"/>
          <w:szCs w:val="19"/>
        </w:rPr>
        <w:t xml:space="preserve">[APPC – Appendix C, C-2 §53.1]  </w:t>
      </w:r>
      <w:r>
        <w:rPr>
          <w:rFonts w:ascii="Arial" w:cs="Arial" w:eastAsia="Arial" w:hAnsi="Arial"/>
          <w:color w:val="2D2D2D"/>
          <w:sz w:val="19"/>
          <w:szCs w:val="19"/>
        </w:rPr>
        <w:t xml:space="preserve">Define specific requirements for mass transport vehicle operations including driver competency and authorisation, high-risk journey JMP requirements, vehicle safety standards, and IVMS requirements.</w:t>
      </w:r>
    </w:p>
    <w:p>
      <w:pPr>
        <w:pStyle w:val="ListParagraph"/>
        <w:numPr>
          <w:ilvl w:val="0"/>
          <w:numId w:val="2"/>
        </w:numPr>
        <w:spacing w:after="40" w:before="40"/>
      </w:pPr>
      <w:r>
        <w:rPr>
          <w:rFonts w:ascii="Arial" w:cs="Arial" w:eastAsia="Arial" w:hAnsi="Arial"/>
          <w:b/>
          <w:bCs/>
          <w:color w:val="375623"/>
          <w:sz w:val="19"/>
          <w:szCs w:val="19"/>
        </w:rPr>
        <w:t xml:space="preserve">[APPC – Appendix C, C-2 §63]  </w:t>
      </w:r>
      <w:r>
        <w:rPr>
          <w:rFonts w:ascii="Arial" w:cs="Arial" w:eastAsia="Arial" w:hAnsi="Arial"/>
          <w:color w:val="2D2D2D"/>
          <w:sz w:val="19"/>
          <w:szCs w:val="19"/>
        </w:rPr>
        <w:t xml:space="preserve">Require traffic management to be considered in the SIMOPS assessment process and define how traffic management interfaces with blasting, crane, and other concurrent operations.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Develop the site Traffic Management Plan and Traffic Control Plan for this project before work commences. The procedure defines the minimum content — the project team develops the actual plans and inserts or references them here.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speed limits for each site area and the enforcement mechanism. The procedure requires speed limits — the project determines the specific limits by area based on risk assessment.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If this project has rail level crossings: define the project-specific level crossing management process, including traffic control during train movements.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§52.6.1]  </w:t>
            </w:r>
            <w:r>
              <w:rPr>
                <w:rFonts w:ascii="Arial" w:cs="Arial" w:eastAsia="Arial" w:hAnsi="Arial"/>
                <w:color w:val="2D2D2D"/>
                <w:sz w:val="19"/>
                <w:szCs w:val="19"/>
              </w:rPr>
              <w:t xml:space="preserve">Require assessment of all vehicle activity to determine potential interactions between vehicles, pedestrians, and track or rail operations. Controls must be implemented to prevent inadvertent contact, including physical segregation and designated pedestrian routes.</w:t>
            </w:r>
          </w:p>
          <w:p>
            <w:pPr>
              <w:pStyle w:val="ListParagraph"/>
              <w:numPr>
                <w:ilvl w:val="0"/>
                <w:numId w:val="2"/>
              </w:numPr>
              <w:spacing w:after="40" w:before="40"/>
            </w:pPr>
            <w:r>
              <w:rPr>
                <w:rFonts w:ascii="Arial" w:cs="Arial" w:eastAsia="Arial" w:hAnsi="Arial"/>
                <w:b/>
                <w:bCs/>
                <w:color w:val="375623"/>
                <w:sz w:val="19"/>
                <w:szCs w:val="19"/>
              </w:rPr>
              <w:t xml:space="preserve">[APPC – Appendix C, C-2 §52.6.2]  </w:t>
            </w:r>
            <w:r>
              <w:rPr>
                <w:rFonts w:ascii="Arial" w:cs="Arial" w:eastAsia="Arial" w:hAnsi="Arial"/>
                <w:color w:val="2D2D2D"/>
                <w:sz w:val="19"/>
                <w:szCs w:val="19"/>
              </w:rPr>
              <w:t xml:space="preserve">Require that no vehicle or person approaches heavy mobile equipment without first establishing positive contact with the operator. This applies to all interactions, not only overtaking situations.</w:t>
            </w:r>
          </w:p>
          <w:p>
            <w:pPr>
              <w:pStyle w:val="ListParagraph"/>
              <w:numPr>
                <w:ilvl w:val="0"/>
                <w:numId w:val="2"/>
              </w:numPr>
              <w:spacing w:after="40" w:before="40"/>
            </w:pPr>
            <w:r>
              <w:rPr>
                <w:rFonts w:ascii="Arial" w:cs="Arial" w:eastAsia="Arial" w:hAnsi="Arial"/>
                <w:b/>
                <w:bCs/>
                <w:color w:val="375623"/>
                <w:sz w:val="19"/>
                <w:szCs w:val="19"/>
              </w:rPr>
              <w:t xml:space="preserve">[APPC – Appendix C, C-2 §52.6.3]  </w:t>
            </w:r>
            <w:r>
              <w:rPr>
                <w:rFonts w:ascii="Arial" w:cs="Arial" w:eastAsia="Arial" w:hAnsi="Arial"/>
                <w:color w:val="2D2D2D"/>
                <w:sz w:val="19"/>
                <w:szCs w:val="19"/>
              </w:rPr>
              <w:t xml:space="preserve">Where overtaking is permitted on site, require the driver to establish positive contact with the operator of the vehicle being overtaken before any overtaking manoeuvre commences.</w:t>
            </w:r>
          </w:p>
          <w:p>
            <w:r>
              <w:rPr>
                <w:rFonts w:ascii="Arial" w:cs="Arial" w:eastAsia="Arial" w:hAnsi="Arial"/>
                <w:color w:val="3C2A00"/>
                <w:sz w:val="17"/>
                <w:szCs w:val="17"/>
              </w:rPr>
              <w:t xml:space="preserve">Define the road inspection schedule and maintenance standard for this project: inspection frequency by road type; defect reporting; repair response times.</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Tools and Equipment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RTPR-HSE-PRO-0032</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Banned items list (absolute prohibition)</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Restricted items list (requires approval)</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Equipment inspection and certification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Tool securing requirements at height (references RTPR-HSE-PRO-0008 DROPS programme)</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RTPR-HSE-PRO-0008 – Working at Height (DROPS programme — tool securing at height via RTPR-HSE-PRO-0008)</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(equipment inspection competency)</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(defective equipment incidents)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RTPR-HSE-REG-0010 – Electrical Equipment Register (quarterly inspection records)</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RTPR-HSE-PRO-0008 references RTPR-HSE-PRO-0032 for the banned/restricted items list</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ensuring all tools and equipment used on the owner-led project are fit for purpose, properly maintained, inspected, and compliant with applicable safety standards — including a clear statement of what is banned and what requires approval before use.</w:t>
      </w:r>
    </w:p>
    <w:p>
      <w:pPr>
        <w:pStyle w:val="Heading2"/>
        <w:spacing w:after="60" w:before="240"/>
      </w:pPr>
      <w:r>
        <w:rPr>
          <w:rFonts w:ascii="Arial" w:cs="Arial" w:eastAsia="Arial" w:hAnsi="Arial"/>
          <w:b/>
          <w:bCs/>
          <w:color w:val="2E75B6"/>
          <w:sz w:val="22"/>
          <w:szCs w:val="22"/>
        </w:rPr>
        <w:t xml:space="preserve">Inspection and Certification</w:t>
      </w:r>
    </w:p>
    <w:p>
      <w:pPr>
        <w:pStyle w:val="ListParagraph"/>
        <w:numPr>
          <w:ilvl w:val="0"/>
          <w:numId w:val="2"/>
        </w:numPr>
        <w:spacing w:after="40" w:before="40"/>
      </w:pPr>
      <w:r>
        <w:rPr>
          <w:rFonts w:ascii="Arial" w:cs="Arial" w:eastAsia="Arial" w:hAnsi="Arial"/>
          <w:b/>
          <w:bCs/>
          <w:color w:val="375623"/>
          <w:sz w:val="19"/>
          <w:szCs w:val="19"/>
        </w:rPr>
        <w:t xml:space="preserve">[APPC – Appendix C, C-2 §61.1]  </w:t>
      </w:r>
      <w:r>
        <w:rPr>
          <w:rFonts w:ascii="Arial" w:cs="Arial" w:eastAsia="Arial" w:hAnsi="Arial"/>
          <w:color w:val="2D2D2D"/>
          <w:sz w:val="19"/>
          <w:szCs w:val="19"/>
        </w:rPr>
        <w:t xml:space="preserve">Require all lifting equipment including cranes, hooks, and slings to hold a valid and recognised test certificate for safe operation, with certificates available to the project owner on request.</w:t>
      </w:r>
    </w:p>
    <w:p>
      <w:pPr>
        <w:pStyle w:val="ListParagraph"/>
        <w:numPr>
          <w:ilvl w:val="0"/>
          <w:numId w:val="2"/>
        </w:numPr>
        <w:spacing w:after="40" w:before="40"/>
      </w:pPr>
      <w:r>
        <w:rPr>
          <w:rFonts w:ascii="Arial" w:cs="Arial" w:eastAsia="Arial" w:hAnsi="Arial"/>
          <w:b/>
          <w:bCs/>
          <w:color w:val="375623"/>
          <w:sz w:val="19"/>
          <w:szCs w:val="19"/>
        </w:rPr>
        <w:t xml:space="preserve">[APPC – Appendix C, C-2 §61.1]  </w:t>
      </w:r>
      <w:r>
        <w:rPr>
          <w:rFonts w:ascii="Arial" w:cs="Arial" w:eastAsia="Arial" w:hAnsi="Arial"/>
          <w:color w:val="2D2D2D"/>
          <w:sz w:val="19"/>
          <w:szCs w:val="19"/>
        </w:rPr>
        <w:t xml:space="preserve">Require quarterly inspection and tagging of all portable electrical equipment by a certified electrician. Record in a register: equipment identification number; inspection date; certifier's name; and next inspection due date. Colour-code equipment to indicate acceptable/not acceptable for use.</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Establish a systematic pre-use inspection process for all safety-critical tools and equipment, and a defect management process that removes unsafe items from service immediately.</w:t>
      </w:r>
    </w:p>
    <w:p>
      <w:pPr>
        <w:pStyle w:val="Heading2"/>
        <w:spacing w:after="60" w:before="240"/>
      </w:pPr>
      <w:r>
        <w:rPr>
          <w:rFonts w:ascii="Arial" w:cs="Arial" w:eastAsia="Arial" w:hAnsi="Arial"/>
          <w:b/>
          <w:bCs/>
          <w:color w:val="2E75B6"/>
          <w:sz w:val="22"/>
          <w:szCs w:val="22"/>
        </w:rPr>
        <w:t xml:space="preserve">Banned Items</w:t>
      </w:r>
    </w:p>
    <w:p>
      <w:pPr>
        <w:pStyle w:val="ListParagraph"/>
        <w:numPr>
          <w:ilvl w:val="0"/>
          <w:numId w:val="2"/>
        </w:numPr>
        <w:spacing w:after="40" w:before="40"/>
      </w:pPr>
      <w:r>
        <w:rPr>
          <w:rFonts w:ascii="Arial" w:cs="Arial" w:eastAsia="Arial" w:hAnsi="Arial"/>
          <w:b/>
          <w:bCs/>
          <w:color w:val="375623"/>
          <w:sz w:val="19"/>
          <w:szCs w:val="19"/>
        </w:rPr>
        <w:t xml:space="preserve">[APPC – Appendix C, C-2 §61.2.1]  </w:t>
      </w:r>
      <w:r>
        <w:rPr>
          <w:rFonts w:ascii="Arial" w:cs="Arial" w:eastAsia="Arial" w:hAnsi="Arial"/>
          <w:color w:val="2D2D2D"/>
          <w:sz w:val="19"/>
          <w:szCs w:val="19"/>
        </w:rPr>
        <w:t xml:space="preserve">The following items are banned on the project site and must not be used under any circumstances: man-made (improvised) tools; over-centre type binders; 9-inch (230mm) angle grinders; sit harnesses (waist-only); Saferight auto-stop rope descender/brake; and manual torque multipliers.</w:t>
      </w:r>
    </w:p>
    <w:p>
      <w:pPr>
        <w:pStyle w:val="Heading2"/>
        <w:spacing w:after="60" w:before="240"/>
      </w:pPr>
      <w:r>
        <w:rPr>
          <w:rFonts w:ascii="Arial" w:cs="Arial" w:eastAsia="Arial" w:hAnsi="Arial"/>
          <w:b/>
          <w:bCs/>
          <w:color w:val="2E75B6"/>
          <w:sz w:val="22"/>
          <w:szCs w:val="22"/>
        </w:rPr>
        <w:t xml:space="preserve">Restricted Items</w:t>
      </w:r>
    </w:p>
    <w:p>
      <w:pPr>
        <w:pStyle w:val="ListParagraph"/>
        <w:numPr>
          <w:ilvl w:val="0"/>
          <w:numId w:val="2"/>
        </w:numPr>
        <w:spacing w:after="40" w:before="40"/>
      </w:pPr>
      <w:r>
        <w:rPr>
          <w:rFonts w:ascii="Arial" w:cs="Arial" w:eastAsia="Arial" w:hAnsi="Arial"/>
          <w:b/>
          <w:bCs/>
          <w:color w:val="375623"/>
          <w:sz w:val="19"/>
          <w:szCs w:val="19"/>
        </w:rPr>
        <w:t xml:space="preserve">[APPC – Appendix C, C-2 §61.2.2]  </w:t>
      </w:r>
      <w:r>
        <w:rPr>
          <w:rFonts w:ascii="Arial" w:cs="Arial" w:eastAsia="Arial" w:hAnsi="Arial"/>
          <w:color w:val="2D2D2D"/>
          <w:sz w:val="19"/>
          <w:szCs w:val="19"/>
        </w:rPr>
        <w:t xml:space="preserve">The following items are restricted and require documented project owner approval before use: open-bladed knives (including Stanley knives); skiving knives; unsecured scaffold hammer frogs; powered nail guns (explosive or pneumatic); hydro blasting equipment; personal music devices with headphones; handheld demolition/quick-cut saws; double-pointed podgy bars; and hardened steel sledgehammers.</w:t>
      </w:r>
    </w:p>
    <w:p>
      <w:pPr>
        <w:pStyle w:val="Heading2"/>
        <w:spacing w:after="60" w:before="240"/>
      </w:pPr>
      <w:r>
        <w:rPr>
          <w:rFonts w:ascii="Arial" w:cs="Arial" w:eastAsia="Arial" w:hAnsi="Arial"/>
          <w:b/>
          <w:bCs/>
          <w:color w:val="2E75B6"/>
          <w:sz w:val="22"/>
          <w:szCs w:val="22"/>
        </w:rPr>
        <w:t xml:space="preserve">Defect Management and Tool Securing</w:t>
      </w:r>
    </w:p>
    <w:p>
      <w:pPr>
        <w:pStyle w:val="ListParagraph"/>
        <w:numPr>
          <w:ilvl w:val="0"/>
          <w:numId w:val="2"/>
        </w:numPr>
        <w:spacing w:after="40" w:before="40"/>
      </w:pPr>
      <w:r>
        <w:rPr>
          <w:rFonts w:ascii="Arial" w:cs="Arial" w:eastAsia="Arial" w:hAnsi="Arial"/>
          <w:b/>
          <w:bCs/>
          <w:color w:val="1F3864"/>
          <w:sz w:val="19"/>
          <w:szCs w:val="19"/>
        </w:rPr>
        <w:t xml:space="preserve">[RT – RT Falling Objects Standard]  </w:t>
      </w:r>
      <w:r>
        <w:rPr>
          <w:rFonts w:ascii="Arial" w:cs="Arial" w:eastAsia="Arial" w:hAnsi="Arial"/>
          <w:color w:val="2D2D2D"/>
          <w:sz w:val="19"/>
          <w:szCs w:val="19"/>
        </w:rPr>
        <w:t xml:space="preserve">Require all tools used at height to be secured using appropriate lanyards, tethering systems, or tool belts to prevent dropped objects. Reference requirements in the Working at Heights Procedure for DROPS programme compliance.</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 tool and equipment defect reporting process including the isolation tag system, the repair/replace decision authority, and the re-inspection requirement before an item is returned to service.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Confirm whether the project has any additional banned or restricted items beyond the standard list in this procedure. Some project locations or specific scopes of work may require additional prohibitions. Insert any project-specific additions.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equipment approval process for restricted items: who has the authority to approve; what documentation is required; how approval is recorded and communicated to the workforce.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equipment defect tag system: approved tag design; where defective equipment is quarantined; who authorises return to service.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§61.1.2]  </w:t>
            </w:r>
            <w:r>
              <w:rPr>
                <w:rFonts w:ascii="Arial" w:cs="Arial" w:eastAsia="Arial" w:hAnsi="Arial"/>
                <w:color w:val="2D2D2D"/>
                <w:sz w:val="19"/>
                <w:szCs w:val="19"/>
              </w:rPr>
              <w:t xml:space="preserve">Require that equipment including cranes, hooks, and slings holds a valid and recognised test certificate for safe operation before use on site. Test certificates must be provided to the Company upon request.</w:t>
            </w:r>
          </w:p>
          <w:p>
            <w:pPr>
              <w:pStyle w:val="ListParagraph"/>
              <w:numPr>
                <w:ilvl w:val="0"/>
                <w:numId w:val="2"/>
              </w:numPr>
              <w:spacing w:after="40" w:before="40"/>
            </w:pPr>
            <w:r>
              <w:rPr>
                <w:rFonts w:ascii="Arial" w:cs="Arial" w:eastAsia="Arial" w:hAnsi="Arial"/>
                <w:b/>
                <w:bCs/>
                <w:color w:val="375623"/>
                <w:sz w:val="19"/>
                <w:szCs w:val="19"/>
              </w:rPr>
              <w:t xml:space="preserve">[APPC – Appendix C, C-2 §61.1.4]  </w:t>
            </w:r>
            <w:r>
              <w:rPr>
                <w:rFonts w:ascii="Arial" w:cs="Arial" w:eastAsia="Arial" w:hAnsi="Arial"/>
                <w:color w:val="2D2D2D"/>
                <w:sz w:val="19"/>
                <w:szCs w:val="19"/>
              </w:rPr>
              <w:t xml:space="preserve">Require quarterly inspections of all plant and equipment, with inspection certificates maintained and available to the Company on request.</w:t>
            </w:r>
          </w:p>
          <w:p>
            <w:pPr>
              <w:pStyle w:val="ListParagraph"/>
              <w:numPr>
                <w:ilvl w:val="0"/>
                <w:numId w:val="2"/>
              </w:numPr>
              <w:spacing w:after="40" w:before="40"/>
            </w:pPr>
            <w:r>
              <w:rPr>
                <w:rFonts w:ascii="Arial" w:cs="Arial" w:eastAsia="Arial" w:hAnsi="Arial"/>
                <w:b/>
                <w:bCs/>
                <w:color w:val="375623"/>
                <w:sz w:val="19"/>
                <w:szCs w:val="19"/>
              </w:rPr>
              <w:t xml:space="preserve">[APPC – Appendix C, C-2 §61.2.1.2]  </w:t>
            </w:r>
            <w:r>
              <w:rPr>
                <w:rFonts w:ascii="Arial" w:cs="Arial" w:eastAsia="Arial" w:hAnsi="Arial"/>
                <w:color w:val="2D2D2D"/>
                <w:sz w:val="19"/>
                <w:szCs w:val="19"/>
              </w:rPr>
              <w:t xml:space="preserve">Require prohibition of the following tools and equipment on Company sites: over-centre type binders; 9-inch (230mm) grinders; sit harnesses (waist-only); Saferight auto-stop rope descender/brake; and manual torque multipliers.</w:t>
            </w:r>
          </w:p>
          <w:p>
            <w:pPr>
              <w:pStyle w:val="ListParagraph"/>
              <w:numPr>
                <w:ilvl w:val="0"/>
                <w:numId w:val="2"/>
              </w:numPr>
              <w:spacing w:after="40" w:before="40"/>
            </w:pPr>
            <w:r>
              <w:rPr>
                <w:rFonts w:ascii="Arial" w:cs="Arial" w:eastAsia="Arial" w:hAnsi="Arial"/>
                <w:b/>
                <w:bCs/>
                <w:color w:val="375623"/>
                <w:sz w:val="19"/>
                <w:szCs w:val="19"/>
              </w:rPr>
              <w:t xml:space="preserve">[APPC – Appendix C, C-2 §61.2.2.1]  </w:t>
            </w:r>
            <w:r>
              <w:rPr>
                <w:rFonts w:ascii="Arial" w:cs="Arial" w:eastAsia="Arial" w:hAnsi="Arial"/>
                <w:color w:val="2D2D2D"/>
                <w:sz w:val="19"/>
                <w:szCs w:val="19"/>
              </w:rPr>
              <w:t xml:space="preserve">Require Company approval before use of restricted items including: open bladed knives; powered nail guns; hydro blasting equipment; personal music devices with headphones; handheld demolition saws; double-pointed podgy bars; and hardened steel sledgehammers. The project must maintain an approved restricted items register.</w:t>
            </w:r>
          </w:p>
          <w:p>
            <w:r>
              <w:rPr>
                <w:rFonts w:ascii="Arial" w:cs="Arial" w:eastAsia="Arial" w:hAnsi="Arial"/>
                <w:color w:val="3C2A00"/>
                <w:sz w:val="17"/>
                <w:szCs w:val="17"/>
              </w:rPr>
              <w:t xml:space="preserve">Confirm the quarterly electrical equipment inspection schedule for this project and the approved inspector (certified electrician) arrangement.</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Security Management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RTPR-HSE-PRO-0033</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Security risk assessment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Site Security Management Plan (SMP)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Security supplier qualification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Armed personnel approval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Security incident management process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(security risk as part of project risk register)</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(security awareness training)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(security incidents reported via RTPR-HSE-PRO-0009)</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RTPR-HSE-PRO-0041 – Business Resilience (security events as emergency scenarios)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RTPR-HSE-PRO-0011 – Communication (security alerts as communication channel)</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managing security risks to project personnel, property, information, and the organisation's social licence, including the ethical use of security personnel and compliance with the Voluntary Principles on Security and Human Rights.</w:t>
      </w:r>
    </w:p>
    <w:p>
      <w:pPr>
        <w:pStyle w:val="Heading2"/>
        <w:spacing w:after="60" w:before="240"/>
      </w:pPr>
      <w:r>
        <w:rPr>
          <w:rFonts w:ascii="Arial" w:cs="Arial" w:eastAsia="Arial" w:hAnsi="Arial"/>
          <w:b/>
          <w:bCs/>
          <w:color w:val="2E75B6"/>
          <w:sz w:val="22"/>
          <w:szCs w:val="22"/>
        </w:rPr>
        <w:t xml:space="preserve">Security Risk Assessment</w:t>
      </w:r>
    </w:p>
    <w:p>
      <w:pPr>
        <w:pStyle w:val="ListParagraph"/>
        <w:numPr>
          <w:ilvl w:val="0"/>
          <w:numId w:val="2"/>
        </w:numPr>
        <w:spacing w:after="40" w:before="40"/>
      </w:pPr>
      <w:r>
        <w:rPr>
          <w:rFonts w:ascii="Arial" w:cs="Arial" w:eastAsia="Arial" w:hAnsi="Arial"/>
          <w:b/>
          <w:bCs/>
          <w:color w:val="375623"/>
          <w:sz w:val="19"/>
          <w:szCs w:val="19"/>
        </w:rPr>
        <w:t xml:space="preserve">[APPC – Appendix C, C-1 §33.1]  </w:t>
      </w:r>
      <w:r>
        <w:rPr>
          <w:rFonts w:ascii="Arial" w:cs="Arial" w:eastAsia="Arial" w:hAnsi="Arial"/>
          <w:color w:val="2D2D2D"/>
          <w:sz w:val="19"/>
          <w:szCs w:val="19"/>
        </w:rPr>
        <w:t xml:space="preserve">Require a comprehensive security risk assessment covering all work locations, transportation routes, key subcontractors, and supply chain nodes. Require multi-disciplinary participation including CSP representatives. Require documentation in the project risk register and submission to the project owner within 90 days of the Effective Date. Require annual revalidation and reassessment after significant security events.</w:t>
      </w:r>
    </w:p>
    <w:p>
      <w:pPr>
        <w:pStyle w:val="ListParagraph"/>
        <w:numPr>
          <w:ilvl w:val="0"/>
          <w:numId w:val="2"/>
        </w:numPr>
        <w:spacing w:after="40" w:before="40"/>
      </w:pPr>
      <w:r>
        <w:rPr>
          <w:rFonts w:ascii="Arial" w:cs="Arial" w:eastAsia="Arial" w:hAnsi="Arial"/>
          <w:b/>
          <w:bCs/>
          <w:color w:val="C55A11"/>
          <w:sz w:val="19"/>
          <w:szCs w:val="19"/>
        </w:rPr>
        <w:t xml:space="preserve">[IFC – IFC PS4 §13]  </w:t>
      </w:r>
      <w:r>
        <w:rPr>
          <w:rFonts w:ascii="Arial" w:cs="Arial" w:eastAsia="Arial" w:hAnsi="Arial"/>
          <w:color w:val="2D2D2D"/>
          <w:sz w:val="19"/>
          <w:szCs w:val="19"/>
        </w:rPr>
        <w:t xml:space="preserve">Ensure the security risk assessment explicitly addresses community interface risks and potential human rights issues, consistent with the Voluntary Principles on Security and Human Rights. Consider the risk of communities being adversely affected by security operations.</w:t>
      </w:r>
    </w:p>
    <w:p>
      <w:pPr>
        <w:pStyle w:val="ListParagraph"/>
        <w:numPr>
          <w:ilvl w:val="0"/>
          <w:numId w:val="2"/>
        </w:numPr>
        <w:spacing w:after="40" w:before="40"/>
      </w:pPr>
      <w:r>
        <w:rPr>
          <w:rFonts w:ascii="Arial" w:cs="Arial" w:eastAsia="Arial" w:hAnsi="Arial"/>
          <w:b/>
          <w:bCs/>
          <w:color w:val="1F3864"/>
          <w:sz w:val="19"/>
          <w:szCs w:val="19"/>
        </w:rPr>
        <w:t xml:space="preserve">[RT – RT Group Security Standard]  </w:t>
      </w:r>
      <w:r>
        <w:rPr>
          <w:rFonts w:ascii="Arial" w:cs="Arial" w:eastAsia="Arial" w:hAnsi="Arial"/>
          <w:color w:val="2D2D2D"/>
          <w:sz w:val="19"/>
          <w:szCs w:val="19"/>
        </w:rPr>
        <w:t xml:space="preserve">Consult the RT Group Security Standard to determine the site security risk classification and additional requirements applicable to the classification.</w:t>
      </w:r>
    </w:p>
    <w:p>
      <w:pPr>
        <w:pStyle w:val="Heading2"/>
        <w:spacing w:after="60" w:before="240"/>
      </w:pPr>
      <w:r>
        <w:rPr>
          <w:rFonts w:ascii="Arial" w:cs="Arial" w:eastAsia="Arial" w:hAnsi="Arial"/>
          <w:b/>
          <w:bCs/>
          <w:color w:val="2E75B6"/>
          <w:sz w:val="22"/>
          <w:szCs w:val="22"/>
        </w:rPr>
        <w:t xml:space="preserve">Site Security Management Plan</w:t>
      </w:r>
    </w:p>
    <w:p>
      <w:pPr>
        <w:pStyle w:val="ListParagraph"/>
        <w:numPr>
          <w:ilvl w:val="0"/>
          <w:numId w:val="2"/>
        </w:numPr>
        <w:spacing w:after="40" w:before="40"/>
      </w:pPr>
      <w:r>
        <w:rPr>
          <w:rFonts w:ascii="Arial" w:cs="Arial" w:eastAsia="Arial" w:hAnsi="Arial"/>
          <w:b/>
          <w:bCs/>
          <w:color w:val="375623"/>
          <w:sz w:val="19"/>
          <w:szCs w:val="19"/>
        </w:rPr>
        <w:t xml:space="preserve">[APPC – Appendix C, C-1 §33.2]  </w:t>
      </w:r>
      <w:r>
        <w:rPr>
          <w:rFonts w:ascii="Arial" w:cs="Arial" w:eastAsia="Arial" w:hAnsi="Arial"/>
          <w:color w:val="2D2D2D"/>
          <w:sz w:val="19"/>
          <w:szCs w:val="19"/>
        </w:rPr>
        <w:t xml:space="preserve">Require development of a Site Security Management Plan (SMP) based on risk assessment outcomes, covering identified risks, controls, control owners, and a continuous improvement process. Require submission to the project owner 60 days before commencement of work. Require annual revalidation.</w:t>
      </w:r>
    </w:p>
    <w:p>
      <w:pPr>
        <w:pStyle w:val="Heading2"/>
        <w:spacing w:after="60" w:before="240"/>
      </w:pPr>
      <w:r>
        <w:rPr>
          <w:rFonts w:ascii="Arial" w:cs="Arial" w:eastAsia="Arial" w:hAnsi="Arial"/>
          <w:b/>
          <w:bCs/>
          <w:color w:val="2E75B6"/>
          <w:sz w:val="22"/>
          <w:szCs w:val="22"/>
        </w:rPr>
        <w:t xml:space="preserve">Security Suppliers and Armed Personnel</w:t>
      </w:r>
    </w:p>
    <w:p>
      <w:pPr>
        <w:pStyle w:val="ListParagraph"/>
        <w:numPr>
          <w:ilvl w:val="0"/>
          <w:numId w:val="2"/>
        </w:numPr>
        <w:spacing w:after="40" w:before="40"/>
      </w:pPr>
      <w:r>
        <w:rPr>
          <w:rFonts w:ascii="Arial" w:cs="Arial" w:eastAsia="Arial" w:hAnsi="Arial"/>
          <w:b/>
          <w:bCs/>
          <w:color w:val="375623"/>
          <w:sz w:val="19"/>
          <w:szCs w:val="19"/>
        </w:rPr>
        <w:t xml:space="preserve">[APPC – Appendix C, C-1 §33.3]  </w:t>
      </w:r>
      <w:r>
        <w:rPr>
          <w:rFonts w:ascii="Arial" w:cs="Arial" w:eastAsia="Arial" w:hAnsi="Arial"/>
          <w:color w:val="2D2D2D"/>
          <w:sz w:val="19"/>
          <w:szCs w:val="19"/>
        </w:rPr>
        <w:t xml:space="preserve">Require security suppliers to be legally authorised to provide services in the jurisdiction. Require security personnel to hold appropriate training and licences, with mandatory training on Security and Human Rights per the Voluntary Principles.</w:t>
      </w:r>
    </w:p>
    <w:p>
      <w:pPr>
        <w:pStyle w:val="ListParagraph"/>
        <w:numPr>
          <w:ilvl w:val="0"/>
          <w:numId w:val="2"/>
        </w:numPr>
        <w:spacing w:after="40" w:before="40"/>
      </w:pPr>
      <w:r>
        <w:rPr>
          <w:rFonts w:ascii="Arial" w:cs="Arial" w:eastAsia="Arial" w:hAnsi="Arial"/>
          <w:b/>
          <w:bCs/>
          <w:color w:val="1F3864"/>
          <w:sz w:val="19"/>
          <w:szCs w:val="19"/>
        </w:rPr>
        <w:t xml:space="preserve">[RT – RT Group Security Standard]  </w:t>
      </w:r>
      <w:r>
        <w:rPr>
          <w:rFonts w:ascii="Arial" w:cs="Arial" w:eastAsia="Arial" w:hAnsi="Arial"/>
          <w:color w:val="2D2D2D"/>
          <w:sz w:val="19"/>
          <w:szCs w:val="19"/>
        </w:rPr>
        <w:t xml:space="preserve">Require project owner approval before deployment of any armed personnel. Document the basis for the approval, the nature of the threat requiring armed response, and the controls in place to prevent human rights violations.</w:t>
      </w:r>
    </w:p>
    <w:p>
      <w:pPr>
        <w:pStyle w:val="ListParagraph"/>
        <w:numPr>
          <w:ilvl w:val="0"/>
          <w:numId w:val="2"/>
        </w:numPr>
        <w:spacing w:after="40" w:before="40"/>
      </w:pPr>
      <w:r>
        <w:rPr>
          <w:rFonts w:ascii="Arial" w:cs="Arial" w:eastAsia="Arial" w:hAnsi="Arial"/>
          <w:b/>
          <w:bCs/>
          <w:color w:val="C55A11"/>
          <w:sz w:val="19"/>
          <w:szCs w:val="19"/>
        </w:rPr>
        <w:t xml:space="preserve">[IFC – IFC PS4 §12–14]  </w:t>
      </w:r>
      <w:r>
        <w:rPr>
          <w:rFonts w:ascii="Arial" w:cs="Arial" w:eastAsia="Arial" w:hAnsi="Arial"/>
          <w:color w:val="2D2D2D"/>
          <w:sz w:val="19"/>
          <w:szCs w:val="19"/>
        </w:rPr>
        <w:t xml:space="preserve">Ensure that armed security personnel are engaged only as a last resort after other risk management measures have been assessed and found insufficient, and that their deployment is consistent with the Voluntary Principles.</w:t>
      </w:r>
    </w:p>
    <w:p>
      <w:pPr>
        <w:pStyle w:val="Heading2"/>
        <w:spacing w:after="60" w:before="240"/>
      </w:pPr>
      <w:r>
        <w:rPr>
          <w:rFonts w:ascii="Arial" w:cs="Arial" w:eastAsia="Arial" w:hAnsi="Arial"/>
          <w:b/>
          <w:bCs/>
          <w:color w:val="2E75B6"/>
          <w:sz w:val="22"/>
          <w:szCs w:val="22"/>
        </w:rPr>
        <w:t xml:space="preserve">Training and Incident Management</w:t>
      </w:r>
    </w:p>
    <w:p>
      <w:pPr>
        <w:pStyle w:val="ListParagraph"/>
        <w:numPr>
          <w:ilvl w:val="0"/>
          <w:numId w:val="2"/>
        </w:numPr>
        <w:spacing w:after="40" w:before="40"/>
      </w:pPr>
      <w:r>
        <w:rPr>
          <w:rFonts w:ascii="Arial" w:cs="Arial" w:eastAsia="Arial" w:hAnsi="Arial"/>
          <w:b/>
          <w:bCs/>
          <w:color w:val="375623"/>
          <w:sz w:val="19"/>
          <w:szCs w:val="19"/>
        </w:rPr>
        <w:t xml:space="preserve">[APPC – Appendix C, C-1 §33.6]  </w:t>
      </w:r>
      <w:r>
        <w:rPr>
          <w:rFonts w:ascii="Arial" w:cs="Arial" w:eastAsia="Arial" w:hAnsi="Arial"/>
          <w:color w:val="2D2D2D"/>
          <w:sz w:val="19"/>
          <w:szCs w:val="19"/>
        </w:rPr>
        <w:t xml:space="preserve">Require all security personnel to be trained per the SMP including human rights, ethical practices, and emergency response protocols. Require refresher training after significant changes to security risks.</w:t>
      </w:r>
    </w:p>
    <w:p>
      <w:pPr>
        <w:pStyle w:val="ListParagraph"/>
        <w:numPr>
          <w:ilvl w:val="0"/>
          <w:numId w:val="2"/>
        </w:numPr>
        <w:spacing w:after="40" w:before="40"/>
      </w:pPr>
      <w:r>
        <w:rPr>
          <w:rFonts w:ascii="Arial" w:cs="Arial" w:eastAsia="Arial" w:hAnsi="Arial"/>
          <w:b/>
          <w:bCs/>
          <w:color w:val="375623"/>
          <w:sz w:val="19"/>
          <w:szCs w:val="19"/>
        </w:rPr>
        <w:t xml:space="preserve">[APPC – Appendix C, C-1 §33.5]  </w:t>
      </w:r>
      <w:r>
        <w:rPr>
          <w:rFonts w:ascii="Arial" w:cs="Arial" w:eastAsia="Arial" w:hAnsi="Arial"/>
          <w:color w:val="2D2D2D"/>
          <w:sz w:val="19"/>
          <w:szCs w:val="19"/>
        </w:rPr>
        <w:t xml:space="preserve">Require all security incidents to be recorded, reported, and investigated per the project HSESC Incident Management procedure. Prohibit covert or clandestine information-gathering activities. Require all information collection to be legal and ethical.</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Complete the security risk assessment for this project and insert or reference the completed assessment. This must be submitted to the project owner within 90 days of the Effective Date.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Develop the Site Security Management Plan for this project and insert or reference it as Appendix A. The procedure defines minimum SMP content — the project team develops the plan.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Identify the Site Security Champion for this project by name and position. Insert contact details and define the escalation process to the RT Group Security function.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If security personnel (armed or unarmed) are to be engaged: confirm that the approved security supplier meets all requirements in this procedure before engagement commences.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C-1 §33.1.2]  </w:t>
            </w:r>
            <w:r>
              <w:rPr>
                <w:rFonts w:ascii="Arial" w:cs="Arial" w:eastAsia="Arial" w:hAnsi="Arial"/>
                <w:color w:val="2D2D2D"/>
                <w:sz w:val="19"/>
                <w:szCs w:val="19"/>
              </w:rPr>
              <w:t xml:space="preserve">Require the security risk assessment to include consideration of community interfaces and potential human rights issues, particularly those aligned with the Voluntary Principles on Security and Human Rights.</w:t>
            </w:r>
          </w:p>
          <w:p>
            <w:pPr>
              <w:pStyle w:val="ListParagraph"/>
              <w:numPr>
                <w:ilvl w:val="0"/>
                <w:numId w:val="2"/>
              </w:numPr>
              <w:spacing w:after="40" w:before="40"/>
            </w:pPr>
            <w:r>
              <w:rPr>
                <w:rFonts w:ascii="Arial" w:cs="Arial" w:eastAsia="Arial" w:hAnsi="Arial"/>
                <w:b/>
                <w:bCs/>
                <w:color w:val="375623"/>
                <w:sz w:val="19"/>
                <w:szCs w:val="19"/>
              </w:rPr>
              <w:t xml:space="preserve">[APPC – Appendix C, C-1 §33.1.4]  </w:t>
            </w:r>
            <w:r>
              <w:rPr>
                <w:rFonts w:ascii="Arial" w:cs="Arial" w:eastAsia="Arial" w:hAnsi="Arial"/>
                <w:color w:val="2D2D2D"/>
                <w:sz w:val="19"/>
                <w:szCs w:val="19"/>
              </w:rPr>
              <w:t xml:space="preserve">Require engagement of a multi-disciplinary stakeholder group in the security risk assessment, including representatives from the Community and Social Performance function.</w:t>
            </w:r>
          </w:p>
          <w:p>
            <w:pPr>
              <w:pStyle w:val="ListParagraph"/>
              <w:numPr>
                <w:ilvl w:val="0"/>
                <w:numId w:val="2"/>
              </w:numPr>
              <w:spacing w:after="40" w:before="40"/>
            </w:pPr>
            <w:r>
              <w:rPr>
                <w:rFonts w:ascii="Arial" w:cs="Arial" w:eastAsia="Arial" w:hAnsi="Arial"/>
                <w:b/>
                <w:bCs/>
                <w:color w:val="375623"/>
                <w:sz w:val="19"/>
                <w:szCs w:val="19"/>
              </w:rPr>
              <w:t xml:space="preserve">[APPC – Appendix C, C-1 §33.3.3]  </w:t>
            </w:r>
            <w:r>
              <w:rPr>
                <w:rFonts w:ascii="Arial" w:cs="Arial" w:eastAsia="Arial" w:hAnsi="Arial"/>
                <w:color w:val="2D2D2D"/>
                <w:sz w:val="19"/>
                <w:szCs w:val="19"/>
              </w:rPr>
              <w:t xml:space="preserve">Require that all security personnel are trained and licensed, with mandatory training on security and human rights in accordance with the Voluntary Principles on Security and Human Rights.</w:t>
            </w:r>
          </w:p>
          <w:p>
            <w:pPr>
              <w:pStyle w:val="ListParagraph"/>
              <w:numPr>
                <w:ilvl w:val="0"/>
                <w:numId w:val="2"/>
              </w:numPr>
              <w:spacing w:after="40" w:before="40"/>
            </w:pPr>
            <w:r>
              <w:rPr>
                <w:rFonts w:ascii="Arial" w:cs="Arial" w:eastAsia="Arial" w:hAnsi="Arial"/>
                <w:b/>
                <w:bCs/>
                <w:color w:val="375623"/>
                <w:sz w:val="19"/>
                <w:szCs w:val="19"/>
              </w:rPr>
              <w:t xml:space="preserve">[APPC – Appendix C, C-1 §33.4.1]  </w:t>
            </w:r>
            <w:r>
              <w:rPr>
                <w:rFonts w:ascii="Arial" w:cs="Arial" w:eastAsia="Arial" w:hAnsi="Arial"/>
                <w:color w:val="2D2D2D"/>
                <w:sz w:val="19"/>
                <w:szCs w:val="19"/>
              </w:rPr>
              <w:t xml:space="preserve">Require prior written Company approval before the deployment of any armed security personnel. Deployment must be based on the site security risk assessment and documented with specific authority approval.</w:t>
            </w:r>
          </w:p>
          <w:p>
            <w:r>
              <w:rPr>
                <w:rFonts w:ascii="Arial" w:cs="Arial" w:eastAsia="Arial" w:hAnsi="Arial"/>
                <w:color w:val="3C2A00"/>
                <w:sz w:val="17"/>
                <w:szCs w:val="17"/>
              </w:rPr>
              <w:t xml:space="preserve">Define the project-specific community engagement considerations that affect the security approach (e.g., presence of community members near site, local political context, heritage site proximity).</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Water Quality Protection and Water Management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RTPR-HSE-PRO-0034</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Water quality monitoring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Water abstraction controls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Stormwater and dirty/clean water separation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Discharge limits and treatment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Flooding risk assessment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Water closure planning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(water quality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RTPR-HSE-PRO-0001 – Legal Requirements (water discharge licence conditions)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RTPR-HSE-PRO-0012 – Chemicals (chemical spill to water)</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RTPR-HSE-PRO-0036 – Reactive Mineral Waste (ARD seepage to water)</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RTPR-HSE-PRO-0042 – Monitoring (water quality as environmental monitoring)</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RTPR-HSE-PRO-0036 references RTPR-HSE-PRO-0034 for water quality monitoring near reactive waste</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RTPR-HSE-PRO-0037 references RTPR-HSE-PRO-0034 for stormwater management during rehabilitation</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protecting water quality and managing water resources across all project activities including withdrawal, diversion, storage, use, treatment, and discharge of water. It applies to all project lifecycle phases from construction through closure.</w:t>
      </w:r>
    </w:p>
    <w:p>
      <w:pPr>
        <w:pStyle w:val="Heading2"/>
        <w:spacing w:after="60" w:before="240"/>
      </w:pPr>
      <w:r>
        <w:rPr>
          <w:rFonts w:ascii="Arial" w:cs="Arial" w:eastAsia="Arial" w:hAnsi="Arial"/>
          <w:b/>
          <w:bCs/>
          <w:color w:val="2E75B6"/>
          <w:sz w:val="22"/>
          <w:szCs w:val="22"/>
        </w:rPr>
        <w:t xml:space="preserve">Baseline, Risk Assessment and Planning</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Water Management Standard]  </w:t>
      </w:r>
      <w:r>
        <w:rPr>
          <w:rFonts w:ascii="Arial" w:cs="Arial" w:eastAsia="Arial" w:hAnsi="Arial"/>
          <w:color w:val="2D2D2D"/>
          <w:sz w:val="19"/>
          <w:szCs w:val="19"/>
        </w:rPr>
        <w:t xml:space="preserve">Require baseline characterisation of surface water, groundwater, and water balance conditions before any disturbance. Require water management planning to be informed by a comprehensive impact assessment addressing direct, indirect, and cumulative impacts. Require description of variability and uncertainty in water balance models with a precautionary approach.</w:t>
      </w:r>
    </w:p>
    <w:p>
      <w:pPr>
        <w:pStyle w:val="ListParagraph"/>
        <w:numPr>
          <w:ilvl w:val="0"/>
          <w:numId w:val="2"/>
        </w:numPr>
        <w:spacing w:after="40" w:before="40"/>
      </w:pPr>
      <w:r>
        <w:rPr>
          <w:rFonts w:ascii="Arial" w:cs="Arial" w:eastAsia="Arial" w:hAnsi="Arial"/>
          <w:b/>
          <w:bCs/>
          <w:color w:val="C55A11"/>
          <w:sz w:val="19"/>
          <w:szCs w:val="19"/>
        </w:rPr>
        <w:t xml:space="preserve">[IFC – IFC PS3 §8 and EHS General Guidelines §1.3]  </w:t>
      </w:r>
      <w:r>
        <w:rPr>
          <w:rFonts w:ascii="Arial" w:cs="Arial" w:eastAsia="Arial" w:hAnsi="Arial"/>
          <w:color w:val="2D2D2D"/>
          <w:sz w:val="19"/>
          <w:szCs w:val="19"/>
        </w:rPr>
        <w:t xml:space="preserve">Identify potential sources of water pollution (chemicals, sediment, hazardous materials, process water) and design controls to prevent pollutant pathways to receiving water bodies.</w:t>
      </w:r>
    </w:p>
    <w:p>
      <w:pPr>
        <w:pStyle w:val="ListParagraph"/>
        <w:numPr>
          <w:ilvl w:val="0"/>
          <w:numId w:val="2"/>
        </w:numPr>
        <w:spacing w:after="40" w:before="40"/>
      </w:pPr>
      <w:r>
        <w:rPr>
          <w:rFonts w:ascii="Arial" w:cs="Arial" w:eastAsia="Arial" w:hAnsi="Arial"/>
          <w:b/>
          <w:bCs/>
          <w:color w:val="2F5496"/>
          <w:sz w:val="19"/>
          <w:szCs w:val="19"/>
        </w:rPr>
        <w:t xml:space="preserve">[TSM – TSM – Water Stewardship Protocol, Indicator WS1]  </w:t>
      </w:r>
      <w:r>
        <w:rPr>
          <w:rFonts w:ascii="Arial" w:cs="Arial" w:eastAsia="Arial" w:hAnsi="Arial"/>
          <w:color w:val="2D2D2D"/>
          <w:sz w:val="19"/>
          <w:szCs w:val="19"/>
        </w:rPr>
        <w:t xml:space="preserve">Implement a site water balance to understand project water sources, uses, and discharges, and use it as a basis for water efficiency planning and risk management.</w:t>
      </w:r>
    </w:p>
    <w:p>
      <w:pPr>
        <w:pStyle w:val="Heading2"/>
        <w:spacing w:after="60" w:before="240"/>
      </w:pPr>
      <w:r>
        <w:rPr>
          <w:rFonts w:ascii="Arial" w:cs="Arial" w:eastAsia="Arial" w:hAnsi="Arial"/>
          <w:b/>
          <w:bCs/>
          <w:color w:val="2E75B6"/>
          <w:sz w:val="22"/>
          <w:szCs w:val="22"/>
        </w:rPr>
        <w:t xml:space="preserve">Water Supply and Abstraction</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Water Management Standard]  </w:t>
      </w:r>
      <w:r>
        <w:rPr>
          <w:rFonts w:ascii="Arial" w:cs="Arial" w:eastAsia="Arial" w:hAnsi="Arial"/>
          <w:color w:val="2D2D2D"/>
          <w:sz w:val="19"/>
          <w:szCs w:val="19"/>
        </w:rPr>
        <w:t xml:space="preserve">Demonstrate water supply security and document how water use and dewatering efficiency have been optimised. Require use of the lowest acceptable quality water supplies. Require controls to maintain environmental flows, levels, and quality within acceptable ranges. Require engagement with other water users in the catchment.</w:t>
      </w:r>
    </w:p>
    <w:p>
      <w:pPr>
        <w:pStyle w:val="ListParagraph"/>
        <w:numPr>
          <w:ilvl w:val="0"/>
          <w:numId w:val="2"/>
        </w:numPr>
        <w:spacing w:after="40" w:before="40"/>
      </w:pPr>
      <w:r>
        <w:rPr>
          <w:rFonts w:ascii="Arial" w:cs="Arial" w:eastAsia="Arial" w:hAnsi="Arial"/>
          <w:b/>
          <w:bCs/>
          <w:color w:val="2F5496"/>
          <w:sz w:val="19"/>
          <w:szCs w:val="19"/>
        </w:rPr>
        <w:t xml:space="preserve">[TSM – TSM – Water Stewardship Protocol, Indicator WS2]  </w:t>
      </w:r>
      <w:r>
        <w:rPr>
          <w:rFonts w:ascii="Arial" w:cs="Arial" w:eastAsia="Arial" w:hAnsi="Arial"/>
          <w:color w:val="2D2D2D"/>
          <w:sz w:val="19"/>
          <w:szCs w:val="19"/>
        </w:rPr>
        <w:t xml:space="preserve">Implement water use reduction and efficiency measures, track water abstraction volumes, and set targets for reducing environmental water withdrawals.</w:t>
      </w:r>
    </w:p>
    <w:p>
      <w:pPr>
        <w:pStyle w:val="Heading2"/>
        <w:spacing w:after="60" w:before="240"/>
      </w:pPr>
      <w:r>
        <w:rPr>
          <w:rFonts w:ascii="Arial" w:cs="Arial" w:eastAsia="Arial" w:hAnsi="Arial"/>
          <w:b/>
          <w:bCs/>
          <w:color w:val="2E75B6"/>
          <w:sz w:val="22"/>
          <w:szCs w:val="22"/>
        </w:rPr>
        <w:t xml:space="preserve">Stormwater and Pollution Prevention</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Water Management Standard]  </w:t>
      </w:r>
      <w:r>
        <w:rPr>
          <w:rFonts w:ascii="Arial" w:cs="Arial" w:eastAsia="Arial" w:hAnsi="Arial"/>
          <w:color w:val="2D2D2D"/>
          <w:sz w:val="19"/>
          <w:szCs w:val="19"/>
        </w:rPr>
        <w:t xml:space="preserve">Require maximisation of diversion of clean (uncontacted) water around project disturbance areas. Define stormwater management requirements including diversion drains, sediment controls, clean/dirty water separation, and sedimentation pond design.</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§1.3]  </w:t>
      </w:r>
      <w:r>
        <w:rPr>
          <w:rFonts w:ascii="Arial" w:cs="Arial" w:eastAsia="Arial" w:hAnsi="Arial"/>
          <w:color w:val="2D2D2D"/>
          <w:sz w:val="19"/>
          <w:szCs w:val="19"/>
        </w:rPr>
        <w:t xml:space="preserve">Design and manage stormwater controls to prevent sediment and pollutant runoff reaching waterways or groundwater, including erosion and sediment control plans reviewed and updated seasonally.</w:t>
      </w:r>
    </w:p>
    <w:p>
      <w:pPr>
        <w:pStyle w:val="Heading2"/>
        <w:spacing w:after="60" w:before="240"/>
      </w:pPr>
      <w:r>
        <w:rPr>
          <w:rFonts w:ascii="Arial" w:cs="Arial" w:eastAsia="Arial" w:hAnsi="Arial"/>
          <w:b/>
          <w:bCs/>
          <w:color w:val="2E75B6"/>
          <w:sz w:val="22"/>
          <w:szCs w:val="22"/>
        </w:rPr>
        <w:t xml:space="preserve">Discharge and Treatment</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Water Management Standard]  </w:t>
      </w:r>
      <w:r>
        <w:rPr>
          <w:rFonts w:ascii="Arial" w:cs="Arial" w:eastAsia="Arial" w:hAnsi="Arial"/>
          <w:color w:val="2D2D2D"/>
          <w:sz w:val="19"/>
          <w:szCs w:val="19"/>
        </w:rPr>
        <w:t xml:space="preserve">Require compliance with approved discharge locations and water quality limits. Define treatment requirements where quality limits cannot be met without treatment.</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§1.3 and §2.9]  </w:t>
      </w:r>
      <w:r>
        <w:rPr>
          <w:rFonts w:ascii="Arial" w:cs="Arial" w:eastAsia="Arial" w:hAnsi="Arial"/>
          <w:color w:val="2D2D2D"/>
          <w:sz w:val="19"/>
          <w:szCs w:val="19"/>
        </w:rPr>
        <w:t xml:space="preserve">Define water quality monitoring parameters, locations, frequency, and QA/QC requirements. Define trigger levels and escalation actions for water quality exceedances.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site-specific water quality performance criteria for each discharge point and receiving water body based on water quality baseline data, applicable licence conditions, and ecologically relevant standards — to be established with input from a qualified environmental specialist before discharge activities commence.</w:t>
      </w:r>
    </w:p>
    <w:p>
      <w:pPr>
        <w:pStyle w:val="Heading2"/>
        <w:spacing w:after="60" w:before="240"/>
      </w:pPr>
      <w:r>
        <w:rPr>
          <w:rFonts w:ascii="Arial" w:cs="Arial" w:eastAsia="Arial" w:hAnsi="Arial"/>
          <w:b/>
          <w:bCs/>
          <w:color w:val="2E75B6"/>
          <w:sz w:val="22"/>
          <w:szCs w:val="22"/>
        </w:rPr>
        <w:t xml:space="preserve">Flooding and Closure</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Water Management Standard]  </w:t>
      </w:r>
      <w:r>
        <w:rPr>
          <w:rFonts w:ascii="Arial" w:cs="Arial" w:eastAsia="Arial" w:hAnsi="Arial"/>
          <w:color w:val="2D2D2D"/>
          <w:sz w:val="19"/>
          <w:szCs w:val="19"/>
        </w:rPr>
        <w:t xml:space="preserve">Define flooding characteristics for the site under current and future climate change conditions and minimise development within the floodplain or mitigate risk through infrastructure.</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Water Management Standard]  </w:t>
      </w:r>
      <w:r>
        <w:rPr>
          <w:rFonts w:ascii="Arial" w:cs="Arial" w:eastAsia="Arial" w:hAnsi="Arial"/>
          <w:color w:val="2D2D2D"/>
          <w:sz w:val="19"/>
          <w:szCs w:val="19"/>
        </w:rPr>
        <w:t xml:space="preserve">Require closure plans to minimise legacy water management obligations and on-going active water management requirements post-closure.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Insert the baseline water quality data for this project (or reference the baseline report). The procedure requires baseline characterisation — this is a pre-disturbance deliverable.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project-specific water quality performance criteria for each discharge point and receiving water body. These must be set in consultation with a qualified environmental specialist and must be consistent with applicable permit conditions.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water balance model and document the assumptions, uncertainty ranges, and the monitoring programme that validates the model over time.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Trigger Action Response Plan (TARP) for water quality exceedances: what parameter; what trigger level; what action; who is notified. Insert as a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C-4 §84.0.2.1]  </w:t>
            </w:r>
            <w:r>
              <w:rPr>
                <w:rFonts w:ascii="Arial" w:cs="Arial" w:eastAsia="Arial" w:hAnsi="Arial"/>
                <w:color w:val="2D2D2D"/>
                <w:sz w:val="19"/>
                <w:szCs w:val="19"/>
              </w:rPr>
              <w:t xml:space="preserve">Require that all environmental approvals, permits, authorisations, and notifications are obtained prior to commencing on-site activities. No work may commence in any area until all required approvals are confirmed in writing.</w:t>
            </w:r>
          </w:p>
          <w:p>
            <w:pPr>
              <w:pStyle w:val="ListParagraph"/>
              <w:numPr>
                <w:ilvl w:val="0"/>
                <w:numId w:val="2"/>
              </w:numPr>
              <w:spacing w:after="40" w:before="40"/>
            </w:pPr>
            <w:r>
              <w:rPr>
                <w:rFonts w:ascii="Arial" w:cs="Arial" w:eastAsia="Arial" w:hAnsi="Arial"/>
                <w:b/>
                <w:bCs/>
                <w:color w:val="375623"/>
                <w:sz w:val="19"/>
                <w:szCs w:val="19"/>
              </w:rPr>
              <w:t xml:space="preserve">[APPC – Appendix C, C-4 §92.1.1.7]  </w:t>
            </w:r>
            <w:r>
              <w:rPr>
                <w:rFonts w:ascii="Arial" w:cs="Arial" w:eastAsia="Arial" w:hAnsi="Arial"/>
                <w:color w:val="2D2D2D"/>
                <w:sz w:val="19"/>
                <w:szCs w:val="19"/>
              </w:rPr>
              <w:t xml:space="preserve">Require that no water is released or pumped off-site without Company approval. All off-site water releases must comply with legal requirements and be documented with results reported to the Company.</w:t>
            </w:r>
          </w:p>
          <w:p>
            <w:pPr>
              <w:pStyle w:val="ListParagraph"/>
              <w:numPr>
                <w:ilvl w:val="0"/>
                <w:numId w:val="2"/>
              </w:numPr>
              <w:spacing w:after="40" w:before="40"/>
            </w:pPr>
            <w:r>
              <w:rPr>
                <w:rFonts w:ascii="Arial" w:cs="Arial" w:eastAsia="Arial" w:hAnsi="Arial"/>
                <w:b/>
                <w:bCs/>
                <w:color w:val="375623"/>
                <w:sz w:val="19"/>
                <w:szCs w:val="19"/>
              </w:rPr>
              <w:t xml:space="preserve">[APPC – Appendix C, C-4 §92.1.2.7]  </w:t>
            </w:r>
            <w:r>
              <w:rPr>
                <w:rFonts w:ascii="Arial" w:cs="Arial" w:eastAsia="Arial" w:hAnsi="Arial"/>
                <w:color w:val="2D2D2D"/>
                <w:sz w:val="19"/>
                <w:szCs w:val="19"/>
              </w:rPr>
              <w:t xml:space="preserve">Require submission of a Water Discharge Management Plan as a project deliverable, describing how water will be managed and discharged across the project area including drainage systems, sediment control structures, and all discharge points.</w:t>
            </w:r>
          </w:p>
          <w:p>
            <w:r>
              <w:rPr>
                <w:rFonts w:ascii="Arial" w:cs="Arial" w:eastAsia="Arial" w:hAnsi="Arial"/>
                <w:color w:val="3C2A00"/>
                <w:sz w:val="17"/>
                <w:szCs w:val="17"/>
              </w:rPr>
              <w:t xml:space="preserve">Define flooding characteristics for this project location (100-year and 1000-year flood extents) and document how the project footprint relates to the floodplain.</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Air Quality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RTPR-HSE-PRO-0035</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Emission inventory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Dispersion modelling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Dust suppression control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Community noise limits and management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Air quality monitoring programme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Associated stressors (light, vibration, odour) management</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RTPR-HSE-PRO-0001 – Legal Requirements (air quality licence conditions)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(air quality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RTPR-HSE-PRO-0013 – Noise (occupational noise — community noise is here)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RTPR-HSE-PRO-0042 – Monitoring (air quality as environmental monitoring)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RTPR-HSE-PRO-0039 – Waste Control (emissions from waste management)</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managing air quality impacts from project activities including particulate and gaseous emissions, dust, and associated stressors (noise, vibration, light, odour) that may affect worker health and surrounding communities.</w:t>
      </w:r>
    </w:p>
    <w:p>
      <w:pPr>
        <w:pStyle w:val="Heading2"/>
        <w:spacing w:after="60" w:before="240"/>
      </w:pPr>
      <w:r>
        <w:rPr>
          <w:rFonts w:ascii="Arial" w:cs="Arial" w:eastAsia="Arial" w:hAnsi="Arial"/>
          <w:b/>
          <w:bCs/>
          <w:color w:val="2E75B6"/>
          <w:sz w:val="22"/>
          <w:szCs w:val="22"/>
        </w:rPr>
        <w:t xml:space="preserve">Emission Inventory and Baseline</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Air Quality Standard]  </w:t>
      </w:r>
      <w:r>
        <w:rPr>
          <w:rFonts w:ascii="Arial" w:cs="Arial" w:eastAsia="Arial" w:hAnsi="Arial"/>
          <w:color w:val="2D2D2D"/>
          <w:sz w:val="19"/>
          <w:szCs w:val="19"/>
        </w:rPr>
        <w:t xml:space="preserve">Require development and maintenance of emission inventories for all significant air emission sources. Require dispersion modelling to predict air quality impacts at sensitive receptors. Require monitoring networks sufficient to verify performance criteria and compliance obligations.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§1.1 and §3.1]  </w:t>
      </w:r>
      <w:r>
        <w:rPr>
          <w:rFonts w:ascii="Arial" w:cs="Arial" w:eastAsia="Arial" w:hAnsi="Arial"/>
          <w:color w:val="2D2D2D"/>
          <w:sz w:val="19"/>
          <w:szCs w:val="19"/>
        </w:rPr>
        <w:t xml:space="preserve">Conduct an air quality impact assessment as part of the project environmental assessment, identifying significant sources and receptors, and setting performance criteria based on WHO air quality guidelines or applicable national standards (whichever is more stringent).</w:t>
      </w:r>
    </w:p>
    <w:p>
      <w:pPr>
        <w:pStyle w:val="Heading2"/>
        <w:spacing w:after="60" w:before="240"/>
      </w:pPr>
      <w:r>
        <w:rPr>
          <w:rFonts w:ascii="Arial" w:cs="Arial" w:eastAsia="Arial" w:hAnsi="Arial"/>
          <w:b/>
          <w:bCs/>
          <w:color w:val="2E75B6"/>
          <w:sz w:val="22"/>
          <w:szCs w:val="22"/>
        </w:rPr>
        <w:t xml:space="preserve">Emission Controls</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Air Quality Standard]  </w:t>
      </w:r>
      <w:r>
        <w:rPr>
          <w:rFonts w:ascii="Arial" w:cs="Arial" w:eastAsia="Arial" w:hAnsi="Arial"/>
          <w:color w:val="2D2D2D"/>
          <w:sz w:val="19"/>
          <w:szCs w:val="19"/>
        </w:rPr>
        <w:t xml:space="preserve">Require facility and equipment controls to minimise particulate, gas, and other emissions to the lowest practicable level, applying the control hierarchy: prevent at source; minimise through design and operation; treat before release; supplementary controls as last resort.</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§1.1]  </w:t>
      </w:r>
      <w:r>
        <w:rPr>
          <w:rFonts w:ascii="Arial" w:cs="Arial" w:eastAsia="Arial" w:hAnsi="Arial"/>
          <w:color w:val="2D2D2D"/>
          <w:sz w:val="19"/>
          <w:szCs w:val="19"/>
        </w:rPr>
        <w:t xml:space="preserve">Define specific dust suppression controls (road watering, chemical suppressants, vehicle speed limits, load covers, water sprays on haul roads) and review their effectiveness at defined intervals.</w:t>
      </w:r>
    </w:p>
    <w:p>
      <w:pPr>
        <w:pStyle w:val="Heading2"/>
        <w:spacing w:after="60" w:before="240"/>
      </w:pPr>
      <w:r>
        <w:rPr>
          <w:rFonts w:ascii="Arial" w:cs="Arial" w:eastAsia="Arial" w:hAnsi="Arial"/>
          <w:b/>
          <w:bCs/>
          <w:color w:val="2E75B6"/>
          <w:sz w:val="22"/>
          <w:szCs w:val="22"/>
        </w:rPr>
        <w:t xml:space="preserve">Stressors — Noise, Vibration, Light and Odour</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Air Quality Standard]  </w:t>
      </w:r>
      <w:r>
        <w:rPr>
          <w:rFonts w:ascii="Arial" w:cs="Arial" w:eastAsia="Arial" w:hAnsi="Arial"/>
          <w:color w:val="2D2D2D"/>
          <w:sz w:val="19"/>
          <w:szCs w:val="19"/>
        </w:rPr>
        <w:t xml:space="preserve">Document associated stressor impacts (light, noise, odour, vibration) following risk and impact assessment considering effects on ecosystems, human health, and community wellbeing. Define controls and performance criteria for each stressor.</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§1.7]  </w:t>
      </w:r>
      <w:r>
        <w:rPr>
          <w:rFonts w:ascii="Arial" w:cs="Arial" w:eastAsia="Arial" w:hAnsi="Arial"/>
          <w:color w:val="2D2D2D"/>
          <w:sz w:val="19"/>
          <w:szCs w:val="19"/>
        </w:rPr>
        <w:t xml:space="preserve">Manage community noise and vibration to meet WHO guidelines and applicable national standards. Implement a community complaint monitoring system for air quality and stressor impacts.</w:t>
      </w:r>
    </w:p>
    <w:p>
      <w:pPr>
        <w:pStyle w:val="Heading2"/>
        <w:spacing w:after="60" w:before="240"/>
      </w:pPr>
      <w:r>
        <w:rPr>
          <w:rFonts w:ascii="Arial" w:cs="Arial" w:eastAsia="Arial" w:hAnsi="Arial"/>
          <w:b/>
          <w:bCs/>
          <w:color w:val="2E75B6"/>
          <w:sz w:val="22"/>
          <w:szCs w:val="22"/>
        </w:rPr>
        <w:t xml:space="preserve">Monitoring and Reporting</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Air Quality Standard]  </w:t>
      </w:r>
      <w:r>
        <w:rPr>
          <w:rFonts w:ascii="Arial" w:cs="Arial" w:eastAsia="Arial" w:hAnsi="Arial"/>
          <w:color w:val="2D2D2D"/>
          <w:sz w:val="19"/>
          <w:szCs w:val="19"/>
        </w:rPr>
        <w:t xml:space="preserve">Document model assumptions, uncertainty ranges, monitoring exceedances, incidents, and corrective actions. Report air quality performance to internal stakeholders annually and to external stakeholders where required.</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§1.1 and §2.9]  </w:t>
      </w:r>
      <w:r>
        <w:rPr>
          <w:rFonts w:ascii="Arial" w:cs="Arial" w:eastAsia="Arial" w:hAnsi="Arial"/>
          <w:color w:val="2D2D2D"/>
          <w:sz w:val="19"/>
          <w:szCs w:val="19"/>
        </w:rPr>
        <w:t xml:space="preserve">Define air quality monitoring trigger levels and adaptive management responses for exceedances, including escalation actions and community notification thresholds.</w:t>
      </w:r>
    </w:p>
    <w:p>
      <w:pPr>
        <w:pStyle w:val="ListParagraph"/>
        <w:numPr>
          <w:ilvl w:val="0"/>
          <w:numId w:val="2"/>
        </w:numPr>
        <w:spacing w:after="40" w:before="40"/>
      </w:pPr>
      <w:r>
        <w:rPr>
          <w:rFonts w:ascii="Arial" w:cs="Arial" w:eastAsia="Arial" w:hAnsi="Arial"/>
          <w:b/>
          <w:bCs/>
          <w:color w:val="2F5496"/>
          <w:sz w:val="19"/>
          <w:szCs w:val="19"/>
        </w:rPr>
        <w:t xml:space="preserve">[TSM – TSM – Climate Change Protocol]  </w:t>
      </w:r>
      <w:r>
        <w:rPr>
          <w:rFonts w:ascii="Arial" w:cs="Arial" w:eastAsia="Arial" w:hAnsi="Arial"/>
          <w:color w:val="2D2D2D"/>
          <w:sz w:val="19"/>
          <w:szCs w:val="19"/>
        </w:rPr>
        <w:t xml:space="preserve">Consider cumulative and climate-related contributions to local airshed conditions in emission assessments and planning documents.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Develop the project emission inventory before construction commences: identify all significant emission sources (crushing, blasting, haul roads, plant stack emissions) and insert or reference the inventory.</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air quality monitoring network: monitoring locations; parameters; measurement frequency; equipment types. Insert as a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community noise limits based on applicable permit conditions and community agreements. Insert the project-specific limits by time period (day/evening/night) and by sensitive receptor.</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TARP for air quality exceedances: trigger levels for PM10, PM2.5, and other relevant parameters; escalation actions; notification requirements. Insert as a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C-4 §92.2.4]  </w:t>
            </w:r>
            <w:r>
              <w:rPr>
                <w:rFonts w:ascii="Arial" w:cs="Arial" w:eastAsia="Arial" w:hAnsi="Arial"/>
                <w:color w:val="2D2D2D"/>
                <w:sz w:val="19"/>
                <w:szCs w:val="19"/>
              </w:rPr>
              <w:t xml:space="preserve">Upon request of the Company, install and operate real-time or depositional-type dust or emission monitoring systems. Monitoring data and reports must be provided to the Company upon request.</w:t>
            </w:r>
          </w:p>
          <w:p>
            <w:pPr>
              <w:pStyle w:val="ListParagraph"/>
              <w:numPr>
                <w:ilvl w:val="0"/>
                <w:numId w:val="2"/>
              </w:numPr>
              <w:spacing w:after="40" w:before="40"/>
            </w:pPr>
            <w:r>
              <w:rPr>
                <w:rFonts w:ascii="Arial" w:cs="Arial" w:eastAsia="Arial" w:hAnsi="Arial"/>
                <w:b/>
                <w:bCs/>
                <w:color w:val="375623"/>
                <w:sz w:val="19"/>
                <w:szCs w:val="19"/>
              </w:rPr>
              <w:t xml:space="preserve">[APPC – Appendix C, C-4 §92.2.6]  </w:t>
            </w:r>
            <w:r>
              <w:rPr>
                <w:rFonts w:ascii="Arial" w:cs="Arial" w:eastAsia="Arial" w:hAnsi="Arial"/>
                <w:color w:val="2D2D2D"/>
                <w:sz w:val="19"/>
                <w:szCs w:val="19"/>
              </w:rPr>
              <w:t xml:space="preserve">Allow for potential to temporarily stop work or relocate activities if directed by the Company in response to predicted adverse weather conditions or monitoring result exceedances.</w:t>
            </w:r>
          </w:p>
          <w:p>
            <w:pPr>
              <w:pStyle w:val="ListParagraph"/>
              <w:numPr>
                <w:ilvl w:val="0"/>
                <w:numId w:val="2"/>
              </w:numPr>
              <w:spacing w:after="40" w:before="40"/>
            </w:pPr>
            <w:r>
              <w:rPr>
                <w:rFonts w:ascii="Arial" w:cs="Arial" w:eastAsia="Arial" w:hAnsi="Arial"/>
                <w:b/>
                <w:bCs/>
                <w:color w:val="375623"/>
                <w:sz w:val="19"/>
                <w:szCs w:val="19"/>
              </w:rPr>
              <w:t xml:space="preserve">[APPC – Appendix C, C-4 §92.2.8]  </w:t>
            </w:r>
            <w:r>
              <w:rPr>
                <w:rFonts w:ascii="Arial" w:cs="Arial" w:eastAsia="Arial" w:hAnsi="Arial"/>
                <w:color w:val="2D2D2D"/>
                <w:sz w:val="19"/>
                <w:szCs w:val="19"/>
              </w:rPr>
              <w:t xml:space="preserve">Require active identification, assessment, and reporting of greenhouse gas emission reduction and energy efficiency opportunities identified in relation to the Works or its execution.</w:t>
            </w:r>
          </w:p>
          <w:p>
            <w:r>
              <w:rPr>
                <w:rFonts w:ascii="Arial" w:cs="Arial" w:eastAsia="Arial" w:hAnsi="Arial"/>
                <w:color w:val="3C2A00"/>
                <w:sz w:val="17"/>
                <w:szCs w:val="17"/>
              </w:rPr>
              <w:t xml:space="preserve">Define project-specific dust suppression controls for each dust-generating activity type (e.g., haul road watering frequency, load cover requirements, speed limits by road type).</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Chemically Reactive Mineral Waste Control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RTPR-HSE-PRO-0036</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Reactive mineral waste characterisation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ARD classification methodology</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Segregation requirements for reactive vs non-reactive material</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Leachate and seepage monitoring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Reactive waste closure design criteria</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(ARD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RTPR-HSE-PRO-0034 – Water Quality (water quality monitoring near reactive waste)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RTPR-HSE-PRO-0039 – Waste Control (waste classification and disposal)</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RTPR-HSE-PRO-0037 – Land Disturbance (waste landform rehabilitation)</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RTPR-HSE-PRO-0042 – Monitoring (geochemical monitoring programme)</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RTPR-HSE-PRO-0037 references RTPR-HSE-PRO-0036 for reactive waste landform rehabilitation design</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managing chemically reactive mineral wastes — including acid rock drainage (ARD), metalliferous drainage, and other reactive tailings or waste rock — to prevent environmental contamination, protect receiving water bodies, and safeguard human health.</w:t>
      </w:r>
    </w:p>
    <w:p>
      <w:pPr>
        <w:pStyle w:val="Heading2"/>
        <w:spacing w:after="60" w:before="240"/>
      </w:pPr>
      <w:r>
        <w:rPr>
          <w:rFonts w:ascii="Arial" w:cs="Arial" w:eastAsia="Arial" w:hAnsi="Arial"/>
          <w:b/>
          <w:bCs/>
          <w:color w:val="2E75B6"/>
          <w:sz w:val="22"/>
          <w:szCs w:val="22"/>
        </w:rPr>
        <w:t xml:space="preserve">Waste Characterisation</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Materials &amp; Waste Standard]  </w:t>
      </w:r>
      <w:r>
        <w:rPr>
          <w:rFonts w:ascii="Arial" w:cs="Arial" w:eastAsia="Arial" w:hAnsi="Arial"/>
          <w:color w:val="2D2D2D"/>
          <w:sz w:val="19"/>
          <w:szCs w:val="19"/>
        </w:rPr>
        <w:t xml:space="preserve">Require geochemical characterisation of all waste rock and tailings to identify reactive materials using Acid-Base Accounting (ABA) and kinetic testing where required. Require classification of all waste material into reactive and non-reactive streams before disposal decisions are made.</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§1.5]  </w:t>
      </w:r>
      <w:r>
        <w:rPr>
          <w:rFonts w:ascii="Arial" w:cs="Arial" w:eastAsia="Arial" w:hAnsi="Arial"/>
          <w:color w:val="2D2D2D"/>
          <w:sz w:val="19"/>
          <w:szCs w:val="19"/>
        </w:rPr>
        <w:t xml:space="preserve">Conduct a comprehensive waste characterisation programme to identify potentially hazardous materials and set the basis for waste management design.</w:t>
      </w:r>
    </w:p>
    <w:p>
      <w:pPr>
        <w:pStyle w:val="ListParagraph"/>
        <w:numPr>
          <w:ilvl w:val="0"/>
          <w:numId w:val="2"/>
        </w:numPr>
        <w:spacing w:after="40" w:before="40"/>
      </w:pPr>
      <w:r>
        <w:rPr>
          <w:rFonts w:ascii="Arial" w:cs="Arial" w:eastAsia="Arial" w:hAnsi="Arial"/>
          <w:b/>
          <w:bCs/>
          <w:color w:val="2F5496"/>
          <w:sz w:val="19"/>
          <w:szCs w:val="19"/>
        </w:rPr>
        <w:t xml:space="preserve">[TSM – TSM – Tailings Management Protocol, Indicator TM2]  </w:t>
      </w:r>
      <w:r>
        <w:rPr>
          <w:rFonts w:ascii="Arial" w:cs="Arial" w:eastAsia="Arial" w:hAnsi="Arial"/>
          <w:color w:val="2D2D2D"/>
          <w:sz w:val="19"/>
          <w:szCs w:val="19"/>
        </w:rPr>
        <w:t xml:space="preserve">Implement site-specific tailings management systems that address geochemical characterisation of tailings and ARD potential as a core component of the tailings facility management plan.</w:t>
      </w:r>
    </w:p>
    <w:p>
      <w:pPr>
        <w:pStyle w:val="Heading2"/>
        <w:spacing w:after="60" w:before="240"/>
      </w:pPr>
      <w:r>
        <w:rPr>
          <w:rFonts w:ascii="Arial" w:cs="Arial" w:eastAsia="Arial" w:hAnsi="Arial"/>
          <w:b/>
          <w:bCs/>
          <w:color w:val="2E75B6"/>
          <w:sz w:val="22"/>
          <w:szCs w:val="22"/>
        </w:rPr>
        <w:t xml:space="preserve">Segregation, Management and Containment</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Materials &amp; Waste Standard]  </w:t>
      </w:r>
      <w:r>
        <w:rPr>
          <w:rFonts w:ascii="Arial" w:cs="Arial" w:eastAsia="Arial" w:hAnsi="Arial"/>
          <w:color w:val="2D2D2D"/>
          <w:sz w:val="19"/>
          <w:szCs w:val="19"/>
        </w:rPr>
        <w:t xml:space="preserve">Require segregation of reactive and non-reactive waste materials. Define encapsulation, co-disposal, or neutralisation requirements for reactive materials based on the geochemical characterisation. Document segregation plans and disposal locations in the waste register.</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§1.5]  </w:t>
      </w:r>
      <w:r>
        <w:rPr>
          <w:rFonts w:ascii="Arial" w:cs="Arial" w:eastAsia="Arial" w:hAnsi="Arial"/>
          <w:color w:val="2D2D2D"/>
          <w:sz w:val="19"/>
          <w:szCs w:val="19"/>
        </w:rPr>
        <w:t xml:space="preserve">Design waste containment facilities to prevent seepage reaching sensitive environmental receptors, and implement engineering controls (covers, liners, water diversion) appropriate to the waste class.</w:t>
      </w:r>
    </w:p>
    <w:p>
      <w:pPr>
        <w:pStyle w:val="ListParagraph"/>
        <w:numPr>
          <w:ilvl w:val="0"/>
          <w:numId w:val="2"/>
        </w:numPr>
        <w:spacing w:after="40" w:before="40"/>
      </w:pPr>
      <w:r>
        <w:rPr>
          <w:rFonts w:ascii="Arial" w:cs="Arial" w:eastAsia="Arial" w:hAnsi="Arial"/>
          <w:b/>
          <w:bCs/>
          <w:color w:val="7030A0"/>
          <w:sz w:val="19"/>
          <w:szCs w:val="19"/>
        </w:rPr>
        <w:t xml:space="preserve">[ICMM – ICMM – Position Statement on Mining and Protected Areas / Tailings]  </w:t>
      </w:r>
      <w:r>
        <w:rPr>
          <w:rFonts w:ascii="Arial" w:cs="Arial" w:eastAsia="Arial" w:hAnsi="Arial"/>
          <w:color w:val="2D2D2D"/>
          <w:sz w:val="19"/>
          <w:szCs w:val="19"/>
        </w:rPr>
        <w:t xml:space="preserve">Manage chemically reactive mineral waste in accordance with the Global Industry Standard on Tailings Management (GISTM) where it applies to the specific tailings facility.</w:t>
      </w:r>
    </w:p>
    <w:p>
      <w:pPr>
        <w:pStyle w:val="Heading2"/>
        <w:spacing w:after="60" w:before="240"/>
      </w:pPr>
      <w:r>
        <w:rPr>
          <w:rFonts w:ascii="Arial" w:cs="Arial" w:eastAsia="Arial" w:hAnsi="Arial"/>
          <w:b/>
          <w:bCs/>
          <w:color w:val="2E75B6"/>
          <w:sz w:val="22"/>
          <w:szCs w:val="22"/>
        </w:rPr>
        <w:t xml:space="preserve">Monitoring, Reporting and Closure</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Water Management Standard]  </w:t>
      </w:r>
      <w:r>
        <w:rPr>
          <w:rFonts w:ascii="Arial" w:cs="Arial" w:eastAsia="Arial" w:hAnsi="Arial"/>
          <w:color w:val="2D2D2D"/>
          <w:sz w:val="19"/>
          <w:szCs w:val="19"/>
        </w:rPr>
        <w:t xml:space="preserve">Define monitoring requirements for leachate, seepage, and receiving water quality downstream of reactive waste storage areas. Define trigger thresholds and adaptive management responses for water quality deterioration.</w:t>
      </w:r>
    </w:p>
    <w:p>
      <w:pPr>
        <w:pStyle w:val="ListParagraph"/>
        <w:numPr>
          <w:ilvl w:val="0"/>
          <w:numId w:val="2"/>
        </w:numPr>
        <w:spacing w:after="40" w:before="40"/>
      </w:pPr>
      <w:r>
        <w:rPr>
          <w:rFonts w:ascii="Arial" w:cs="Arial" w:eastAsia="Arial" w:hAnsi="Arial"/>
          <w:b/>
          <w:bCs/>
          <w:color w:val="2F5496"/>
          <w:sz w:val="19"/>
          <w:szCs w:val="19"/>
        </w:rPr>
        <w:t xml:space="preserve">[TSM – TSM – Tailings Management Protocol, Indicator TM4]  </w:t>
      </w:r>
      <w:r>
        <w:rPr>
          <w:rFonts w:ascii="Arial" w:cs="Arial" w:eastAsia="Arial" w:hAnsi="Arial"/>
          <w:color w:val="2D2D2D"/>
          <w:sz w:val="19"/>
          <w:szCs w:val="19"/>
        </w:rPr>
        <w:t xml:space="preserve">Conduct an annual tailings management review and maintain an Operation, Maintenance and Surveillance (OMS) manual conforming to applicable guidance.</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and document, in consultation with a qualified geochemist, the site-specific water quality triggers for ARD-affected drainage that will initiate emergency response and enhanced controls, and the closure design criteria for reactive waste landforms.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Commission a geochemical characterisation programme for this project's waste rock and tailings before waste disposal decisions are made. The procedure requires this — insert the programme scope and timeline, and reference the results when available.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site-specific water quality triggers for ARD-affected drainage. These must be set in consultation with a qualified geochemist. Insert the trigger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waste segregation plan: where reactive material is placed; how the placement boundary is defined; how workers are informed of segregation requirements.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C-4 §92.3.2]  </w:t>
            </w:r>
            <w:r>
              <w:rPr>
                <w:rFonts w:ascii="Arial" w:cs="Arial" w:eastAsia="Arial" w:hAnsi="Arial"/>
                <w:color w:val="2D2D2D"/>
                <w:sz w:val="19"/>
                <w:szCs w:val="19"/>
              </w:rPr>
              <w:t xml:space="preserve">Require that Works are conducted to minimise overall mineral waste production while maximising recovery of mineral waste types for rehabilitation and closure activities.</w:t>
            </w:r>
          </w:p>
          <w:p>
            <w:pPr>
              <w:pStyle w:val="ListParagraph"/>
              <w:numPr>
                <w:ilvl w:val="0"/>
                <w:numId w:val="2"/>
              </w:numPr>
              <w:spacing w:after="40" w:before="40"/>
            </w:pPr>
            <w:r>
              <w:rPr>
                <w:rFonts w:ascii="Arial" w:cs="Arial" w:eastAsia="Arial" w:hAnsi="Arial"/>
                <w:b/>
                <w:bCs/>
                <w:color w:val="375623"/>
                <w:sz w:val="19"/>
                <w:szCs w:val="19"/>
              </w:rPr>
              <w:t xml:space="preserve">[APPC – Appendix C, C-4 §92.3.5]  </w:t>
            </w:r>
            <w:r>
              <w:rPr>
                <w:rFonts w:ascii="Arial" w:cs="Arial" w:eastAsia="Arial" w:hAnsi="Arial"/>
                <w:color w:val="2D2D2D"/>
                <w:sz w:val="19"/>
                <w:szCs w:val="19"/>
              </w:rPr>
              <w:t xml:space="preserve">Require that adverse impacts related to chemically reactive mineral waste are contained within the Works area and limited to the duration of construction.</w:t>
            </w:r>
          </w:p>
          <w:p>
            <w:pPr>
              <w:pStyle w:val="ListParagraph"/>
              <w:numPr>
                <w:ilvl w:val="0"/>
                <w:numId w:val="2"/>
              </w:numPr>
              <w:spacing w:after="40" w:before="40"/>
            </w:pPr>
            <w:r>
              <w:rPr>
                <w:rFonts w:ascii="Arial" w:cs="Arial" w:eastAsia="Arial" w:hAnsi="Arial"/>
                <w:b/>
                <w:bCs/>
                <w:color w:val="375623"/>
                <w:sz w:val="19"/>
                <w:szCs w:val="19"/>
              </w:rPr>
              <w:t xml:space="preserve">[APPC – Appendix C, C-4 §92.3.7]  </w:t>
            </w:r>
            <w:r>
              <w:rPr>
                <w:rFonts w:ascii="Arial" w:cs="Arial" w:eastAsia="Arial" w:hAnsi="Arial"/>
                <w:color w:val="2D2D2D"/>
                <w:sz w:val="19"/>
                <w:szCs w:val="19"/>
              </w:rPr>
              <w:t xml:space="preserve">Require active management of water movement across the Works area to prevent contamination through chemically reactive mineral waste. Controls must be in place before waste rock movement commences.</w:t>
            </w:r>
          </w:p>
          <w:p>
            <w:r>
              <w:rPr>
                <w:rFonts w:ascii="Arial" w:cs="Arial" w:eastAsia="Arial" w:hAnsi="Arial"/>
                <w:color w:val="3C2A00"/>
                <w:sz w:val="17"/>
                <w:szCs w:val="17"/>
              </w:rPr>
              <w:t xml:space="preserve">Define the project closure design criteria for reactive waste landforms: what long-term water quality standard must be achieved; what monitoring confirms closure success.</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Land Disturbance Control and Rehabilitation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RTPR-HSE-PRO-0037</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Land disturbance approval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Pre-disturbance topsoil recovery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Vegetation clearance controls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Progressive rehabilitation requirements and criteria</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Site demobilisation rehabilitation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RTPR-HSE-PRO-0001 – Legal Requirements (disturbance approvals and permits)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(disturbance impact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RTPR-HSE-PRO-0038 – Biodiversity (pre-clearance surveys and fauna management)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RTPR-HSE-PRO-0034 – Water Quality (stormwater controls during rehabilitation)</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RTPR-HSE-PRO-0036 – Reactive Waste (reactive landform rehabilitation)</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RTPR-HSE-PRO-0042 – Monitoring (rehabilitation performance monitoring)</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RTPR-HSE-PRO-0038 references RTPR-HSE-PRO-0037 for habitat rehabilitation</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managing land disturbance and vegetation clearance, and for progressively rehabilitating disturbed land through to final closure. It applies from the earliest project works through to post-closure.</w:t>
      </w:r>
    </w:p>
    <w:p>
      <w:pPr>
        <w:pStyle w:val="Heading2"/>
        <w:spacing w:after="60" w:before="240"/>
      </w:pPr>
      <w:r>
        <w:rPr>
          <w:rFonts w:ascii="Arial" w:cs="Arial" w:eastAsia="Arial" w:hAnsi="Arial"/>
          <w:b/>
          <w:bCs/>
          <w:color w:val="2E75B6"/>
          <w:sz w:val="22"/>
          <w:szCs w:val="22"/>
        </w:rPr>
        <w:t xml:space="preserve">Regulatory Compliance and Pre-disturbance Requirements</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Biodiversity Standard]  </w:t>
      </w:r>
      <w:r>
        <w:rPr>
          <w:rFonts w:ascii="Arial" w:cs="Arial" w:eastAsia="Arial" w:hAnsi="Arial"/>
          <w:color w:val="2D2D2D"/>
          <w:sz w:val="19"/>
          <w:szCs w:val="19"/>
        </w:rPr>
        <w:t xml:space="preserve">Require compliance with all regulatory requirements and permit conditions for land disturbance, including EIS/ERMP commitments. Require a land disturbance approval procedure aligning with approved work areas and land use zones, with heritage and environmental protection measures in place before any disturbance commences.</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Biodiversity Standard]  </w:t>
      </w:r>
      <w:r>
        <w:rPr>
          <w:rFonts w:ascii="Arial" w:cs="Arial" w:eastAsia="Arial" w:hAnsi="Arial"/>
          <w:color w:val="2D2D2D"/>
          <w:sz w:val="19"/>
          <w:szCs w:val="19"/>
        </w:rPr>
        <w:t xml:space="preserve">Require topsoil and suitable growth media to be recovered from safely accessible areas before disturbance and stored appropriately for later rehabilitation use. Define storage location, handling requirements, and maximum stockpile height.</w:t>
      </w:r>
    </w:p>
    <w:p>
      <w:pPr>
        <w:pStyle w:val="ListParagraph"/>
        <w:numPr>
          <w:ilvl w:val="0"/>
          <w:numId w:val="2"/>
        </w:numPr>
        <w:spacing w:after="40" w:before="40"/>
      </w:pPr>
      <w:r>
        <w:rPr>
          <w:rFonts w:ascii="Arial" w:cs="Arial" w:eastAsia="Arial" w:hAnsi="Arial"/>
          <w:b/>
          <w:bCs/>
          <w:color w:val="C55A11"/>
          <w:sz w:val="19"/>
          <w:szCs w:val="19"/>
        </w:rPr>
        <w:t xml:space="preserve">[IFC – IFC PS6 §14]  </w:t>
      </w:r>
      <w:r>
        <w:rPr>
          <w:rFonts w:ascii="Arial" w:cs="Arial" w:eastAsia="Arial" w:hAnsi="Arial"/>
          <w:color w:val="2D2D2D"/>
          <w:sz w:val="19"/>
          <w:szCs w:val="19"/>
        </w:rPr>
        <w:t xml:space="preserve">Identify and protect areas of high biodiversity value and apply the mitigation hierarchy to minimise habitat disturbance and loss.</w:t>
      </w:r>
    </w:p>
    <w:p>
      <w:pPr>
        <w:pStyle w:val="Heading2"/>
        <w:spacing w:after="60" w:before="240"/>
      </w:pPr>
      <w:r>
        <w:rPr>
          <w:rFonts w:ascii="Arial" w:cs="Arial" w:eastAsia="Arial" w:hAnsi="Arial"/>
          <w:b/>
          <w:bCs/>
          <w:color w:val="2E75B6"/>
          <w:sz w:val="22"/>
          <w:szCs w:val="22"/>
        </w:rPr>
        <w:t xml:space="preserve">Vegetation Management and Minimal Footprint</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Biodiversity Standard]  </w:t>
      </w:r>
      <w:r>
        <w:rPr>
          <w:rFonts w:ascii="Arial" w:cs="Arial" w:eastAsia="Arial" w:hAnsi="Arial"/>
          <w:color w:val="2D2D2D"/>
          <w:sz w:val="19"/>
          <w:szCs w:val="19"/>
        </w:rPr>
        <w:t xml:space="preserve">Require all disturbance to be confined to approved roads and nominated work areas. Define vegetation clearance controls including survey and marking of retained vegetation and disturbance boundaries. Require seed collection and storage programmes for locally-provenant species where specified.</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Biodiversity Standard]  </w:t>
      </w:r>
      <w:r>
        <w:rPr>
          <w:rFonts w:ascii="Arial" w:cs="Arial" w:eastAsia="Arial" w:hAnsi="Arial"/>
          <w:color w:val="2D2D2D"/>
          <w:sz w:val="19"/>
          <w:szCs w:val="19"/>
        </w:rPr>
        <w:t xml:space="preserve">Require progressive rehabilitation concurrent with disturbance, managing the project footprint to be consistent with mine plans, budgets, and closure assumptions.</w:t>
      </w:r>
    </w:p>
    <w:p>
      <w:pPr>
        <w:pStyle w:val="ListParagraph"/>
        <w:numPr>
          <w:ilvl w:val="0"/>
          <w:numId w:val="2"/>
        </w:numPr>
        <w:spacing w:after="40" w:before="40"/>
      </w:pPr>
      <w:r>
        <w:rPr>
          <w:rFonts w:ascii="Arial" w:cs="Arial" w:eastAsia="Arial" w:hAnsi="Arial"/>
          <w:b/>
          <w:bCs/>
          <w:color w:val="7030A0"/>
          <w:sz w:val="19"/>
          <w:szCs w:val="19"/>
        </w:rPr>
        <w:t xml:space="preserve">[ICMM – ICMM Principle 7 – Conservation of Biodiversity]  </w:t>
      </w:r>
      <w:r>
        <w:rPr>
          <w:rFonts w:ascii="Arial" w:cs="Arial" w:eastAsia="Arial" w:hAnsi="Arial"/>
          <w:color w:val="2D2D2D"/>
          <w:sz w:val="19"/>
          <w:szCs w:val="19"/>
        </w:rPr>
        <w:t xml:space="preserve">Contribute to the conservation of biodiversity through the application of integrated approaches to land-use planning and through the implementation of appropriate mine closure strategies.</w:t>
      </w:r>
    </w:p>
    <w:p>
      <w:pPr>
        <w:pStyle w:val="Heading2"/>
        <w:spacing w:after="60" w:before="240"/>
      </w:pPr>
      <w:r>
        <w:rPr>
          <w:rFonts w:ascii="Arial" w:cs="Arial" w:eastAsia="Arial" w:hAnsi="Arial"/>
          <w:b/>
          <w:bCs/>
          <w:color w:val="2E75B6"/>
          <w:sz w:val="22"/>
          <w:szCs w:val="22"/>
        </w:rPr>
        <w:t xml:space="preserve">Monitoring and Progressive Rehabilitation</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Biodiversity Standard]  </w:t>
      </w:r>
      <w:r>
        <w:rPr>
          <w:rFonts w:ascii="Arial" w:cs="Arial" w:eastAsia="Arial" w:hAnsi="Arial"/>
          <w:color w:val="2D2D2D"/>
          <w:sz w:val="19"/>
          <w:szCs w:val="19"/>
        </w:rPr>
        <w:t xml:space="preserve">Define soil erosion monitoring requirements, monitoring of drainage line and watercourse impacts, and trigger thresholds with corrective actions for erosion or sedimentation exceedances.</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Biodiversity Standard]  </w:t>
      </w:r>
      <w:r>
        <w:rPr>
          <w:rFonts w:ascii="Arial" w:cs="Arial" w:eastAsia="Arial" w:hAnsi="Arial"/>
          <w:color w:val="2D2D2D"/>
          <w:sz w:val="19"/>
          <w:szCs w:val="19"/>
        </w:rPr>
        <w:t xml:space="preserve">Define quantitative and independently verifiable rehabilitation performance criteria. Require stakeholder engagement in design of land use outcomes. Require monitoring and reporting against rehabilitation criteria at defined intervals.</w:t>
      </w:r>
    </w:p>
    <w:p>
      <w:pPr>
        <w:pStyle w:val="ListParagraph"/>
        <w:numPr>
          <w:ilvl w:val="0"/>
          <w:numId w:val="2"/>
        </w:numPr>
        <w:spacing w:after="40" w:before="40"/>
      </w:pPr>
      <w:r>
        <w:rPr>
          <w:rFonts w:ascii="Arial" w:cs="Arial" w:eastAsia="Arial" w:hAnsi="Arial"/>
          <w:b/>
          <w:bCs/>
          <w:color w:val="C55A11"/>
          <w:sz w:val="19"/>
          <w:szCs w:val="19"/>
        </w:rPr>
        <w:t xml:space="preserve">[IFC – IFC PS6 §15]  </w:t>
      </w:r>
      <w:r>
        <w:rPr>
          <w:rFonts w:ascii="Arial" w:cs="Arial" w:eastAsia="Arial" w:hAnsi="Arial"/>
          <w:color w:val="2D2D2D"/>
          <w:sz w:val="19"/>
          <w:szCs w:val="19"/>
        </w:rPr>
        <w:t xml:space="preserve">Implement monitoring programmes to track rehabilitation success against defined performance criteria and implement adaptive management where criteria are not being met.</w:t>
      </w:r>
    </w:p>
    <w:p>
      <w:pPr>
        <w:pStyle w:val="Heading2"/>
        <w:spacing w:after="60" w:before="240"/>
      </w:pPr>
      <w:r>
        <w:rPr>
          <w:rFonts w:ascii="Arial" w:cs="Arial" w:eastAsia="Arial" w:hAnsi="Arial"/>
          <w:b/>
          <w:bCs/>
          <w:color w:val="2E75B6"/>
          <w:sz w:val="22"/>
          <w:szCs w:val="22"/>
        </w:rPr>
        <w:t xml:space="preserve">Demobilisation and Closure</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Biodiversity Standard]  </w:t>
      </w:r>
      <w:r>
        <w:rPr>
          <w:rFonts w:ascii="Arial" w:cs="Arial" w:eastAsia="Arial" w:hAnsi="Arial"/>
          <w:color w:val="2D2D2D"/>
          <w:sz w:val="19"/>
          <w:szCs w:val="19"/>
        </w:rPr>
        <w:t xml:space="preserve">Define rehabilitation requirements at site demobilisation covering: landform reinstatement; revegetation; infrastructure removal; waste removal; and verification that all disturbance is remediated to agreed standards.</w:t>
      </w:r>
    </w:p>
    <w:p>
      <w:pPr>
        <w:pStyle w:val="ListParagraph"/>
        <w:numPr>
          <w:ilvl w:val="0"/>
          <w:numId w:val="2"/>
        </w:numPr>
        <w:spacing w:after="40" w:before="40"/>
      </w:pPr>
      <w:r>
        <w:rPr>
          <w:rFonts w:ascii="Arial" w:cs="Arial" w:eastAsia="Arial" w:hAnsi="Arial"/>
          <w:b/>
          <w:bCs/>
          <w:color w:val="7030A0"/>
          <w:sz w:val="19"/>
          <w:szCs w:val="19"/>
        </w:rPr>
        <w:t xml:space="preserve">[ICMM – ICMM Principle 6 – Environmental Performance]  </w:t>
      </w:r>
      <w:r>
        <w:rPr>
          <w:rFonts w:ascii="Arial" w:cs="Arial" w:eastAsia="Arial" w:hAnsi="Arial"/>
          <w:color w:val="2D2D2D"/>
          <w:sz w:val="19"/>
          <w:szCs w:val="19"/>
        </w:rPr>
        <w:t xml:space="preserve">Plan and design for closure in consultation with relevant authorities and stakeholders. Implement measures to address closure-related environmental and social aspects, and make financial provision to enable agreed closure and post-closure commitments to be realised.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land use zones and approved work areas. Insert a site map showing the approved disturbance boundary, no-go zones, heritage protection areas, and rehabilitation priority areas.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rehabilitation performance criteria — quantitative, measurable, and independently verifiable. These must be agreed with the relevant regulatory authority and inserted before disturbance commences.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topsoil salvage areas and storage requirements: where topsoil is stored; maximum storage height; protection from erosion and weed invasion during storage.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progressive rehabilitation schedule: which areas are targeted for rehabilitation in each calendar year; what the annual rehabilitation target area is.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C-4 §92.4.3.4]  </w:t>
            </w:r>
            <w:r>
              <w:rPr>
                <w:rFonts w:ascii="Arial" w:cs="Arial" w:eastAsia="Arial" w:hAnsi="Arial"/>
                <w:color w:val="2D2D2D"/>
                <w:sz w:val="19"/>
                <w:szCs w:val="19"/>
              </w:rPr>
              <w:t xml:space="preserve">Require immediate cessation of work and notification to the Company upon discovery of fossils, artefacts, or items of cultural or archaeological significance. All necessary actions must be taken to prevent damage or disturbance until the Company provides written direction.</w:t>
            </w:r>
          </w:p>
          <w:p>
            <w:pPr>
              <w:pStyle w:val="ListParagraph"/>
              <w:numPr>
                <w:ilvl w:val="0"/>
                <w:numId w:val="2"/>
              </w:numPr>
              <w:spacing w:after="40" w:before="40"/>
            </w:pPr>
            <w:r>
              <w:rPr>
                <w:rFonts w:ascii="Arial" w:cs="Arial" w:eastAsia="Arial" w:hAnsi="Arial"/>
                <w:b/>
                <w:bCs/>
                <w:color w:val="375623"/>
                <w:sz w:val="19"/>
                <w:szCs w:val="19"/>
              </w:rPr>
              <w:t xml:space="preserve">[APPC – Appendix C, C-4 §92.4.3.6]  </w:t>
            </w:r>
            <w:r>
              <w:rPr>
                <w:rFonts w:ascii="Arial" w:cs="Arial" w:eastAsia="Arial" w:hAnsi="Arial"/>
                <w:color w:val="2D2D2D"/>
                <w:sz w:val="19"/>
                <w:szCs w:val="19"/>
              </w:rPr>
              <w:t xml:space="preserve">Require immediate cessation of work and notification to the Company if significant flora, fauna, ecosystems, or unexpected water sources are discovered. Work must not resume until the Company provides written direction.</w:t>
            </w:r>
          </w:p>
          <w:p>
            <w:pPr>
              <w:pStyle w:val="ListParagraph"/>
              <w:numPr>
                <w:ilvl w:val="0"/>
                <w:numId w:val="2"/>
              </w:numPr>
              <w:spacing w:after="40" w:before="40"/>
            </w:pPr>
            <w:r>
              <w:rPr>
                <w:rFonts w:ascii="Arial" w:cs="Arial" w:eastAsia="Arial" w:hAnsi="Arial"/>
                <w:b/>
                <w:bCs/>
                <w:color w:val="375623"/>
                <w:sz w:val="19"/>
                <w:szCs w:val="19"/>
              </w:rPr>
              <w:t xml:space="preserve">[APPC – Appendix C, C-4 §92.4.4.9]  </w:t>
            </w:r>
            <w:r>
              <w:rPr>
                <w:rFonts w:ascii="Arial" w:cs="Arial" w:eastAsia="Arial" w:hAnsi="Arial"/>
                <w:color w:val="2D2D2D"/>
                <w:sz w:val="19"/>
                <w:szCs w:val="19"/>
              </w:rPr>
              <w:t xml:space="preserve">Require use of equipment fitted with a Company-approved high-precision GPS guidance system for vegetation clearing near permitted boundaries or heritage areas.</w:t>
            </w:r>
          </w:p>
          <w:p>
            <w:pPr>
              <w:pStyle w:val="ListParagraph"/>
              <w:numPr>
                <w:ilvl w:val="0"/>
                <w:numId w:val="2"/>
              </w:numPr>
              <w:spacing w:after="40" w:before="40"/>
            </w:pPr>
            <w:r>
              <w:rPr>
                <w:rFonts w:ascii="Arial" w:cs="Arial" w:eastAsia="Arial" w:hAnsi="Arial"/>
                <w:b/>
                <w:bCs/>
                <w:color w:val="375623"/>
                <w:sz w:val="19"/>
                <w:szCs w:val="19"/>
              </w:rPr>
              <w:t xml:space="preserve">[APPC – Appendix C, C-4 §92.4.6.5]  </w:t>
            </w:r>
            <w:r>
              <w:rPr>
                <w:rFonts w:ascii="Arial" w:cs="Arial" w:eastAsia="Arial" w:hAnsi="Arial"/>
                <w:color w:val="2D2D2D"/>
                <w:sz w:val="19"/>
                <w:szCs w:val="19"/>
              </w:rPr>
              <w:t xml:space="preserve">Require submission of a Rehabilitation and Closure Plan as a project deliverable, addressing closure and rehabilitation of all disturbed areas, success criteria, and post-rehabilitation monitoring requirements.</w:t>
            </w:r>
          </w:p>
          <w:p>
            <w:r>
              <w:rPr>
                <w:rFonts w:ascii="Arial" w:cs="Arial" w:eastAsia="Arial" w:hAnsi="Arial"/>
                <w:color w:val="3C2A00"/>
                <w:sz w:val="17"/>
                <w:szCs w:val="17"/>
              </w:rPr>
              <w:t xml:space="preserve">Define the project demobilisation rehabilitation plan and insert before demobilisation begins.</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Biodiversity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RTPR-HSE-PRO-0038</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No-net-loss pathway definition</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Pre-clearance fauna survey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Fauna rescue and translocation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Invasive species biosecurity controls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Biodiversity offset or conservation programme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RTPR-HSE-PRO-0001 – Legal Requirements (fauna protection approvals)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(biodiversity impact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RTPR-HSE-PRO-0037 – Land Disturbance (habitat rehabilitation post-clearance)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RTPR-HSE-PRO-0030 – Over Water (marine biosecurity)</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RTPR-HSE-PRO-0042 – Monitoring (biodiversity monitoring programme)</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RTPR-HSE-PRO-0037 references RTPR-HSE-PRO-0038 for pre-disturbance ecological surveys</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managing biodiversity impacts across the owner-led project, including fauna management, invasive species control, and achieving the project's no-net-loss commitment for priority biodiversity values.</w:t>
      </w:r>
    </w:p>
    <w:p>
      <w:pPr>
        <w:pStyle w:val="Heading2"/>
        <w:spacing w:after="60" w:before="240"/>
      </w:pPr>
      <w:r>
        <w:rPr>
          <w:rFonts w:ascii="Arial" w:cs="Arial" w:eastAsia="Arial" w:hAnsi="Arial"/>
          <w:b/>
          <w:bCs/>
          <w:color w:val="2E75B6"/>
          <w:sz w:val="22"/>
          <w:szCs w:val="22"/>
        </w:rPr>
        <w:t xml:space="preserve">No Net Loss Pathway</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Biodiversity Standard]  </w:t>
      </w:r>
      <w:r>
        <w:rPr>
          <w:rFonts w:ascii="Arial" w:cs="Arial" w:eastAsia="Arial" w:hAnsi="Arial"/>
          <w:color w:val="2D2D2D"/>
          <w:sz w:val="19"/>
          <w:szCs w:val="19"/>
        </w:rPr>
        <w:t xml:space="preserve">Require definition and implementation of a documented pathway to achieve no net loss of priority biodiversity values by the end of closure. Require independently verified processes for identifying priority values, calculating losses and gains, and addressing value chain impacts.</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Biodiversity Standard]  </w:t>
      </w:r>
      <w:r>
        <w:rPr>
          <w:rFonts w:ascii="Arial" w:cs="Arial" w:eastAsia="Arial" w:hAnsi="Arial"/>
          <w:color w:val="2D2D2D"/>
          <w:sz w:val="19"/>
          <w:szCs w:val="19"/>
        </w:rPr>
        <w:t xml:space="preserve">Prohibit exploration, extraction, or operation within the boundaries of World Heritage-listed properties.</w:t>
      </w:r>
    </w:p>
    <w:p>
      <w:pPr>
        <w:pStyle w:val="ListParagraph"/>
        <w:numPr>
          <w:ilvl w:val="0"/>
          <w:numId w:val="2"/>
        </w:numPr>
        <w:spacing w:after="40" w:before="40"/>
      </w:pPr>
      <w:r>
        <w:rPr>
          <w:rFonts w:ascii="Arial" w:cs="Arial" w:eastAsia="Arial" w:hAnsi="Arial"/>
          <w:b/>
          <w:bCs/>
          <w:color w:val="7030A0"/>
          <w:sz w:val="19"/>
          <w:szCs w:val="19"/>
        </w:rPr>
        <w:t xml:space="preserve">[ICMM – ICMM Principle 7 – Conservation of Biodiversity]  </w:t>
      </w:r>
      <w:r>
        <w:rPr>
          <w:rFonts w:ascii="Arial" w:cs="Arial" w:eastAsia="Arial" w:hAnsi="Arial"/>
          <w:color w:val="2D2D2D"/>
          <w:sz w:val="19"/>
          <w:szCs w:val="19"/>
        </w:rPr>
        <w:t xml:space="preserve">Implement the mitigation hierarchy rigorously for biodiversity impacts: avoid; minimise; rehabilitate/restore; offset as last resort. Document the application of the hierarchy for each significant biodiversity impact.</w:t>
      </w:r>
    </w:p>
    <w:p>
      <w:pPr>
        <w:pStyle w:val="ListParagraph"/>
        <w:numPr>
          <w:ilvl w:val="0"/>
          <w:numId w:val="2"/>
        </w:numPr>
        <w:spacing w:after="40" w:before="40"/>
      </w:pPr>
      <w:r>
        <w:rPr>
          <w:rFonts w:ascii="Arial" w:cs="Arial" w:eastAsia="Arial" w:hAnsi="Arial"/>
          <w:b/>
          <w:bCs/>
          <w:color w:val="C55A11"/>
          <w:sz w:val="19"/>
          <w:szCs w:val="19"/>
        </w:rPr>
        <w:t xml:space="preserve">[IFC – IFC PS6 §7–8]  </w:t>
      </w:r>
      <w:r>
        <w:rPr>
          <w:rFonts w:ascii="Arial" w:cs="Arial" w:eastAsia="Arial" w:hAnsi="Arial"/>
          <w:color w:val="2D2D2D"/>
          <w:sz w:val="19"/>
          <w:szCs w:val="19"/>
        </w:rPr>
        <w:t xml:space="preserve">Apply the mitigation hierarchy consistently and pursue no net loss of natural habitat. Where critical habitat is present, demonstrate that impacts will not significantly affect the key attributes of the critical habitat.</w:t>
      </w:r>
    </w:p>
    <w:p>
      <w:pPr>
        <w:pStyle w:val="Heading2"/>
        <w:spacing w:after="60" w:before="240"/>
      </w:pPr>
      <w:r>
        <w:rPr>
          <w:rFonts w:ascii="Arial" w:cs="Arial" w:eastAsia="Arial" w:hAnsi="Arial"/>
          <w:b/>
          <w:bCs/>
          <w:color w:val="2E75B6"/>
          <w:sz w:val="22"/>
          <w:szCs w:val="22"/>
        </w:rPr>
        <w:t xml:space="preserve">Fauna Management</w:t>
      </w:r>
    </w:p>
    <w:p>
      <w:pPr>
        <w:pStyle w:val="ListParagraph"/>
        <w:numPr>
          <w:ilvl w:val="0"/>
          <w:numId w:val="2"/>
        </w:numPr>
        <w:spacing w:after="40" w:before="40"/>
      </w:pPr>
      <w:r>
        <w:rPr>
          <w:rFonts w:ascii="Arial" w:cs="Arial" w:eastAsia="Arial" w:hAnsi="Arial"/>
          <w:b/>
          <w:bCs/>
          <w:color w:val="375623"/>
          <w:sz w:val="19"/>
          <w:szCs w:val="19"/>
        </w:rPr>
        <w:t xml:space="preserve">[APPC – Appendix C, C-4 §92.6.2 (implied)]  </w:t>
      </w:r>
      <w:r>
        <w:rPr>
          <w:rFonts w:ascii="Arial" w:cs="Arial" w:eastAsia="Arial" w:hAnsi="Arial"/>
          <w:color w:val="2D2D2D"/>
          <w:sz w:val="19"/>
          <w:szCs w:val="19"/>
        </w:rPr>
        <w:t xml:space="preserve">Require pre-clearance surveys for threatened or protected fauna before vegetation clearing. Define fauna rescue, translocation, and exclusion fencing requirements. Require a fauna chance discovery protocol communicated to all project personnel.</w:t>
      </w:r>
    </w:p>
    <w:p>
      <w:pPr>
        <w:pStyle w:val="ListParagraph"/>
        <w:numPr>
          <w:ilvl w:val="0"/>
          <w:numId w:val="2"/>
        </w:numPr>
        <w:spacing w:after="40" w:before="40"/>
      </w:pPr>
      <w:r>
        <w:rPr>
          <w:rFonts w:ascii="Arial" w:cs="Arial" w:eastAsia="Arial" w:hAnsi="Arial"/>
          <w:b/>
          <w:bCs/>
          <w:color w:val="C55A11"/>
          <w:sz w:val="19"/>
          <w:szCs w:val="19"/>
        </w:rPr>
        <w:t xml:space="preserve">[IFC – IFC PS6 §8]  </w:t>
      </w:r>
      <w:r>
        <w:rPr>
          <w:rFonts w:ascii="Arial" w:cs="Arial" w:eastAsia="Arial" w:hAnsi="Arial"/>
          <w:color w:val="2D2D2D"/>
          <w:sz w:val="19"/>
          <w:szCs w:val="19"/>
        </w:rPr>
        <w:t xml:space="preserve">Manage impacts on locally important flora and fauna through avoidance and mitigation, and implement compensatory conservation measures where residual impacts remain.</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species-specific management plans for any threatened or protected fauna species identified in the project impact assessment, specifying controls, monitoring, and success criteria, developed in consultation with a qualified ecologist.</w:t>
      </w:r>
    </w:p>
    <w:p>
      <w:pPr>
        <w:pStyle w:val="Heading2"/>
        <w:spacing w:after="60" w:before="240"/>
      </w:pPr>
      <w:r>
        <w:rPr>
          <w:rFonts w:ascii="Arial" w:cs="Arial" w:eastAsia="Arial" w:hAnsi="Arial"/>
          <w:b/>
          <w:bCs/>
          <w:color w:val="2E75B6"/>
          <w:sz w:val="22"/>
          <w:szCs w:val="22"/>
        </w:rPr>
        <w:t xml:space="preserve">Invasive Species and Biosecurity</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Biodiversity Standard]  </w:t>
      </w:r>
      <w:r>
        <w:rPr>
          <w:rFonts w:ascii="Arial" w:cs="Arial" w:eastAsia="Arial" w:hAnsi="Arial"/>
          <w:color w:val="2D2D2D"/>
          <w:sz w:val="19"/>
          <w:szCs w:val="19"/>
        </w:rPr>
        <w:t xml:space="preserve">Require identification of invasive species risks relevant to each project location. Define biosecurity controls to prevent introduction and spread of invasive species including: vehicle and equipment wash-down requirements before entering sensitive areas; soil and plant material movement controls; and inspection requirements.</w:t>
      </w:r>
    </w:p>
    <w:p>
      <w:pPr>
        <w:pStyle w:val="ListParagraph"/>
        <w:numPr>
          <w:ilvl w:val="0"/>
          <w:numId w:val="2"/>
        </w:numPr>
        <w:spacing w:after="40" w:before="40"/>
      </w:pPr>
      <w:r>
        <w:rPr>
          <w:rFonts w:ascii="Arial" w:cs="Arial" w:eastAsia="Arial" w:hAnsi="Arial"/>
          <w:b/>
          <w:bCs/>
          <w:color w:val="375623"/>
          <w:sz w:val="19"/>
          <w:szCs w:val="19"/>
        </w:rPr>
        <w:t xml:space="preserve">[APPC – Appendix C, C-2 §53.4.1]  </w:t>
      </w:r>
      <w:r>
        <w:rPr>
          <w:rFonts w:ascii="Arial" w:cs="Arial" w:eastAsia="Arial" w:hAnsi="Arial"/>
          <w:color w:val="2D2D2D"/>
          <w:sz w:val="19"/>
          <w:szCs w:val="19"/>
        </w:rPr>
        <w:t xml:space="preserve">Define marine biosecurity controls for vessels including hull inspection, biofouling management, and ballast water management to prevent transfer of aquatic invasive species between project locations.</w:t>
      </w:r>
    </w:p>
    <w:p>
      <w:pPr>
        <w:pStyle w:val="ListParagraph"/>
        <w:numPr>
          <w:ilvl w:val="0"/>
          <w:numId w:val="2"/>
        </w:numPr>
        <w:spacing w:after="40" w:before="40"/>
      </w:pPr>
      <w:r>
        <w:rPr>
          <w:rFonts w:ascii="Arial" w:cs="Arial" w:eastAsia="Arial" w:hAnsi="Arial"/>
          <w:b/>
          <w:bCs/>
          <w:color w:val="2F5496"/>
          <w:sz w:val="19"/>
          <w:szCs w:val="19"/>
        </w:rPr>
        <w:t xml:space="preserve">[TSM – TSM – Biodiversity Conservation Management Protocol, Indicator BC2]  </w:t>
      </w:r>
      <w:r>
        <w:rPr>
          <w:rFonts w:ascii="Arial" w:cs="Arial" w:eastAsia="Arial" w:hAnsi="Arial"/>
          <w:color w:val="2D2D2D"/>
          <w:sz w:val="19"/>
          <w:szCs w:val="19"/>
        </w:rPr>
        <w:t xml:space="preserve">Implement a biodiversity conservation management plan that addresses invasive species as a component of the broader biodiversity management programme.</w:t>
      </w:r>
    </w:p>
    <w:p>
      <w:pPr>
        <w:pStyle w:val="Heading2"/>
        <w:spacing w:after="60" w:before="240"/>
      </w:pPr>
      <w:r>
        <w:rPr>
          <w:rFonts w:ascii="Arial" w:cs="Arial" w:eastAsia="Arial" w:hAnsi="Arial"/>
          <w:b/>
          <w:bCs/>
          <w:color w:val="2E75B6"/>
          <w:sz w:val="22"/>
          <w:szCs w:val="22"/>
        </w:rPr>
        <w:t xml:space="preserve">Noise, Light and Vibration Controls for Biodiversity</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Air Quality Standard (stressors)]  </w:t>
      </w:r>
      <w:r>
        <w:rPr>
          <w:rFonts w:ascii="Arial" w:cs="Arial" w:eastAsia="Arial" w:hAnsi="Arial"/>
          <w:color w:val="2D2D2D"/>
          <w:sz w:val="19"/>
          <w:szCs w:val="19"/>
        </w:rPr>
        <w:t xml:space="preserve">Document and manage noise, vibration, and light impacts on biodiversity and sensitive ecosystems, including buffer zones, scheduling controls, and low-impact lighting technology for operations near sensitive areas.</w:t>
      </w:r>
    </w:p>
    <w:p>
      <w:pPr>
        <w:pStyle w:val="ListParagraph"/>
        <w:numPr>
          <w:ilvl w:val="0"/>
          <w:numId w:val="2"/>
        </w:numPr>
        <w:spacing w:after="40" w:before="40"/>
      </w:pPr>
      <w:r>
        <w:rPr>
          <w:rFonts w:ascii="Arial" w:cs="Arial" w:eastAsia="Arial" w:hAnsi="Arial"/>
          <w:b/>
          <w:bCs/>
          <w:color w:val="C55A11"/>
          <w:sz w:val="19"/>
          <w:szCs w:val="19"/>
        </w:rPr>
        <w:t xml:space="preserve">[IFC – IFC PS6 §8]  </w:t>
      </w:r>
      <w:r>
        <w:rPr>
          <w:rFonts w:ascii="Arial" w:cs="Arial" w:eastAsia="Arial" w:hAnsi="Arial"/>
          <w:color w:val="2D2D2D"/>
          <w:sz w:val="19"/>
          <w:szCs w:val="19"/>
        </w:rPr>
        <w:t xml:space="preserve">Assess indirect impacts on biodiversity (habitat fragmentation, edge effects, noise, light, vibration) as well as direct disturbance impacts.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priority biodiversity values for this project's area of interest. The procedure requires a no-net-loss pathway — this starts with identifying what must not experience net loss. Engage a qualified ecologist to define the priority values and insert here.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For each threatened or protected fauna species confirmed in the project impact assessment: define a species-specific management plan as an appendix to this procedure.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vehicle and equipment wash-down requirements for biosecurity: where wash-down stations are located; what triggers mandatory wash-down; what the wash-down standard is.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If biodiversity offsets are required for this project: define the offset ratio, offset location, management obligations, and monitoring programme. These are regulatory commitments and must be documented here.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C-4 §92.6.0.4]  </w:t>
            </w:r>
            <w:r>
              <w:rPr>
                <w:rFonts w:ascii="Arial" w:cs="Arial" w:eastAsia="Arial" w:hAnsi="Arial"/>
                <w:color w:val="2D2D2D"/>
                <w:sz w:val="19"/>
                <w:szCs w:val="19"/>
              </w:rPr>
              <w:t xml:space="preserve">Require that no personnel capture, feed, harass, deliberately kill, trade animal products from, or have deliberate interactions with wildlife or introduced animals. All sightings of protected or significant fauna species must be reported to the Company environmental representative.</w:t>
            </w:r>
          </w:p>
          <w:p>
            <w:pPr>
              <w:pStyle w:val="ListParagraph"/>
              <w:numPr>
                <w:ilvl w:val="0"/>
                <w:numId w:val="2"/>
              </w:numPr>
              <w:spacing w:after="40" w:before="40"/>
            </w:pPr>
            <w:r>
              <w:rPr>
                <w:rFonts w:ascii="Arial" w:cs="Arial" w:eastAsia="Arial" w:hAnsi="Arial"/>
                <w:b/>
                <w:bCs/>
                <w:color w:val="375623"/>
                <w:sz w:val="19"/>
                <w:szCs w:val="19"/>
              </w:rPr>
              <w:t xml:space="preserve">[APPC – Appendix C, C-4 §92.6.1.2]  </w:t>
            </w:r>
            <w:r>
              <w:rPr>
                <w:rFonts w:ascii="Arial" w:cs="Arial" w:eastAsia="Arial" w:hAnsi="Arial"/>
                <w:color w:val="2D2D2D"/>
                <w:sz w:val="19"/>
                <w:szCs w:val="19"/>
              </w:rPr>
              <w:t xml:space="preserve">Require implementation of control measures to prevent, minimise, and control risks associated with noise, vibration, and artificial light, particularly for activities resulting in high nocturnal light levels or significant noise in sensitive habitats.</w:t>
            </w:r>
          </w:p>
          <w:p>
            <w:pPr>
              <w:pStyle w:val="ListParagraph"/>
              <w:numPr>
                <w:ilvl w:val="0"/>
                <w:numId w:val="2"/>
              </w:numPr>
              <w:spacing w:after="40" w:before="40"/>
            </w:pPr>
            <w:r>
              <w:rPr>
                <w:rFonts w:ascii="Arial" w:cs="Arial" w:eastAsia="Arial" w:hAnsi="Arial"/>
                <w:b/>
                <w:bCs/>
                <w:color w:val="375623"/>
                <w:sz w:val="19"/>
                <w:szCs w:val="19"/>
              </w:rPr>
              <w:t xml:space="preserve">[APPC – Appendix C, C-4 §92.6.2.2.1]  </w:t>
            </w:r>
            <w:r>
              <w:rPr>
                <w:rFonts w:ascii="Arial" w:cs="Arial" w:eastAsia="Arial" w:hAnsi="Arial"/>
                <w:color w:val="2D2D2D"/>
                <w:sz w:val="19"/>
                <w:szCs w:val="19"/>
              </w:rPr>
              <w:t xml:space="preserve">Require compliance with all applicable biosecurity regulations. All imported equipment must be inspected and confirmed free of invasive species before entering the project footprint. Packing and packaging materials must meet country biosecurity requirements.</w:t>
            </w:r>
          </w:p>
          <w:p>
            <w:r>
              <w:rPr>
                <w:rFonts w:ascii="Arial" w:cs="Arial" w:eastAsia="Arial" w:hAnsi="Arial"/>
                <w:color w:val="3C2A00"/>
                <w:sz w:val="17"/>
                <w:szCs w:val="17"/>
              </w:rPr>
              <w:t xml:space="preserve">Define the project light management controls near sensitive ecosystems (e.g., night-sky sensitive areas, marine turtle nesting beaches, bat habitat).</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Hazardous Materials and Non-Mineral Waste Control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RTPR-HSE-PRO-0039</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Non-mineral waste identification and characterisation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Material and Waste Register (RTPR-HSE-REG-0015)</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Waste management hierarchy application</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Chain of custody and off-site disposal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Contaminated Sites Register (RTPR-HSE-REG-0018)</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PFAS retention and phase-out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Sewerage and wastewater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RTPR-HSE-PRO-0012 – Chemicals (hazardous substance controls)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RTPR-HSE-PRO-0001 – Legal Requirements (waste disposal licence conditions)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RTPR-HSE-PRO-0034 – Water Quality (liquid waste management)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RTPR-HSE-PRO-0036 – Reactive Waste (mineral waste — addressed there)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RTPR-HSE-PRO-0042 – Monitoring (waste monitoring)</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managing all non-mineral hazardous materials and wastes, including dangerous goods, regulated substances, sewerage and wastewater, and contaminated sites across the owner-led project.</w:t>
      </w:r>
    </w:p>
    <w:p>
      <w:pPr>
        <w:pStyle w:val="Heading2"/>
        <w:spacing w:after="60" w:before="240"/>
      </w:pPr>
      <w:r>
        <w:rPr>
          <w:rFonts w:ascii="Arial" w:cs="Arial" w:eastAsia="Arial" w:hAnsi="Arial"/>
          <w:b/>
          <w:bCs/>
          <w:color w:val="2E75B6"/>
          <w:sz w:val="22"/>
          <w:szCs w:val="22"/>
        </w:rPr>
        <w:t xml:space="preserve">Waste Identification and Register</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Materials &amp; Waste Standard]  </w:t>
      </w:r>
      <w:r>
        <w:rPr>
          <w:rFonts w:ascii="Arial" w:cs="Arial" w:eastAsia="Arial" w:hAnsi="Arial"/>
          <w:color w:val="2D2D2D"/>
          <w:sz w:val="19"/>
          <w:szCs w:val="19"/>
        </w:rPr>
        <w:t xml:space="preserve">Require identification and characterisation of all waste streams, maintained in a Material and Waste Register documenting: locations; inventories (annual and cumulative); and inspection requirements for contaminated sites, mineral wastes, bulk hazardous materials, permitted facilities, non-mineral wastes, and stockpiles.</w:t>
      </w:r>
    </w:p>
    <w:p>
      <w:pPr>
        <w:pStyle w:val="ListParagraph"/>
        <w:numPr>
          <w:ilvl w:val="0"/>
          <w:numId w:val="2"/>
        </w:numPr>
        <w:spacing w:after="40" w:before="40"/>
      </w:pPr>
      <w:r>
        <w:rPr>
          <w:rFonts w:ascii="Arial" w:cs="Arial" w:eastAsia="Arial" w:hAnsi="Arial"/>
          <w:b/>
          <w:bCs/>
          <w:color w:val="C55A11"/>
          <w:sz w:val="19"/>
          <w:szCs w:val="19"/>
        </w:rPr>
        <w:t xml:space="preserve">[IFC – IFC PS3 §4 and EHS General Guidelines §1.5]  </w:t>
      </w:r>
      <w:r>
        <w:rPr>
          <w:rFonts w:ascii="Arial" w:cs="Arial" w:eastAsia="Arial" w:hAnsi="Arial"/>
          <w:color w:val="2D2D2D"/>
          <w:sz w:val="19"/>
          <w:szCs w:val="19"/>
        </w:rPr>
        <w:t xml:space="preserve">Classify wastes as hazardous or non-hazardous and apply appropriate management, storage, and disposal requirements for each classification.</w:t>
      </w:r>
    </w:p>
    <w:p>
      <w:pPr>
        <w:pStyle w:val="Heading2"/>
        <w:spacing w:after="60" w:before="240"/>
      </w:pPr>
      <w:r>
        <w:rPr>
          <w:rFonts w:ascii="Arial" w:cs="Arial" w:eastAsia="Arial" w:hAnsi="Arial"/>
          <w:b/>
          <w:bCs/>
          <w:color w:val="2E75B6"/>
          <w:sz w:val="22"/>
          <w:szCs w:val="22"/>
        </w:rPr>
        <w:t xml:space="preserve">Waste Management Hierarchy and Storage</w:t>
      </w:r>
    </w:p>
    <w:p>
      <w:pPr>
        <w:pStyle w:val="ListParagraph"/>
        <w:numPr>
          <w:ilvl w:val="0"/>
          <w:numId w:val="2"/>
        </w:numPr>
        <w:spacing w:after="40" w:before="40"/>
      </w:pPr>
      <w:r>
        <w:rPr>
          <w:rFonts w:ascii="Arial" w:cs="Arial" w:eastAsia="Arial" w:hAnsi="Arial"/>
          <w:b/>
          <w:bCs/>
          <w:color w:val="C55A11"/>
          <w:sz w:val="19"/>
          <w:szCs w:val="19"/>
        </w:rPr>
        <w:t xml:space="preserve">[IFC – IFC PS3 §5]  </w:t>
      </w:r>
      <w:r>
        <w:rPr>
          <w:rFonts w:ascii="Arial" w:cs="Arial" w:eastAsia="Arial" w:hAnsi="Arial"/>
          <w:color w:val="2D2D2D"/>
          <w:sz w:val="19"/>
          <w:szCs w:val="19"/>
        </w:rPr>
        <w:t xml:space="preserve">Apply the waste management hierarchy: reduce; reuse; recycle; recover; treat; dispose — in that order. Document how the hierarchy has been applied for each significant waste stream.</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Materials &amp; Waste Standard]  </w:t>
      </w:r>
      <w:r>
        <w:rPr>
          <w:rFonts w:ascii="Arial" w:cs="Arial" w:eastAsia="Arial" w:hAnsi="Arial"/>
          <w:color w:val="2D2D2D"/>
          <w:sz w:val="19"/>
          <w:szCs w:val="19"/>
        </w:rPr>
        <w:t xml:space="preserve">Require storage facilities to be managed to maintain stability and prevent pollution. Prohibit underground installation of new tanks and pipelines for hazardous or high-risk materials. Require fluorine-free firefighting foams (PFAS prohibition as per RT standard, with documented phase-out plan for any legacy systems).</w:t>
      </w:r>
    </w:p>
    <w:p>
      <w:pPr>
        <w:pStyle w:val="Heading2"/>
        <w:spacing w:after="60" w:before="240"/>
      </w:pPr>
      <w:r>
        <w:rPr>
          <w:rFonts w:ascii="Arial" w:cs="Arial" w:eastAsia="Arial" w:hAnsi="Arial"/>
          <w:b/>
          <w:bCs/>
          <w:color w:val="2E75B6"/>
          <w:sz w:val="22"/>
          <w:szCs w:val="22"/>
        </w:rPr>
        <w:t xml:space="preserve">Chain of Custody and Disposal</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Materials &amp; Waste Standard]  </w:t>
      </w:r>
      <w:r>
        <w:rPr>
          <w:rFonts w:ascii="Arial" w:cs="Arial" w:eastAsia="Arial" w:hAnsi="Arial"/>
          <w:color w:val="2D2D2D"/>
          <w:sz w:val="19"/>
          <w:szCs w:val="19"/>
        </w:rPr>
        <w:t xml:space="preserve">Require a documented chain of custody for all materials transferred off-site, demonstrating traceability from generation to final authorised disposition. Require due diligence verification of waste contractors and disposal/treatment facilities.</w:t>
      </w:r>
    </w:p>
    <w:p>
      <w:pPr>
        <w:pStyle w:val="ListParagraph"/>
        <w:numPr>
          <w:ilvl w:val="0"/>
          <w:numId w:val="2"/>
        </w:numPr>
        <w:spacing w:after="40" w:before="40"/>
      </w:pPr>
      <w:r>
        <w:rPr>
          <w:rFonts w:ascii="Arial" w:cs="Arial" w:eastAsia="Arial" w:hAnsi="Arial"/>
          <w:b/>
          <w:bCs/>
          <w:color w:val="C55A11"/>
          <w:sz w:val="19"/>
          <w:szCs w:val="19"/>
        </w:rPr>
        <w:t xml:space="preserve">[IFC – IFC PS3 §7]  </w:t>
      </w:r>
      <w:r>
        <w:rPr>
          <w:rFonts w:ascii="Arial" w:cs="Arial" w:eastAsia="Arial" w:hAnsi="Arial"/>
          <w:color w:val="2D2D2D"/>
          <w:sz w:val="19"/>
          <w:szCs w:val="19"/>
        </w:rPr>
        <w:t xml:space="preserve">Ensure that off-site waste disposal is conducted by contractors who are properly licensed and regulated, and that the project retains documentation of the disposal outcome.</w:t>
      </w:r>
    </w:p>
    <w:p>
      <w:pPr>
        <w:pStyle w:val="Heading2"/>
        <w:spacing w:after="60" w:before="240"/>
      </w:pPr>
      <w:r>
        <w:rPr>
          <w:rFonts w:ascii="Arial" w:cs="Arial" w:eastAsia="Arial" w:hAnsi="Arial"/>
          <w:b/>
          <w:bCs/>
          <w:color w:val="2E75B6"/>
          <w:sz w:val="22"/>
          <w:szCs w:val="22"/>
        </w:rPr>
        <w:t xml:space="preserve">Contaminated Sites</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Contaminated Sites Standard]  </w:t>
      </w:r>
      <w:r>
        <w:rPr>
          <w:rFonts w:ascii="Arial" w:cs="Arial" w:eastAsia="Arial" w:hAnsi="Arial"/>
          <w:color w:val="2D2D2D"/>
          <w:sz w:val="19"/>
          <w:szCs w:val="19"/>
        </w:rPr>
        <w:t xml:space="preserve">Require identification of known or potential contaminated sites (hydrocarbons, PFAS, metals) and investigations and risk assessments for environmental and human health impacts. Require remedial action plans or long-term management plans commensurate with risk. Maintain a Contaminated Sites Register.</w:t>
      </w:r>
    </w:p>
    <w:p>
      <w:pPr>
        <w:pStyle w:val="ListParagraph"/>
        <w:numPr>
          <w:ilvl w:val="0"/>
          <w:numId w:val="2"/>
        </w:numPr>
        <w:spacing w:after="40" w:before="40"/>
      </w:pPr>
      <w:r>
        <w:rPr>
          <w:rFonts w:ascii="Arial" w:cs="Arial" w:eastAsia="Arial" w:hAnsi="Arial"/>
          <w:b/>
          <w:bCs/>
          <w:color w:val="C55A11"/>
          <w:sz w:val="19"/>
          <w:szCs w:val="19"/>
        </w:rPr>
        <w:t xml:space="preserve">[IFC – IFC PS3 §9]  </w:t>
      </w:r>
      <w:r>
        <w:rPr>
          <w:rFonts w:ascii="Arial" w:cs="Arial" w:eastAsia="Arial" w:hAnsi="Arial"/>
          <w:color w:val="2D2D2D"/>
          <w:sz w:val="19"/>
          <w:szCs w:val="19"/>
        </w:rPr>
        <w:t xml:space="preserve">Address contaminated site risks in the project's environmental assessment and implement remediation proportionate to identified risks and future land use.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Develop the project waste stream inventory before construction commences: identify all expected waste types, estimated volumes, and classification (hazardous/non-hazardous). Insert as Appendix A.</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Identify and vet waste transport contractors and disposal/treatment facilities for this project. Document due diligence findings. Define approved contractors and facilities.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Conduct a contaminated site assessment for the project area before disturbance. Insert the assessment findings or reference the completed assessment report.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project-specific sewerage and wastewater management arrangements: what type of treatment; where discharge occurs; what monitoring confirms compliance.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C-4 §92.5.2.3]  </w:t>
            </w:r>
            <w:r>
              <w:rPr>
                <w:rFonts w:ascii="Arial" w:cs="Arial" w:eastAsia="Arial" w:hAnsi="Arial"/>
                <w:color w:val="2D2D2D"/>
                <w:sz w:val="19"/>
                <w:szCs w:val="19"/>
              </w:rPr>
              <w:t xml:space="preserve">Require that secondary containment drain connections are normally plugged or equipped with locked-closed valves. Direct discharge from secondary containment to the environment is prohibited without Company approval.</w:t>
            </w:r>
          </w:p>
          <w:p>
            <w:pPr>
              <w:pStyle w:val="ListParagraph"/>
              <w:numPr>
                <w:ilvl w:val="0"/>
                <w:numId w:val="2"/>
              </w:numPr>
              <w:spacing w:after="40" w:before="40"/>
            </w:pPr>
            <w:r>
              <w:rPr>
                <w:rFonts w:ascii="Arial" w:cs="Arial" w:eastAsia="Arial" w:hAnsi="Arial"/>
                <w:b/>
                <w:bCs/>
                <w:color w:val="375623"/>
                <w:sz w:val="19"/>
                <w:szCs w:val="19"/>
              </w:rPr>
              <w:t xml:space="preserve">[APPC – Appendix C, C-4 §92.5.3.3]  </w:t>
            </w:r>
            <w:r>
              <w:rPr>
                <w:rFonts w:ascii="Arial" w:cs="Arial" w:eastAsia="Arial" w:hAnsi="Arial"/>
                <w:color w:val="2D2D2D"/>
                <w:sz w:val="19"/>
                <w:szCs w:val="19"/>
              </w:rPr>
              <w:t xml:space="preserve">Require prevention of the use of banned substances including asbestos-containing materials, lead-based paints, and hexavalent chromium-containing products.</w:t>
            </w:r>
          </w:p>
          <w:p>
            <w:pPr>
              <w:pStyle w:val="ListParagraph"/>
              <w:numPr>
                <w:ilvl w:val="0"/>
                <w:numId w:val="2"/>
              </w:numPr>
              <w:spacing w:after="40" w:before="40"/>
            </w:pPr>
            <w:r>
              <w:rPr>
                <w:rFonts w:ascii="Arial" w:cs="Arial" w:eastAsia="Arial" w:hAnsi="Arial"/>
                <w:b/>
                <w:bCs/>
                <w:color w:val="375623"/>
                <w:sz w:val="19"/>
                <w:szCs w:val="19"/>
              </w:rPr>
              <w:t xml:space="preserve">[APPC – Appendix C, C-4 §92.5.6.1]  </w:t>
            </w:r>
            <w:r>
              <w:rPr>
                <w:rFonts w:ascii="Arial" w:cs="Arial" w:eastAsia="Arial" w:hAnsi="Arial"/>
                <w:color w:val="2D2D2D"/>
                <w:sz w:val="19"/>
                <w:szCs w:val="19"/>
              </w:rPr>
              <w:t xml:space="preserve">Require hydrocarbon and chemical spill kits at all locations where these substances are stored or used. Spill kits must be sized appropriately and replenished on a defined schedule.</w:t>
            </w:r>
          </w:p>
          <w:p>
            <w:pPr>
              <w:pStyle w:val="ListParagraph"/>
              <w:numPr>
                <w:ilvl w:val="0"/>
                <w:numId w:val="2"/>
              </w:numPr>
              <w:spacing w:after="40" w:before="40"/>
            </w:pPr>
            <w:r>
              <w:rPr>
                <w:rFonts w:ascii="Arial" w:cs="Arial" w:eastAsia="Arial" w:hAnsi="Arial"/>
                <w:b/>
                <w:bCs/>
                <w:color w:val="375623"/>
                <w:sz w:val="19"/>
                <w:szCs w:val="19"/>
              </w:rPr>
              <w:t xml:space="preserve">[APPC – Appendix C, C-4 §92.5.6.3]  </w:t>
            </w:r>
            <w:r>
              <w:rPr>
                <w:rFonts w:ascii="Arial" w:cs="Arial" w:eastAsia="Arial" w:hAnsi="Arial"/>
                <w:color w:val="2D2D2D"/>
                <w:sz w:val="19"/>
                <w:szCs w:val="19"/>
              </w:rPr>
              <w:t xml:space="preserve">Require that all spills are immediately controlled, contained, and reported to the Company, with cleanup implemented without delay and effectiveness confirmed.</w:t>
            </w:r>
          </w:p>
          <w:p>
            <w:r>
              <w:rPr>
                <w:rFonts w:ascii="Arial" w:cs="Arial" w:eastAsia="Arial" w:hAnsi="Arial"/>
                <w:color w:val="3C2A00"/>
                <w:sz w:val="17"/>
                <w:szCs w:val="17"/>
              </w:rPr>
              <w:t xml:space="preserve">If any legacy PFAS-containing firefighting foam systems exist on this project site: document the justification for retention, the controls to prevent release, and the phase-out plan with a defined completion date.</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Management of Change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11 – Management of Change</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RTPR-HSE-PRO-0040</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MoC trigger definition and scope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MoC assessment process and steps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MoC approval authority matrix</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MoC communication and training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MoC record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(risk assessment within MoC)</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(training triggered by MoC)</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RTPR-HSE-PRO-0010 – Document Control (document updates as MoC output)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(incidents as MoC triggers)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RTPR-HSE-PRO-0007 – Improvement Planning (MoC as improvement action)</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RTPR-HSE-PRO-0019 and RTPR-HSE-PRO-0020 reference RTPR-HSE-PRO-0040 for process safety and SIS changes</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RTPR-HSE-PRO-0018 references RTPR-HSE-PRO-0040 for NM-A changes</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RTPR-HSE-PRO-0041 references RTPR-HSE-PRO-0040 for changes to the ERP</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assessing and managing HSESC risks associated with any change to project scope, design, organisation, activities, processes, documentation, or external factors. All changes carrying HSESC implications must be assessed before they are approved or implemented.</w:t>
      </w:r>
    </w:p>
    <w:p>
      <w:pPr>
        <w:pStyle w:val="Heading2"/>
        <w:spacing w:after="60" w:before="240"/>
      </w:pPr>
      <w:r>
        <w:rPr>
          <w:rFonts w:ascii="Arial" w:cs="Arial" w:eastAsia="Arial" w:hAnsi="Arial"/>
          <w:b/>
          <w:bCs/>
          <w:color w:val="2E75B6"/>
          <w:sz w:val="22"/>
          <w:szCs w:val="22"/>
        </w:rPr>
        <w:t xml:space="preserve">MoC Triggers and Scope</w:t>
      </w:r>
    </w:p>
    <w:p>
      <w:pPr>
        <w:pStyle w:val="ListParagraph"/>
        <w:numPr>
          <w:ilvl w:val="0"/>
          <w:numId w:val="2"/>
        </w:numPr>
        <w:spacing w:after="40" w:before="40"/>
      </w:pPr>
      <w:r>
        <w:rPr>
          <w:rFonts w:ascii="Arial" w:cs="Arial" w:eastAsia="Arial" w:hAnsi="Arial"/>
          <w:b/>
          <w:bCs/>
          <w:color w:val="1F3864"/>
          <w:sz w:val="19"/>
          <w:szCs w:val="19"/>
        </w:rPr>
        <w:t xml:space="preserve">[RT – RT – Risk Management Standard]  </w:t>
      </w:r>
      <w:r>
        <w:rPr>
          <w:rFonts w:ascii="Arial" w:cs="Arial" w:eastAsia="Arial" w:hAnsi="Arial"/>
          <w:color w:val="2D2D2D"/>
          <w:sz w:val="19"/>
          <w:szCs w:val="19"/>
        </w:rPr>
        <w:t xml:space="preserve">Define the categories of change requiring a formal MoC assessment: changes to project scope, design, or engineering; changes to organisational structure or key personnel; changes to work activities, processes, or procedures; changes to legislation, permits, or approvals; and changes to the physical environment or site conditions that affect identified risks.</w:t>
      </w:r>
    </w:p>
    <w:p>
      <w:pPr>
        <w:pStyle w:val="ListParagraph"/>
        <w:numPr>
          <w:ilvl w:val="0"/>
          <w:numId w:val="2"/>
        </w:numPr>
        <w:spacing w:after="40" w:before="40"/>
      </w:pPr>
      <w:r>
        <w:rPr>
          <w:rFonts w:ascii="Arial" w:cs="Arial" w:eastAsia="Arial" w:hAnsi="Arial"/>
          <w:b/>
          <w:bCs/>
          <w:color w:val="375623"/>
          <w:sz w:val="19"/>
          <w:szCs w:val="19"/>
        </w:rPr>
        <w:t xml:space="preserve">[APPC – Appendix C, C-1 §26]  </w:t>
      </w:r>
      <w:r>
        <w:rPr>
          <w:rFonts w:ascii="Arial" w:cs="Arial" w:eastAsia="Arial" w:hAnsi="Arial"/>
          <w:color w:val="2D2D2D"/>
          <w:sz w:val="19"/>
          <w:szCs w:val="19"/>
        </w:rPr>
        <w:t xml:space="preserve">Require Changes to be communicated to the project owner in a timely and structured manner, and the MoC record to be entered into the project action tracking system.</w:t>
      </w:r>
    </w:p>
    <w:p>
      <w:pPr>
        <w:pStyle w:val="ListParagraph"/>
        <w:numPr>
          <w:ilvl w:val="0"/>
          <w:numId w:val="2"/>
        </w:numPr>
        <w:spacing w:after="40" w:before="40"/>
      </w:pPr>
      <w:r>
        <w:rPr>
          <w:rFonts w:ascii="Arial" w:cs="Arial" w:eastAsia="Arial" w:hAnsi="Arial"/>
          <w:b/>
          <w:bCs/>
          <w:color w:val="C55A11"/>
          <w:sz w:val="19"/>
          <w:szCs w:val="19"/>
        </w:rPr>
        <w:t xml:space="preserve">[IFC – IFC PS1 §7]  </w:t>
      </w:r>
      <w:r>
        <w:rPr>
          <w:rFonts w:ascii="Arial" w:cs="Arial" w:eastAsia="Arial" w:hAnsi="Arial"/>
          <w:color w:val="2D2D2D"/>
          <w:sz w:val="19"/>
          <w:szCs w:val="19"/>
        </w:rPr>
        <w:t xml:space="preserve">Ensure the management system includes a process for identifying and assessing changes that could introduce new or modified environmental and social risks, and updating risk assessments and management plans accordingly.</w:t>
      </w:r>
    </w:p>
    <w:p>
      <w:pPr>
        <w:pStyle w:val="Heading2"/>
        <w:spacing w:after="60" w:before="240"/>
      </w:pPr>
      <w:r>
        <w:rPr>
          <w:rFonts w:ascii="Arial" w:cs="Arial" w:eastAsia="Arial" w:hAnsi="Arial"/>
          <w:b/>
          <w:bCs/>
          <w:color w:val="2E75B6"/>
          <w:sz w:val="22"/>
          <w:szCs w:val="22"/>
        </w:rPr>
        <w:t xml:space="preserve">MoC Assessment Process</w:t>
      </w:r>
    </w:p>
    <w:p>
      <w:pPr>
        <w:pStyle w:val="ListParagraph"/>
        <w:numPr>
          <w:ilvl w:val="0"/>
          <w:numId w:val="2"/>
        </w:numPr>
        <w:spacing w:after="40" w:before="40"/>
      </w:pPr>
      <w:r>
        <w:rPr>
          <w:rFonts w:ascii="Arial" w:cs="Arial" w:eastAsia="Arial" w:hAnsi="Arial"/>
          <w:b/>
          <w:bCs/>
          <w:color w:val="1F3864"/>
          <w:sz w:val="19"/>
          <w:szCs w:val="19"/>
        </w:rPr>
        <w:t xml:space="preserve">[RT – RT – Risk Management Standard]  </w:t>
      </w:r>
      <w:r>
        <w:rPr>
          <w:rFonts w:ascii="Arial" w:cs="Arial" w:eastAsia="Arial" w:hAnsi="Arial"/>
          <w:color w:val="2D2D2D"/>
          <w:sz w:val="19"/>
          <w:szCs w:val="19"/>
        </w:rPr>
        <w:t xml:space="preserve">Define MoC assessment steps: document the change; identify and assess HSESC risks using the RT 5×5 Risk Matrix; identify required controls; determine the appropriate approval authority level based on the residual risk rating; communicate the change; implement; verify; and close out.</w:t>
      </w:r>
    </w:p>
    <w:p>
      <w:pPr>
        <w:pStyle w:val="ListParagraph"/>
        <w:numPr>
          <w:ilvl w:val="0"/>
          <w:numId w:val="2"/>
        </w:numPr>
        <w:spacing w:after="40" w:before="40"/>
      </w:pPr>
      <w:r>
        <w:rPr>
          <w:rFonts w:ascii="Arial" w:cs="Arial" w:eastAsia="Arial" w:hAnsi="Arial"/>
          <w:b/>
          <w:bCs/>
          <w:color w:val="1F3864"/>
          <w:sz w:val="19"/>
          <w:szCs w:val="19"/>
        </w:rPr>
        <w:t xml:space="preserve">[RT – RT C1, C2 – Energy Isolation and Electrical Standards]  </w:t>
      </w:r>
      <w:r>
        <w:rPr>
          <w:rFonts w:ascii="Arial" w:cs="Arial" w:eastAsia="Arial" w:hAnsi="Arial"/>
          <w:color w:val="2D2D2D"/>
          <w:sz w:val="19"/>
          <w:szCs w:val="19"/>
        </w:rPr>
        <w:t xml:space="preserve">Require that changes to safety instrumented systems, process safety controls, and critical safety devices follow an enhanced MoC process with a higher approval threshold and mandatory verification testing before return to service.</w:t>
      </w:r>
    </w:p>
    <w:p>
      <w:pPr>
        <w:pStyle w:val="ListParagraph"/>
        <w:numPr>
          <w:ilvl w:val="0"/>
          <w:numId w:val="2"/>
        </w:numPr>
        <w:spacing w:after="40" w:before="40"/>
      </w:pPr>
      <w:r>
        <w:rPr>
          <w:rFonts w:ascii="Arial" w:cs="Arial" w:eastAsia="Arial" w:hAnsi="Arial"/>
          <w:b/>
          <w:bCs/>
          <w:color w:val="BF9000"/>
          <w:sz w:val="19"/>
          <w:szCs w:val="19"/>
        </w:rPr>
        <w:t xml:space="preserve">[OSHA – OSHA RP 2016 – Hazard Prevention and Control]  </w:t>
      </w:r>
      <w:r>
        <w:rPr>
          <w:rFonts w:ascii="Arial" w:cs="Arial" w:eastAsia="Arial" w:hAnsi="Arial"/>
          <w:color w:val="2D2D2D"/>
          <w:sz w:val="19"/>
          <w:szCs w:val="19"/>
        </w:rPr>
        <w:t xml:space="preserve">Ensure that temporary changes — which can introduce unique risks due to time pressure and unfamiliarity — are assessed with the same rigour as permanent changes, and that a defined expiry date is set for all temporary change approvals.</w:t>
      </w:r>
    </w:p>
    <w:p>
      <w:pPr>
        <w:pStyle w:val="Heading2"/>
        <w:spacing w:after="60" w:before="240"/>
      </w:pPr>
      <w:r>
        <w:rPr>
          <w:rFonts w:ascii="Arial" w:cs="Arial" w:eastAsia="Arial" w:hAnsi="Arial"/>
          <w:b/>
          <w:bCs/>
          <w:color w:val="2E75B6"/>
          <w:sz w:val="22"/>
          <w:szCs w:val="22"/>
        </w:rPr>
        <w:t xml:space="preserve">Communication, Training and Records</w:t>
      </w:r>
    </w:p>
    <w:p>
      <w:pPr>
        <w:pStyle w:val="ListParagraph"/>
        <w:numPr>
          <w:ilvl w:val="0"/>
          <w:numId w:val="2"/>
        </w:numPr>
        <w:spacing w:after="40" w:before="40"/>
      </w:pPr>
      <w:r>
        <w:rPr>
          <w:rFonts w:ascii="Arial" w:cs="Arial" w:eastAsia="Arial" w:hAnsi="Arial"/>
          <w:b/>
          <w:bCs/>
          <w:color w:val="375623"/>
          <w:sz w:val="19"/>
          <w:szCs w:val="19"/>
        </w:rPr>
        <w:t xml:space="preserve">[APPC – Appendix C, C-1 §26]  </w:t>
      </w:r>
      <w:r>
        <w:rPr>
          <w:rFonts w:ascii="Arial" w:cs="Arial" w:eastAsia="Arial" w:hAnsi="Arial"/>
          <w:color w:val="2D2D2D"/>
          <w:sz w:val="19"/>
          <w:szCs w:val="19"/>
        </w:rPr>
        <w:t xml:space="preserve">Define requirements for communicating approved changes to all affected personnel before implementation. Define training requirements triggered by specific types of change. Require updates to affected documents, JHAs, and risk registers as part of change closeout.</w:t>
      </w:r>
    </w:p>
    <w:p>
      <w:pPr>
        <w:pStyle w:val="ListParagraph"/>
        <w:numPr>
          <w:ilvl w:val="0"/>
          <w:numId w:val="2"/>
        </w:numPr>
        <w:spacing w:after="40" w:before="40"/>
      </w:pPr>
      <w:r>
        <w:rPr>
          <w:rFonts w:ascii="Arial" w:cs="Arial" w:eastAsia="Arial" w:hAnsi="Arial"/>
          <w:b/>
          <w:bCs/>
          <w:color w:val="C55A11"/>
          <w:sz w:val="19"/>
          <w:szCs w:val="19"/>
        </w:rPr>
        <w:t xml:space="preserve">[IFC – IFC PS1 §11]  </w:t>
      </w:r>
      <w:r>
        <w:rPr>
          <w:rFonts w:ascii="Arial" w:cs="Arial" w:eastAsia="Arial" w:hAnsi="Arial"/>
          <w:color w:val="2D2D2D"/>
          <w:sz w:val="19"/>
          <w:szCs w:val="19"/>
        </w:rPr>
        <w:t xml:space="preserve">Ensure that MoC records are maintained and that any corrective actions identified through the MoC process are tracked in the project action management system.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MoC authority matrix for this project: who approves Low, Medium, and High risk MoC requests. The procedure defines thresholds by risk rating — the project assigns specific roles to each tier. Insert as a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MoC form and tracking system for this project. The procedure requires MoC records — the project determines whether a digital system or physical form is used.</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temporary MoC process for this project: maximum duration of a temporary change before it must be made permanent or reversed; who approves temporary MoC extensions.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C-4 §91.0.1]  </w:t>
            </w:r>
            <w:r>
              <w:rPr>
                <w:rFonts w:ascii="Arial" w:cs="Arial" w:eastAsia="Arial" w:hAnsi="Arial"/>
                <w:color w:val="2D2D2D"/>
                <w:sz w:val="19"/>
                <w:szCs w:val="19"/>
              </w:rPr>
              <w:t xml:space="preserve">Require that changes to the Contractor organisation, activities, processes, or documentation that may introduce new environmental risks are assessed through the MoC process. Changes affecting environmental approvals, permit conditions, or the approved project footprint must be communicated to the Company before implementation.</w:t>
            </w:r>
          </w:p>
          <w:p>
            <w:pPr>
              <w:pStyle w:val="ListParagraph"/>
              <w:numPr>
                <w:ilvl w:val="0"/>
                <w:numId w:val="2"/>
              </w:numPr>
              <w:spacing w:after="40" w:before="40"/>
            </w:pPr>
            <w:r>
              <w:rPr>
                <w:rFonts w:ascii="Arial" w:cs="Arial" w:eastAsia="Arial" w:hAnsi="Arial"/>
                <w:b/>
                <w:bCs/>
                <w:color w:val="375623"/>
                <w:sz w:val="19"/>
                <w:szCs w:val="19"/>
              </w:rPr>
              <w:t xml:space="preserve">[APPC – Appendix C, C-4 §91.0.3]  </w:t>
            </w:r>
            <w:r>
              <w:rPr>
                <w:rFonts w:ascii="Arial" w:cs="Arial" w:eastAsia="Arial" w:hAnsi="Arial"/>
                <w:color w:val="2D2D2D"/>
                <w:sz w:val="19"/>
                <w:szCs w:val="19"/>
              </w:rPr>
              <w:t xml:space="preserve">Require training for all project personnel in how to identify a change that triggers the MoC process and in the change management procedures. Training must be completed before project mobilisation.</w:t>
            </w:r>
          </w:p>
          <w:p>
            <w:r>
              <w:rPr>
                <w:rFonts w:ascii="Arial" w:cs="Arial" w:eastAsia="Arial" w:hAnsi="Arial"/>
                <w:color w:val="3C2A00"/>
                <w:sz w:val="17"/>
                <w:szCs w:val="17"/>
              </w:rPr>
              <w:t xml:space="preserve">Define the project MoC communication process: how are approved changes communicated to all affected personnel; what is the maximum communication lag time.</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Business Resilience and Recovery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12 – Business Resilience &amp; Recovery</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RTPR-HSE-PRO-0041</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Emergency Response Plan (ERP) requirements and structure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Medical Emergency Plan (MEP)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Emergency response risk assessment workshop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Community consultation for emergency planning</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Emergency drill programme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Business Resilience Team composition and activation</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(emergency scenario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RTPR-HSE-PRO-0006 – Fitness for Work (ERT fitness requirements)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(ERT training — documented in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(incidents escalating to emergency — follow RTPR-HSE-PRO-0009 first)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RTPR-HSE-PRO-0040 – Management of Change (ERP updates via MoC process)</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RTPR-HSE-PRO-0016 references RTPR-HSE-PRO-0041 for fire emergency response</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RTPR-HSE-PRO-0014 references RTPR-HSE-PRO-0041 for confined space rescue as an emergency scenario</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RTPR-HSE-PRO-0030 references RTPR-HSE-PRO-0041 for water rescue as an emergency response</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emergency preparedness and response, business resilience, and business continuity for the owner-led project — covering all credible emergency scenarios involving project personnel, the community, the environment, property, or the project's licence to operate. The project Emergency Response Plan (ERP) is distinct from the RT Corporate Business Resilience and Recovery Programme (BRRP), with a defined and clear interface between the two.</w:t>
      </w:r>
    </w:p>
    <w:p>
      <w:pPr>
        <w:pStyle w:val="Heading2"/>
        <w:spacing w:after="60" w:before="240"/>
      </w:pPr>
      <w:r>
        <w:rPr>
          <w:rFonts w:ascii="Arial" w:cs="Arial" w:eastAsia="Arial" w:hAnsi="Arial"/>
          <w:b/>
          <w:bCs/>
          <w:color w:val="2E75B6"/>
          <w:sz w:val="22"/>
          <w:szCs w:val="22"/>
        </w:rPr>
        <w:t xml:space="preserve">Emergency Response Risk Assessment</w:t>
      </w:r>
    </w:p>
    <w:p>
      <w:pPr>
        <w:pStyle w:val="ListParagraph"/>
        <w:numPr>
          <w:ilvl w:val="0"/>
          <w:numId w:val="2"/>
        </w:numPr>
        <w:spacing w:after="40" w:before="40"/>
      </w:pPr>
      <w:r>
        <w:rPr>
          <w:rFonts w:ascii="Arial" w:cs="Arial" w:eastAsia="Arial" w:hAnsi="Arial"/>
          <w:b/>
          <w:bCs/>
          <w:color w:val="375623"/>
          <w:sz w:val="19"/>
          <w:szCs w:val="19"/>
        </w:rPr>
        <w:t xml:space="preserve">[APPC – Appendix C, C-1 §31.4]  </w:t>
      </w:r>
      <w:r>
        <w:rPr>
          <w:rFonts w:ascii="Arial" w:cs="Arial" w:eastAsia="Arial" w:hAnsi="Arial"/>
          <w:color w:val="2D2D2D"/>
          <w:sz w:val="19"/>
          <w:szCs w:val="19"/>
        </w:rPr>
        <w:t xml:space="preserve">Require an emergency response risk assessment workshop to identify, assess, and document all credible emergency scenarios before Work commences. Require the workshop report to be completed within 90 days of the Effective Date. Require community input where host communities may be affected by an emergency scenario.</w:t>
      </w:r>
    </w:p>
    <w:p>
      <w:pPr>
        <w:pStyle w:val="ListParagraph"/>
        <w:numPr>
          <w:ilvl w:val="0"/>
          <w:numId w:val="2"/>
        </w:numPr>
        <w:spacing w:after="40" w:before="40"/>
      </w:pPr>
      <w:r>
        <w:rPr>
          <w:rFonts w:ascii="Arial" w:cs="Arial" w:eastAsia="Arial" w:hAnsi="Arial"/>
          <w:b/>
          <w:bCs/>
          <w:color w:val="2F5496"/>
          <w:sz w:val="19"/>
          <w:szCs w:val="19"/>
        </w:rPr>
        <w:t xml:space="preserve">[TSM – TSM – Crisis Management and Communications Planning Protocol, Indicator CM1]  </w:t>
      </w:r>
      <w:r>
        <w:rPr>
          <w:rFonts w:ascii="Arial" w:cs="Arial" w:eastAsia="Arial" w:hAnsi="Arial"/>
          <w:color w:val="2D2D2D"/>
          <w:sz w:val="19"/>
          <w:szCs w:val="19"/>
        </w:rPr>
        <w:t xml:space="preserve">Identify and assess facility-level crisis scenarios as part of emergency planning, ensuring that escalation to corporate-level crisis management is clearly defined.</w:t>
      </w:r>
    </w:p>
    <w:p>
      <w:pPr>
        <w:pStyle w:val="Heading2"/>
        <w:spacing w:after="60" w:before="240"/>
      </w:pPr>
      <w:r>
        <w:rPr>
          <w:rFonts w:ascii="Arial" w:cs="Arial" w:eastAsia="Arial" w:hAnsi="Arial"/>
          <w:b/>
          <w:bCs/>
          <w:color w:val="2E75B6"/>
          <w:sz w:val="22"/>
          <w:szCs w:val="22"/>
        </w:rPr>
        <w:t xml:space="preserve">Emergency Response Plan (ERP)</w:t>
      </w:r>
    </w:p>
    <w:p>
      <w:pPr>
        <w:pStyle w:val="ListParagraph"/>
        <w:numPr>
          <w:ilvl w:val="0"/>
          <w:numId w:val="2"/>
        </w:numPr>
        <w:spacing w:after="40" w:before="40"/>
      </w:pPr>
      <w:r>
        <w:rPr>
          <w:rFonts w:ascii="Arial" w:cs="Arial" w:eastAsia="Arial" w:hAnsi="Arial"/>
          <w:b/>
          <w:bCs/>
          <w:color w:val="375623"/>
          <w:sz w:val="19"/>
          <w:szCs w:val="19"/>
        </w:rPr>
        <w:t xml:space="preserve">[APPC – Appendix C, C-1 §31.4]  </w:t>
      </w:r>
      <w:r>
        <w:rPr>
          <w:rFonts w:ascii="Arial" w:cs="Arial" w:eastAsia="Arial" w:hAnsi="Arial"/>
          <w:color w:val="2D2D2D"/>
          <w:sz w:val="19"/>
          <w:szCs w:val="19"/>
        </w:rPr>
        <w:t xml:space="preserve">Require development of ERPs based on the risk assessment workshop outcomes, covering all credible scenarios. Define minimum ERP content: emergency response organisation structure; emergency contact lists; roles and responsibilities; escalation levels matching incident severity; notification flowcharts; communication methods; environmental protection measures; emergency drill schedule; and training requirements.</w:t>
      </w:r>
    </w:p>
    <w:p>
      <w:pPr>
        <w:pStyle w:val="ListParagraph"/>
        <w:numPr>
          <w:ilvl w:val="0"/>
          <w:numId w:val="2"/>
        </w:numPr>
        <w:spacing w:after="40" w:before="40"/>
      </w:pPr>
      <w:r>
        <w:rPr>
          <w:rFonts w:ascii="Arial" w:cs="Arial" w:eastAsia="Arial" w:hAnsi="Arial"/>
          <w:b/>
          <w:bCs/>
          <w:color w:val="375623"/>
          <w:sz w:val="19"/>
          <w:szCs w:val="19"/>
        </w:rPr>
        <w:t xml:space="preserve">[APPC – Appendix C, C-1 §31.4]  </w:t>
      </w:r>
      <w:r>
        <w:rPr>
          <w:rFonts w:ascii="Arial" w:cs="Arial" w:eastAsia="Arial" w:hAnsi="Arial"/>
          <w:color w:val="2D2D2D"/>
          <w:sz w:val="19"/>
          <w:szCs w:val="19"/>
        </w:rPr>
        <w:t xml:space="preserve">Require scenario-specific response instructions for: personal injury incidents; fires; motor vehicle crashes; equipment damage; flooding; spills; and security events. Require integration of contractor ERPs to ensure seamless coordination across all project organisations.</w:t>
      </w:r>
    </w:p>
    <w:p>
      <w:pPr>
        <w:pStyle w:val="ListParagraph"/>
        <w:numPr>
          <w:ilvl w:val="0"/>
          <w:numId w:val="2"/>
        </w:numPr>
        <w:spacing w:after="40" w:before="40"/>
      </w:pPr>
      <w:r>
        <w:rPr>
          <w:rFonts w:ascii="Arial" w:cs="Arial" w:eastAsia="Arial" w:hAnsi="Arial"/>
          <w:b/>
          <w:bCs/>
          <w:color w:val="7030A0"/>
          <w:sz w:val="19"/>
          <w:szCs w:val="19"/>
        </w:rPr>
        <w:t xml:space="preserve">[ICMM – ICMM Principle 4 – Risk Management]  </w:t>
      </w:r>
      <w:r>
        <w:rPr>
          <w:rFonts w:ascii="Arial" w:cs="Arial" w:eastAsia="Arial" w:hAnsi="Arial"/>
          <w:color w:val="2D2D2D"/>
          <w:sz w:val="19"/>
          <w:szCs w:val="19"/>
        </w:rPr>
        <w:t xml:space="preserve">Develop, maintain, and test emergency response plans. Where risks to external stakeholders are significant, develop plans in collaboration with potentially affected stakeholders and consistent with established industry good practice.</w:t>
      </w:r>
    </w:p>
    <w:p>
      <w:pPr>
        <w:pStyle w:val="Heading2"/>
        <w:spacing w:after="60" w:before="240"/>
      </w:pPr>
      <w:r>
        <w:rPr>
          <w:rFonts w:ascii="Arial" w:cs="Arial" w:eastAsia="Arial" w:hAnsi="Arial"/>
          <w:b/>
          <w:bCs/>
          <w:color w:val="2E75B6"/>
          <w:sz w:val="22"/>
          <w:szCs w:val="22"/>
        </w:rPr>
        <w:t xml:space="preserve">Medical Emergency Plan</w:t>
      </w:r>
    </w:p>
    <w:p>
      <w:pPr>
        <w:pStyle w:val="ListParagraph"/>
        <w:numPr>
          <w:ilvl w:val="0"/>
          <w:numId w:val="2"/>
        </w:numPr>
        <w:spacing w:after="40" w:before="40"/>
      </w:pPr>
      <w:r>
        <w:rPr>
          <w:rFonts w:ascii="Arial" w:cs="Arial" w:eastAsia="Arial" w:hAnsi="Arial"/>
          <w:b/>
          <w:bCs/>
          <w:color w:val="375623"/>
          <w:sz w:val="19"/>
          <w:szCs w:val="19"/>
        </w:rPr>
        <w:t xml:space="preserve">[APPC – Appendix C, C-1 §32]  </w:t>
      </w:r>
      <w:r>
        <w:rPr>
          <w:rFonts w:ascii="Arial" w:cs="Arial" w:eastAsia="Arial" w:hAnsi="Arial"/>
          <w:color w:val="2D2D2D"/>
          <w:sz w:val="19"/>
          <w:szCs w:val="19"/>
        </w:rPr>
        <w:t xml:space="preserve">Require a comprehensive Medical Emergency Plan (MEP) covering: first aid risk assessment; resources with locations; call-out flowcharts; transport arrangements for ill or injured; emergency telephone numbers displayed at appropriate site locations; controlled drug register; first aid equipment details; medical equipment inspection schedule; and testing frequency.</w:t>
      </w:r>
    </w:p>
    <w:p>
      <w:pPr>
        <w:pStyle w:val="ListParagraph"/>
        <w:numPr>
          <w:ilvl w:val="0"/>
          <w:numId w:val="2"/>
        </w:numPr>
        <w:spacing w:after="40" w:before="40"/>
      </w:pPr>
      <w:r>
        <w:rPr>
          <w:rFonts w:ascii="Arial" w:cs="Arial" w:eastAsia="Arial" w:hAnsi="Arial"/>
          <w:b/>
          <w:bCs/>
          <w:color w:val="C55A11"/>
          <w:sz w:val="19"/>
          <w:szCs w:val="19"/>
        </w:rPr>
        <w:t xml:space="preserve">[IFC – IFC PS2 §24]  </w:t>
      </w:r>
      <w:r>
        <w:rPr>
          <w:rFonts w:ascii="Arial" w:cs="Arial" w:eastAsia="Arial" w:hAnsi="Arial"/>
          <w:color w:val="2D2D2D"/>
          <w:sz w:val="19"/>
          <w:szCs w:val="19"/>
        </w:rPr>
        <w:t xml:space="preserve">Ensure that medical emergency planning accounts for the availability and accessibility of local medical infrastructure, and that the project provides appropriate first aid and medical resources where local services are inadequate.</w:t>
      </w:r>
    </w:p>
    <w:p>
      <w:pPr>
        <w:pStyle w:val="Heading2"/>
        <w:spacing w:after="60" w:before="240"/>
      </w:pPr>
      <w:r>
        <w:rPr>
          <w:rFonts w:ascii="Arial" w:cs="Arial" w:eastAsia="Arial" w:hAnsi="Arial"/>
          <w:b/>
          <w:bCs/>
          <w:color w:val="2E75B6"/>
          <w:sz w:val="22"/>
          <w:szCs w:val="22"/>
        </w:rPr>
        <w:t xml:space="preserve">Community Consultation and Communications</w:t>
      </w:r>
    </w:p>
    <w:p>
      <w:pPr>
        <w:pStyle w:val="ListParagraph"/>
        <w:numPr>
          <w:ilvl w:val="0"/>
          <w:numId w:val="2"/>
        </w:numPr>
        <w:spacing w:after="40" w:before="40"/>
      </w:pPr>
      <w:r>
        <w:rPr>
          <w:rFonts w:ascii="Arial" w:cs="Arial" w:eastAsia="Arial" w:hAnsi="Arial"/>
          <w:b/>
          <w:bCs/>
          <w:color w:val="375623"/>
          <w:sz w:val="19"/>
          <w:szCs w:val="19"/>
        </w:rPr>
        <w:t xml:space="preserve">[APPC – Appendix C, C-1 §31.3]  </w:t>
      </w:r>
      <w:r>
        <w:rPr>
          <w:rFonts w:ascii="Arial" w:cs="Arial" w:eastAsia="Arial" w:hAnsi="Arial"/>
          <w:color w:val="2D2D2D"/>
          <w:sz w:val="19"/>
          <w:szCs w:val="19"/>
        </w:rPr>
        <w:t xml:space="preserve">Require identification of communities and stakeholders potentially affected by an emergency. Require community consultation in ERP development where there is potential for significant community impact. Require that all community emergency communications are in an accessible and understandable language or form.</w:t>
      </w:r>
    </w:p>
    <w:p>
      <w:pPr>
        <w:pStyle w:val="ListParagraph"/>
        <w:numPr>
          <w:ilvl w:val="0"/>
          <w:numId w:val="2"/>
        </w:numPr>
        <w:spacing w:after="40" w:before="40"/>
      </w:pPr>
      <w:r>
        <w:rPr>
          <w:rFonts w:ascii="Arial" w:cs="Arial" w:eastAsia="Arial" w:hAnsi="Arial"/>
          <w:b/>
          <w:bCs/>
          <w:color w:val="2F5496"/>
          <w:sz w:val="19"/>
          <w:szCs w:val="19"/>
        </w:rPr>
        <w:t xml:space="preserve">[TSM – TSM – Crisis Management and Communications Planning Protocol, Indicator CM2]  </w:t>
      </w:r>
      <w:r>
        <w:rPr>
          <w:rFonts w:ascii="Arial" w:cs="Arial" w:eastAsia="Arial" w:hAnsi="Arial"/>
          <w:color w:val="2D2D2D"/>
          <w:sz w:val="19"/>
          <w:szCs w:val="19"/>
        </w:rPr>
        <w:t xml:space="preserve">Develop and test crisis communication plans that enable timely, accurate, and transparent communication to all affected stakeholders during an emergency.</w:t>
      </w:r>
    </w:p>
    <w:p>
      <w:pPr>
        <w:pStyle w:val="Heading2"/>
        <w:spacing w:after="60" w:before="240"/>
      </w:pPr>
      <w:r>
        <w:rPr>
          <w:rFonts w:ascii="Arial" w:cs="Arial" w:eastAsia="Arial" w:hAnsi="Arial"/>
          <w:b/>
          <w:bCs/>
          <w:color w:val="2E75B6"/>
          <w:sz w:val="22"/>
          <w:szCs w:val="22"/>
        </w:rPr>
        <w:t xml:space="preserve">Emergency Drills and Business Resilience Team</w:t>
      </w:r>
    </w:p>
    <w:p>
      <w:pPr>
        <w:pStyle w:val="ListParagraph"/>
        <w:numPr>
          <w:ilvl w:val="0"/>
          <w:numId w:val="2"/>
        </w:numPr>
        <w:spacing w:after="40" w:before="40"/>
      </w:pPr>
      <w:r>
        <w:rPr>
          <w:rFonts w:ascii="Arial" w:cs="Arial" w:eastAsia="Arial" w:hAnsi="Arial"/>
          <w:b/>
          <w:bCs/>
          <w:color w:val="375623"/>
          <w:sz w:val="19"/>
          <w:szCs w:val="19"/>
        </w:rPr>
        <w:t xml:space="preserve">[APPC – Appendix C, C-1 §31.4]  </w:t>
      </w:r>
      <w:r>
        <w:rPr>
          <w:rFonts w:ascii="Arial" w:cs="Arial" w:eastAsia="Arial" w:hAnsi="Arial"/>
          <w:color w:val="2D2D2D"/>
          <w:sz w:val="19"/>
          <w:szCs w:val="19"/>
        </w:rPr>
        <w:t xml:space="preserve">Require periodic testing of emergency response capabilities through simulated scenarios, with interfaces to local emergency services and community response teams. Define minimum drill frequency per scenario type. Require lessons learned from drills to be incorporated into ERP updates.</w:t>
      </w:r>
    </w:p>
    <w:p>
      <w:pPr>
        <w:pStyle w:val="ListParagraph"/>
        <w:numPr>
          <w:ilvl w:val="0"/>
          <w:numId w:val="2"/>
        </w:numPr>
        <w:spacing w:after="40" w:before="40"/>
      </w:pPr>
      <w:r>
        <w:rPr>
          <w:rFonts w:ascii="Arial" w:cs="Arial" w:eastAsia="Arial" w:hAnsi="Arial"/>
          <w:b/>
          <w:bCs/>
          <w:color w:val="1F3864"/>
          <w:sz w:val="19"/>
          <w:szCs w:val="19"/>
        </w:rPr>
        <w:t xml:space="preserve">[RT – RT – Business Resilience Standard]  </w:t>
      </w:r>
      <w:r>
        <w:rPr>
          <w:rFonts w:ascii="Arial" w:cs="Arial" w:eastAsia="Arial" w:hAnsi="Arial"/>
          <w:color w:val="2D2D2D"/>
          <w:sz w:val="19"/>
          <w:szCs w:val="19"/>
        </w:rPr>
        <w:t xml:space="preserve">Define the site Business Resilience Team (BRT) composition, activation criteria, and escalation process to the RT Product Group/Functional Group BRT. Confirm that the site ERP operates within the framework established by the RT Corporate BRRP.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CRITICAL — Complete the Emergency Response Risk Assessment Workshop for this project and document outcomes. The ERP must be developed from these outcomes and available before Work commences. The ERP is a project deliverable separate from this procedure — insert a reference to the current ERP document.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Develop the project Medical Emergency Plan. The MEP must be specific to the project location, the local medical infrastructure available, and the project workforce size. Insert or reference the completed MEP.</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emergency drill schedule for this project: which scenarios; at what frequency; when in the project programme. The procedure requires testing — the project schedules the tests.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Confirm the project BRT composition and the escalation process to the RT Product Group/Functional Group BRT. Define the activation criteria specific to this project.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C-1 §31.4.1]  </w:t>
            </w:r>
            <w:r>
              <w:rPr>
                <w:rFonts w:ascii="Arial" w:cs="Arial" w:eastAsia="Arial" w:hAnsi="Arial"/>
                <w:color w:val="2D2D2D"/>
                <w:sz w:val="19"/>
                <w:szCs w:val="19"/>
              </w:rPr>
              <w:t xml:space="preserve">Require explicit assessment and addressing of language and cultural barriers that could impact emergency response effectiveness. ERPs must include translated emergency materials and interpreters where needed.</w:t>
            </w:r>
          </w:p>
          <w:p>
            <w:pPr>
              <w:pStyle w:val="ListParagraph"/>
              <w:numPr>
                <w:ilvl w:val="0"/>
                <w:numId w:val="2"/>
              </w:numPr>
              <w:spacing w:after="40" w:before="40"/>
            </w:pPr>
            <w:r>
              <w:rPr>
                <w:rFonts w:ascii="Arial" w:cs="Arial" w:eastAsia="Arial" w:hAnsi="Arial"/>
                <w:b/>
                <w:bCs/>
                <w:color w:val="375623"/>
                <w:sz w:val="19"/>
                <w:szCs w:val="19"/>
              </w:rPr>
              <w:t xml:space="preserve">[APPC – Appendix C, C-1 §31.5.6]  </w:t>
            </w:r>
            <w:r>
              <w:rPr>
                <w:rFonts w:ascii="Arial" w:cs="Arial" w:eastAsia="Arial" w:hAnsi="Arial"/>
                <w:color w:val="2D2D2D"/>
                <w:sz w:val="19"/>
                <w:szCs w:val="19"/>
              </w:rPr>
              <w:t xml:space="preserve">Require ERPs to include communication methods for coordination with host communities where a community impact is anticipated. The ERP must identify which scenarios have potential community impact and define the community notification process.</w:t>
            </w:r>
          </w:p>
          <w:p>
            <w:pPr>
              <w:pStyle w:val="ListParagraph"/>
              <w:numPr>
                <w:ilvl w:val="0"/>
                <w:numId w:val="2"/>
              </w:numPr>
              <w:spacing w:after="40" w:before="40"/>
            </w:pPr>
            <w:r>
              <w:rPr>
                <w:rFonts w:ascii="Arial" w:cs="Arial" w:eastAsia="Arial" w:hAnsi="Arial"/>
                <w:b/>
                <w:bCs/>
                <w:color w:val="375623"/>
                <w:sz w:val="19"/>
                <w:szCs w:val="19"/>
              </w:rPr>
              <w:t xml:space="preserve">[APPC – Appendix C, C-1 §31.5.7]  </w:t>
            </w:r>
            <w:r>
              <w:rPr>
                <w:rFonts w:ascii="Arial" w:cs="Arial" w:eastAsia="Arial" w:hAnsi="Arial"/>
                <w:color w:val="2D2D2D"/>
                <w:sz w:val="19"/>
                <w:szCs w:val="19"/>
              </w:rPr>
              <w:t xml:space="preserve">Require ERPs to include environmental protection measures tailored to each emergency scenario. For incidents with potential environmental impact, the ERP must define specific containment, notification, and remediation steps.</w:t>
            </w:r>
          </w:p>
          <w:p>
            <w:pPr>
              <w:pStyle w:val="ListParagraph"/>
              <w:numPr>
                <w:ilvl w:val="0"/>
                <w:numId w:val="2"/>
              </w:numPr>
              <w:spacing w:after="40" w:before="40"/>
            </w:pPr>
            <w:r>
              <w:rPr>
                <w:rFonts w:ascii="Arial" w:cs="Arial" w:eastAsia="Arial" w:hAnsi="Arial"/>
                <w:b/>
                <w:bCs/>
                <w:color w:val="375623"/>
                <w:sz w:val="19"/>
                <w:szCs w:val="19"/>
              </w:rPr>
              <w:t xml:space="preserve">[APPC – Appendix C, C-1 §31.5.9]  </w:t>
            </w:r>
            <w:r>
              <w:rPr>
                <w:rFonts w:ascii="Arial" w:cs="Arial" w:eastAsia="Arial" w:hAnsi="Arial"/>
                <w:color w:val="2D2D2D"/>
                <w:sz w:val="19"/>
                <w:szCs w:val="19"/>
              </w:rPr>
              <w:t xml:space="preserve">Require ERPs to include response measures and instructions for security incidents. Security emergency scenarios must be included alongside safety and environmental scenarios.</w:t>
            </w:r>
          </w:p>
          <w:p>
            <w:pPr>
              <w:pStyle w:val="ListParagraph"/>
              <w:numPr>
                <w:ilvl w:val="0"/>
                <w:numId w:val="2"/>
              </w:numPr>
              <w:spacing w:after="40" w:before="40"/>
            </w:pPr>
            <w:r>
              <w:rPr>
                <w:rFonts w:ascii="Arial" w:cs="Arial" w:eastAsia="Arial" w:hAnsi="Arial"/>
                <w:b/>
                <w:bCs/>
                <w:color w:val="375623"/>
                <w:sz w:val="19"/>
                <w:szCs w:val="19"/>
              </w:rPr>
              <w:t xml:space="preserve">[APPC – Appendix C, C-2 §32.7]  </w:t>
            </w:r>
            <w:r>
              <w:rPr>
                <w:rFonts w:ascii="Arial" w:cs="Arial" w:eastAsia="Arial" w:hAnsi="Arial"/>
                <w:color w:val="2D2D2D"/>
                <w:sz w:val="19"/>
                <w:szCs w:val="19"/>
              </w:rPr>
              <w:t xml:space="preserve">Require a controlled drug register for the record of all drugs distributed within the project medical facility, recording substance, quantity, recipient, authorising medical officer, and date.</w:t>
            </w:r>
          </w:p>
          <w:p>
            <w:pPr>
              <w:pStyle w:val="ListParagraph"/>
              <w:numPr>
                <w:ilvl w:val="0"/>
                <w:numId w:val="2"/>
              </w:numPr>
              <w:spacing w:after="40" w:before="40"/>
            </w:pPr>
            <w:r>
              <w:rPr>
                <w:rFonts w:ascii="Arial" w:cs="Arial" w:eastAsia="Arial" w:hAnsi="Arial"/>
                <w:b/>
                <w:bCs/>
                <w:color w:val="375623"/>
                <w:sz w:val="19"/>
                <w:szCs w:val="19"/>
              </w:rPr>
              <w:t xml:space="preserve">[APPC – Appendix C, C-2 §32.9]  </w:t>
            </w:r>
            <w:r>
              <w:rPr>
                <w:rFonts w:ascii="Arial" w:cs="Arial" w:eastAsia="Arial" w:hAnsi="Arial"/>
                <w:color w:val="2D2D2D"/>
                <w:sz w:val="19"/>
                <w:szCs w:val="19"/>
              </w:rPr>
              <w:t xml:space="preserve">Require a medical equipment inspection schedule defining the frequency of inspection and maintenance for all medical equipment. Inspection records must be maintained and available for audit.</w:t>
            </w:r>
          </w:p>
          <w:p>
            <w:pPr>
              <w:pStyle w:val="ListParagraph"/>
              <w:numPr>
                <w:ilvl w:val="0"/>
                <w:numId w:val="2"/>
              </w:numPr>
              <w:spacing w:after="40" w:before="40"/>
            </w:pPr>
            <w:r>
              <w:rPr>
                <w:rFonts w:ascii="Arial" w:cs="Arial" w:eastAsia="Arial" w:hAnsi="Arial"/>
                <w:b/>
                <w:bCs/>
                <w:color w:val="375623"/>
                <w:sz w:val="19"/>
                <w:szCs w:val="19"/>
              </w:rPr>
              <w:t xml:space="preserve">[APPC – Appendix C, C-4 §93.0.1]  </w:t>
            </w:r>
            <w:r>
              <w:rPr>
                <w:rFonts w:ascii="Arial" w:cs="Arial" w:eastAsia="Arial" w:hAnsi="Arial"/>
                <w:color w:val="2D2D2D"/>
                <w:sz w:val="19"/>
                <w:szCs w:val="19"/>
              </w:rPr>
              <w:t xml:space="preserve">Require that the emergency response risk assessment workshop includes an environmental component to demonstrate that appropriate environmental risks, controls, and response pathways are understood and incorporated into the ERP.</w:t>
            </w:r>
          </w:p>
          <w:p>
            <w:r>
              <w:rPr>
                <w:rFonts w:ascii="Arial" w:cs="Arial" w:eastAsia="Arial" w:hAnsi="Arial"/>
                <w:color w:val="3C2A00"/>
                <w:sz w:val="17"/>
                <w:szCs w:val="17"/>
              </w:rPr>
              <w:t xml:space="preserve">Define all emergency contact numbers specific to this project location: local hospital; emergency services; nearest trauma centre; project owner emergency contacts. Insert and display at all work locations.</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Monitoring and Measuring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13 – Monitoring &amp; Measuring</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RTPR-HSE-PRO-0042</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HSESC monitoring programme scope and frequencies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Inspection programme (CCFVs, PTW checks, proof tests)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Measuring equipment calibration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TARP framework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Monthly HSESC report content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(risk register as basis for monitoring programme)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(incident data as monitoring input)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RTPR-HSE-PRO-0007 – Improvement Planning (monitoring data as improvement input)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RTPR-HSE-PRO-0044 – Auditing (audits as part of performance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RTPR-HSE-PRO-0034, RTPR-HSE-PRO-0035, RTPR-HSE-PRO-0038 – Environmental procedures (environmental monitoring)</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RTPR-HSE-PRO-0007 references RTPR-HSE-PRO-0042 for performance data</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RTPR-HSE-PRO-0044 references RTPR-HSE-PRO-0042 for the monitoring programme being audited</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monitoring and measuring HSESC performance across the owner-led project to verify control effectiveness, confirm compliance with performance criteria, detect changing conditions, and support adaptive management and continuous improvement.</w:t>
      </w:r>
    </w:p>
    <w:p>
      <w:pPr>
        <w:pStyle w:val="Heading2"/>
        <w:spacing w:after="60" w:before="240"/>
      </w:pPr>
      <w:r>
        <w:rPr>
          <w:rFonts w:ascii="Arial" w:cs="Arial" w:eastAsia="Arial" w:hAnsi="Arial"/>
          <w:b/>
          <w:bCs/>
          <w:color w:val="2E75B6"/>
          <w:sz w:val="22"/>
          <w:szCs w:val="22"/>
        </w:rPr>
        <w:t xml:space="preserve">HSESC Monitoring Programme</w:t>
      </w:r>
    </w:p>
    <w:p>
      <w:pPr>
        <w:pStyle w:val="ListParagraph"/>
        <w:numPr>
          <w:ilvl w:val="0"/>
          <w:numId w:val="2"/>
        </w:numPr>
        <w:spacing w:after="40" w:before="40"/>
      </w:pPr>
      <w:r>
        <w:rPr>
          <w:rFonts w:ascii="Arial" w:cs="Arial" w:eastAsia="Arial" w:hAnsi="Arial"/>
          <w:b/>
          <w:bCs/>
          <w:color w:val="1F3864"/>
          <w:sz w:val="19"/>
          <w:szCs w:val="19"/>
        </w:rPr>
        <w:t xml:space="preserve">[RT – RT – Management &amp; Compliance Standard]  </w:t>
      </w:r>
      <w:r>
        <w:rPr>
          <w:rFonts w:ascii="Arial" w:cs="Arial" w:eastAsia="Arial" w:hAnsi="Arial"/>
          <w:color w:val="2D2D2D"/>
          <w:sz w:val="19"/>
          <w:szCs w:val="19"/>
        </w:rPr>
        <w:t xml:space="preserve">Define the scope of the project HSESC monitoring programme covering: safety performance leading and lagging indicators; occupational health and hygiene monitoring; environmental monitoring (water, air, soil, biodiversity); CRM verification performance; SMM maturity assessment; and social and community performance indicators.</w:t>
      </w:r>
    </w:p>
    <w:p>
      <w:pPr>
        <w:pStyle w:val="ListParagraph"/>
        <w:numPr>
          <w:ilvl w:val="0"/>
          <w:numId w:val="2"/>
        </w:numPr>
        <w:spacing w:after="40" w:before="40"/>
      </w:pPr>
      <w:r>
        <w:rPr>
          <w:rFonts w:ascii="Arial" w:cs="Arial" w:eastAsia="Arial" w:hAnsi="Arial"/>
          <w:b/>
          <w:bCs/>
          <w:color w:val="C55A11"/>
          <w:sz w:val="19"/>
          <w:szCs w:val="19"/>
        </w:rPr>
        <w:t xml:space="preserve">[IFC – IFC PS1 §22]  </w:t>
      </w:r>
      <w:r>
        <w:rPr>
          <w:rFonts w:ascii="Arial" w:cs="Arial" w:eastAsia="Arial" w:hAnsi="Arial"/>
          <w:color w:val="2D2D2D"/>
          <w:sz w:val="19"/>
          <w:szCs w:val="19"/>
        </w:rPr>
        <w:t xml:space="preserve">Define monitoring frequency, methodology, QA/QC requirements, responsible roles, and data recording requirements for each monitoring type. Require monitoring data to be analysed and interpreted at least annually, or at a frequency suited to operational needs and regulatory requirements.</w:t>
      </w:r>
    </w:p>
    <w:p>
      <w:pPr>
        <w:pStyle w:val="ListParagraph"/>
        <w:numPr>
          <w:ilvl w:val="0"/>
          <w:numId w:val="2"/>
        </w:numPr>
        <w:spacing w:after="40" w:before="40"/>
      </w:pPr>
      <w:r>
        <w:rPr>
          <w:rFonts w:ascii="Arial" w:cs="Arial" w:eastAsia="Arial" w:hAnsi="Arial"/>
          <w:b/>
          <w:bCs/>
          <w:color w:val="2F5496"/>
          <w:sz w:val="19"/>
          <w:szCs w:val="19"/>
        </w:rPr>
        <w:t xml:space="preserve">[TSM – TSM – Safe, Healthy and Respectful Workplaces Protocol, Indicator SH2]  </w:t>
      </w:r>
      <w:r>
        <w:rPr>
          <w:rFonts w:ascii="Arial" w:cs="Arial" w:eastAsia="Arial" w:hAnsi="Arial"/>
          <w:color w:val="2D2D2D"/>
          <w:sz w:val="19"/>
          <w:szCs w:val="19"/>
        </w:rPr>
        <w:t xml:space="preserve">Set and monitor measurable safety and health targets, reporting performance against them as part of the monthly and annual HSESC performance reporting cycle.</w:t>
      </w:r>
    </w:p>
    <w:p>
      <w:pPr>
        <w:pStyle w:val="Heading2"/>
        <w:spacing w:after="60" w:before="240"/>
      </w:pPr>
      <w:r>
        <w:rPr>
          <w:rFonts w:ascii="Arial" w:cs="Arial" w:eastAsia="Arial" w:hAnsi="Arial"/>
          <w:b/>
          <w:bCs/>
          <w:color w:val="2E75B6"/>
          <w:sz w:val="22"/>
          <w:szCs w:val="22"/>
        </w:rPr>
        <w:t xml:space="preserve">Inspection Programme</w:t>
      </w:r>
    </w:p>
    <w:p>
      <w:pPr>
        <w:pStyle w:val="ListParagraph"/>
        <w:numPr>
          <w:ilvl w:val="0"/>
          <w:numId w:val="2"/>
        </w:numPr>
        <w:spacing w:after="40" w:before="40"/>
      </w:pPr>
      <w:r>
        <w:rPr>
          <w:rFonts w:ascii="Arial" w:cs="Arial" w:eastAsia="Arial" w:hAnsi="Arial"/>
          <w:b/>
          <w:bCs/>
          <w:color w:val="375623"/>
          <w:sz w:val="19"/>
          <w:szCs w:val="19"/>
        </w:rPr>
        <w:t xml:space="preserve">[APPC – Appendix C, C-1 §40]  </w:t>
      </w:r>
      <w:r>
        <w:rPr>
          <w:rFonts w:ascii="Arial" w:cs="Arial" w:eastAsia="Arial" w:hAnsi="Arial"/>
          <w:color w:val="2D2D2D"/>
          <w:sz w:val="19"/>
          <w:szCs w:val="19"/>
        </w:rPr>
        <w:t xml:space="preserve">Define the planned HSESC inspection programme covering: site inspections; equipment inspections; CRM critical control field verifications (CCFVs); PTW system compliance checks; and process safety proof tests. Define inspection frequency, required competency of inspectors, and documentation requirements.</w:t>
      </w:r>
    </w:p>
    <w:p>
      <w:pPr>
        <w:pStyle w:val="ListParagraph"/>
        <w:numPr>
          <w:ilvl w:val="0"/>
          <w:numId w:val="2"/>
        </w:numPr>
        <w:spacing w:after="40" w:before="40"/>
      </w:pPr>
      <w:r>
        <w:rPr>
          <w:rFonts w:ascii="Arial" w:cs="Arial" w:eastAsia="Arial" w:hAnsi="Arial"/>
          <w:b/>
          <w:bCs/>
          <w:color w:val="BF9000"/>
          <w:sz w:val="19"/>
          <w:szCs w:val="19"/>
        </w:rPr>
        <w:t xml:space="preserve">[OSHA – OSHA RP 2016 – Hazard Identification and Assessment]  </w:t>
      </w:r>
      <w:r>
        <w:rPr>
          <w:rFonts w:ascii="Arial" w:cs="Arial" w:eastAsia="Arial" w:hAnsi="Arial"/>
          <w:color w:val="2D2D2D"/>
          <w:sz w:val="19"/>
          <w:szCs w:val="19"/>
        </w:rPr>
        <w:t xml:space="preserve">Conduct regular workplace inspections to identify new or recurring hazards, and document findings in the project action tracking system with assigned corrective actions.</w:t>
      </w:r>
    </w:p>
    <w:p>
      <w:pPr>
        <w:pStyle w:val="Heading2"/>
        <w:spacing w:after="60" w:before="240"/>
      </w:pPr>
      <w:r>
        <w:rPr>
          <w:rFonts w:ascii="Arial" w:cs="Arial" w:eastAsia="Arial" w:hAnsi="Arial"/>
          <w:b/>
          <w:bCs/>
          <w:color w:val="2E75B6"/>
          <w:sz w:val="22"/>
          <w:szCs w:val="22"/>
        </w:rPr>
        <w:t xml:space="preserve">Measuring Equipment Calibration</w:t>
      </w:r>
    </w:p>
    <w:p>
      <w:pPr>
        <w:pStyle w:val="ListParagraph"/>
        <w:numPr>
          <w:ilvl w:val="0"/>
          <w:numId w:val="2"/>
        </w:numPr>
        <w:spacing w:after="40" w:before="40"/>
      </w:pPr>
      <w:r>
        <w:rPr>
          <w:rFonts w:ascii="Arial" w:cs="Arial" w:eastAsia="Arial" w:hAnsi="Arial"/>
          <w:b/>
          <w:bCs/>
          <w:color w:val="1F3864"/>
          <w:sz w:val="19"/>
          <w:szCs w:val="19"/>
        </w:rPr>
        <w:t xml:space="preserve">[RT – RT C5 – Confined Space Standard / RT C2 – Electrical Safety Standard]  </w:t>
      </w:r>
      <w:r>
        <w:rPr>
          <w:rFonts w:ascii="Arial" w:cs="Arial" w:eastAsia="Arial" w:hAnsi="Arial"/>
          <w:color w:val="2D2D2D"/>
          <w:sz w:val="19"/>
          <w:szCs w:val="19"/>
        </w:rPr>
        <w:t xml:space="preserve">Require all safety-critical measuring and monitoring equipment to be calibrated per manufacturer requirements, with calibration records maintained. Require gas detector bump-testing before each use with results recorded on relevant permits.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§2.9]  </w:t>
      </w:r>
      <w:r>
        <w:rPr>
          <w:rFonts w:ascii="Arial" w:cs="Arial" w:eastAsia="Arial" w:hAnsi="Arial"/>
          <w:color w:val="2D2D2D"/>
          <w:sz w:val="19"/>
          <w:szCs w:val="19"/>
        </w:rPr>
        <w:t xml:space="preserve">Ensure that environmental monitoring uses methods consistent with nationally or internationally recognised analytical and sampling standards, and that data quality is verified through QA/QC processes.</w:t>
      </w:r>
    </w:p>
    <w:p>
      <w:pPr>
        <w:pStyle w:val="Heading2"/>
        <w:spacing w:after="60" w:before="240"/>
      </w:pPr>
      <w:r>
        <w:rPr>
          <w:rFonts w:ascii="Arial" w:cs="Arial" w:eastAsia="Arial" w:hAnsi="Arial"/>
          <w:b/>
          <w:bCs/>
          <w:color w:val="2E75B6"/>
          <w:sz w:val="22"/>
          <w:szCs w:val="22"/>
        </w:rPr>
        <w:t xml:space="preserve">Trigger Action Response Plans (TARPs)</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General Requirements Standard]  </w:t>
      </w:r>
      <w:r>
        <w:rPr>
          <w:rFonts w:ascii="Arial" w:cs="Arial" w:eastAsia="Arial" w:hAnsi="Arial"/>
          <w:color w:val="2D2D2D"/>
          <w:sz w:val="19"/>
          <w:szCs w:val="19"/>
        </w:rPr>
        <w:t xml:space="preserve">Require Trigger Action Response Plans (TARPs) for all material environmental and safety risks, specifying: trigger level; responsible role; required action; escalation path; and response timeframe. Require TARPs to be tested through drills and exercises at defined intervals.</w:t>
      </w:r>
    </w:p>
    <w:p>
      <w:pPr>
        <w:pStyle w:val="ListParagraph"/>
        <w:numPr>
          <w:ilvl w:val="0"/>
          <w:numId w:val="2"/>
        </w:numPr>
        <w:spacing w:after="40" w:before="40"/>
      </w:pPr>
      <w:r>
        <w:rPr>
          <w:rFonts w:ascii="Arial" w:cs="Arial" w:eastAsia="Arial" w:hAnsi="Arial"/>
          <w:b/>
          <w:bCs/>
          <w:color w:val="C55A11"/>
          <w:sz w:val="19"/>
          <w:szCs w:val="19"/>
        </w:rPr>
        <w:t xml:space="preserve">[IFC – IFC PS1 §11]  </w:t>
      </w:r>
      <w:r>
        <w:rPr>
          <w:rFonts w:ascii="Arial" w:cs="Arial" w:eastAsia="Arial" w:hAnsi="Arial"/>
          <w:color w:val="2D2D2D"/>
          <w:sz w:val="19"/>
          <w:szCs w:val="19"/>
        </w:rPr>
        <w:t xml:space="preserve">Ensure that adaptive management responses to monitoring trigger events are implemented promptly and that the effectiveness of corrective actions is verified and recorded.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Develop the project HSESC monitoring programme as a schedule: list each monitoring type; define frequency; assign responsible roles; define the data recording method. Insert as Appendix A.</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monthly HSESC report template, aligned to the RT Appendix C-8 template requirements. The procedure defines content — the project produces the formatted template.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gas detector calibration register and bump-test recording system. The procedure requires calibration records — define the project-specific record format and storage.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Develop the project TARPs for all material environmental and safety risks identified in RTPR-HSE-PRO-0002. Each TARP must be specific to this project's monitoring locations and trigger thresholds.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C-1 §40.1.1]  </w:t>
            </w:r>
            <w:r>
              <w:rPr>
                <w:rFonts w:ascii="Arial" w:cs="Arial" w:eastAsia="Arial" w:hAnsi="Arial"/>
                <w:color w:val="2D2D2D"/>
                <w:sz w:val="19"/>
                <w:szCs w:val="19"/>
              </w:rPr>
              <w:t xml:space="preserve">Require that the project makes all reasonable efforts to accommodate Company HSESC audits and provides unrestricted access to facilities, equipment, materials, personnel, and records. Company audits will be conducted with a minimum of two working days notice.</w:t>
            </w:r>
          </w:p>
          <w:p>
            <w:pPr>
              <w:pStyle w:val="ListParagraph"/>
              <w:numPr>
                <w:ilvl w:val="0"/>
                <w:numId w:val="2"/>
              </w:numPr>
              <w:spacing w:after="40" w:before="40"/>
            </w:pPr>
            <w:r>
              <w:rPr>
                <w:rFonts w:ascii="Arial" w:cs="Arial" w:eastAsia="Arial" w:hAnsi="Arial"/>
                <w:b/>
                <w:bCs/>
                <w:color w:val="375623"/>
                <w:sz w:val="19"/>
                <w:szCs w:val="19"/>
              </w:rPr>
              <w:t xml:space="preserve">[APPC – Appendix C, C-1 §40.2.1]  </w:t>
            </w:r>
            <w:r>
              <w:rPr>
                <w:rFonts w:ascii="Arial" w:cs="Arial" w:eastAsia="Arial" w:hAnsi="Arial"/>
                <w:color w:val="2D2D2D"/>
                <w:sz w:val="19"/>
                <w:szCs w:val="19"/>
              </w:rPr>
              <w:t xml:space="preserve">Require that instructions from the Company based on inspection findings are implemented within a mutually agreed timeframe. Inspection outcomes must be recorded and corrective actions tracked to ensure timely resolution.</w:t>
            </w:r>
          </w:p>
          <w:p>
            <w:pPr>
              <w:pStyle w:val="ListParagraph"/>
              <w:numPr>
                <w:ilvl w:val="0"/>
                <w:numId w:val="2"/>
              </w:numPr>
              <w:spacing w:after="40" w:before="40"/>
            </w:pPr>
            <w:r>
              <w:rPr>
                <w:rFonts w:ascii="Arial" w:cs="Arial" w:eastAsia="Arial" w:hAnsi="Arial"/>
                <w:b/>
                <w:bCs/>
                <w:color w:val="375623"/>
                <w:sz w:val="19"/>
                <w:szCs w:val="19"/>
              </w:rPr>
              <w:t xml:space="preserve">[APPC – Appendix C, C-1 §41.3.1]  </w:t>
            </w:r>
            <w:r>
              <w:rPr>
                <w:rFonts w:ascii="Arial" w:cs="Arial" w:eastAsia="Arial" w:hAnsi="Arial"/>
                <w:color w:val="2D2D2D"/>
                <w:sz w:val="19"/>
                <w:szCs w:val="19"/>
              </w:rPr>
              <w:t xml:space="preserve">Require that HSESC metrics including objectives, targets, and KPIs are proposed by the Contractor and agreed with the Company before execution phase commences. Agreed metrics must be reported at agreed intervals.</w:t>
            </w:r>
          </w:p>
          <w:p>
            <w:r>
              <w:rPr>
                <w:rFonts w:ascii="Arial" w:cs="Arial" w:eastAsia="Arial" w:hAnsi="Arial"/>
                <w:color w:val="3C2A00"/>
                <w:sz w:val="17"/>
                <w:szCs w:val="17"/>
              </w:rPr>
              <w:t xml:space="preserve">Define the project CRM verification schedule: frequency of CCFVs by critical risk; target completion rate; reporting format to the project owner.</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Data and Records Management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15 – Data &amp; Records Management</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RTPR-HSE-PRO-0043</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Data quality and validation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Data ownership and authorised storage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Record retention schedule by category</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Community data privacy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Records disposal process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RTPR-HSE-PRO-0010 – Document Control (document types subject to retention requirements)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RTPR-HSE-PRO-0001 – Legal Requirements (legislative retention obligations)</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RTPR-HSE-PRO-0010 references RTPR-HSE-PRO-0043 for record retention</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All procedures producing records reference RTPR-HSE-PRO-0043 for retention periods</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managing HSESC data and records — from creation through to secure retention, accessibility, and disposal — ensuring that the information generated by the project management system is reliable, defensible, and available for the purposes of assurance, regulatory compliance, and learning.</w:t>
      </w:r>
    </w:p>
    <w:p>
      <w:pPr>
        <w:pStyle w:val="Heading2"/>
        <w:spacing w:after="60" w:before="240"/>
      </w:pPr>
      <w:r>
        <w:rPr>
          <w:rFonts w:ascii="Arial" w:cs="Arial" w:eastAsia="Arial" w:hAnsi="Arial"/>
          <w:b/>
          <w:bCs/>
          <w:color w:val="2E75B6"/>
          <w:sz w:val="22"/>
          <w:szCs w:val="22"/>
        </w:rPr>
        <w:t xml:space="preserve">Data Quality and Validation</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General Requirements Standard]  </w:t>
      </w:r>
      <w:r>
        <w:rPr>
          <w:rFonts w:ascii="Arial" w:cs="Arial" w:eastAsia="Arial" w:hAnsi="Arial"/>
          <w:color w:val="2D2D2D"/>
          <w:sz w:val="19"/>
          <w:szCs w:val="19"/>
        </w:rPr>
        <w:t xml:space="preserve">Require that all environmental and HSESC data is validated, accurate, current, and defensible, with use of accredited laboratories where required. Require annual data analysis and interpretation at minimum. Document data assumptions, limitations, and uncertainty.</w:t>
      </w:r>
    </w:p>
    <w:p>
      <w:pPr>
        <w:pStyle w:val="ListParagraph"/>
        <w:numPr>
          <w:ilvl w:val="0"/>
          <w:numId w:val="2"/>
        </w:numPr>
        <w:spacing w:after="40" w:before="40"/>
      </w:pPr>
      <w:r>
        <w:rPr>
          <w:rFonts w:ascii="Arial" w:cs="Arial" w:eastAsia="Arial" w:hAnsi="Arial"/>
          <w:b/>
          <w:bCs/>
          <w:color w:val="C55A11"/>
          <w:sz w:val="19"/>
          <w:szCs w:val="19"/>
        </w:rPr>
        <w:t xml:space="preserve">[IFC – IFC PS1 §22]  </w:t>
      </w:r>
      <w:r>
        <w:rPr>
          <w:rFonts w:ascii="Arial" w:cs="Arial" w:eastAsia="Arial" w:hAnsi="Arial"/>
          <w:color w:val="2D2D2D"/>
          <w:sz w:val="19"/>
          <w:szCs w:val="19"/>
        </w:rPr>
        <w:t xml:space="preserve">Implement a data quality assurance programme with defined QA/QC protocols, sampling standards, and validation steps proportionate to the sensitivity of the data and its intended uses.</w:t>
      </w:r>
    </w:p>
    <w:p>
      <w:pPr>
        <w:pStyle w:val="ListParagraph"/>
        <w:numPr>
          <w:ilvl w:val="0"/>
          <w:numId w:val="2"/>
        </w:numPr>
        <w:spacing w:after="40" w:before="40"/>
      </w:pPr>
      <w:r>
        <w:rPr>
          <w:rFonts w:ascii="Arial" w:cs="Arial" w:eastAsia="Arial" w:hAnsi="Arial"/>
          <w:b/>
          <w:bCs/>
          <w:color w:val="2F5496"/>
          <w:sz w:val="19"/>
          <w:szCs w:val="19"/>
        </w:rPr>
        <w:t xml:space="preserve">[TSM – TSM – Tailings Management Protocol, Indicator TM3]  </w:t>
      </w:r>
      <w:r>
        <w:rPr>
          <w:rFonts w:ascii="Arial" w:cs="Arial" w:eastAsia="Arial" w:hAnsi="Arial"/>
          <w:color w:val="2D2D2D"/>
          <w:sz w:val="19"/>
          <w:szCs w:val="19"/>
        </w:rPr>
        <w:t xml:space="preserve">Ensure that data used for tailings and geotechnical monitoring is collected, validated, and stored in a manner that supports independent verification and long-term accessibility.</w:t>
      </w:r>
    </w:p>
    <w:p>
      <w:pPr>
        <w:pStyle w:val="Heading2"/>
        <w:spacing w:after="60" w:before="240"/>
      </w:pPr>
      <w:r>
        <w:rPr>
          <w:rFonts w:ascii="Arial" w:cs="Arial" w:eastAsia="Arial" w:hAnsi="Arial"/>
          <w:b/>
          <w:bCs/>
          <w:color w:val="2E75B6"/>
          <w:sz w:val="22"/>
          <w:szCs w:val="22"/>
        </w:rPr>
        <w:t xml:space="preserve">Data Ownership and Storage</w:t>
      </w:r>
    </w:p>
    <w:p>
      <w:pPr>
        <w:pStyle w:val="ListParagraph"/>
        <w:numPr>
          <w:ilvl w:val="0"/>
          <w:numId w:val="2"/>
        </w:numPr>
        <w:spacing w:after="40" w:before="40"/>
      </w:pPr>
      <w:r>
        <w:rPr>
          <w:rFonts w:ascii="Arial" w:cs="Arial" w:eastAsia="Arial" w:hAnsi="Arial"/>
          <w:b/>
          <w:bCs/>
          <w:color w:val="1F3864"/>
          <w:sz w:val="19"/>
          <w:szCs w:val="19"/>
        </w:rPr>
        <w:t xml:space="preserve">[RT – RT Environment and Nature – General Requirements Standard]  </w:t>
      </w:r>
      <w:r>
        <w:rPr>
          <w:rFonts w:ascii="Arial" w:cs="Arial" w:eastAsia="Arial" w:hAnsi="Arial"/>
          <w:color w:val="2D2D2D"/>
          <w:sz w:val="19"/>
          <w:szCs w:val="19"/>
        </w:rPr>
        <w:t xml:space="preserve">Require that all environmental and HSESC data is owned by RT, stored on authorised company systems in a format ensuring long-term integrity and accessibility, and not held solely on contractor or service provider systems.</w:t>
      </w:r>
    </w:p>
    <w:p>
      <w:pPr>
        <w:pStyle w:val="ListParagraph"/>
        <w:numPr>
          <w:ilvl w:val="0"/>
          <w:numId w:val="2"/>
        </w:numPr>
        <w:spacing w:after="40" w:before="40"/>
      </w:pPr>
      <w:r>
        <w:rPr>
          <w:rFonts w:ascii="Arial" w:cs="Arial" w:eastAsia="Arial" w:hAnsi="Arial"/>
          <w:b/>
          <w:bCs/>
          <w:color w:val="1F3864"/>
          <w:sz w:val="19"/>
          <w:szCs w:val="19"/>
        </w:rPr>
        <w:t xml:space="preserve">[RT – RT CSP Standard – Data Privacy]  </w:t>
      </w:r>
      <w:r>
        <w:rPr>
          <w:rFonts w:ascii="Arial" w:cs="Arial" w:eastAsia="Arial" w:hAnsi="Arial"/>
          <w:color w:val="2D2D2D"/>
          <w:sz w:val="19"/>
          <w:szCs w:val="19"/>
        </w:rPr>
        <w:t xml:space="preserve">Require that community, stakeholder, and personal data is managed in compliance with the RT Data Privacy Standard, with appropriate access controls and confidentiality protections.</w:t>
      </w:r>
    </w:p>
    <w:p>
      <w:pPr>
        <w:pStyle w:val="ListParagraph"/>
        <w:numPr>
          <w:ilvl w:val="0"/>
          <w:numId w:val="2"/>
        </w:numPr>
        <w:spacing w:after="40" w:before="40"/>
      </w:pPr>
      <w:r>
        <w:rPr>
          <w:rFonts w:ascii="Arial" w:cs="Arial" w:eastAsia="Arial" w:hAnsi="Arial"/>
          <w:b/>
          <w:bCs/>
          <w:color w:val="C55A11"/>
          <w:sz w:val="19"/>
          <w:szCs w:val="19"/>
        </w:rPr>
        <w:t xml:space="preserve">[IFC – IFC PS1 §22]  </w:t>
      </w:r>
      <w:r>
        <w:rPr>
          <w:rFonts w:ascii="Arial" w:cs="Arial" w:eastAsia="Arial" w:hAnsi="Arial"/>
          <w:color w:val="2D2D2D"/>
          <w:sz w:val="19"/>
          <w:szCs w:val="19"/>
        </w:rPr>
        <w:t xml:space="preserve">Retain monitoring data and management records for the life of the project and beyond where legacy environmental obligations exist.</w:t>
      </w:r>
    </w:p>
    <w:p>
      <w:pPr>
        <w:pStyle w:val="Heading2"/>
        <w:spacing w:after="60" w:before="240"/>
      </w:pPr>
      <w:r>
        <w:rPr>
          <w:rFonts w:ascii="Arial" w:cs="Arial" w:eastAsia="Arial" w:hAnsi="Arial"/>
          <w:b/>
          <w:bCs/>
          <w:color w:val="2E75B6"/>
          <w:sz w:val="22"/>
          <w:szCs w:val="22"/>
        </w:rPr>
        <w:t xml:space="preserve">Record Retention Schedule</w:t>
      </w:r>
    </w:p>
    <w:p>
      <w:pPr>
        <w:pStyle w:val="ListParagraph"/>
        <w:numPr>
          <w:ilvl w:val="0"/>
          <w:numId w:val="2"/>
        </w:numPr>
        <w:spacing w:after="40" w:before="40"/>
      </w:pPr>
      <w:r>
        <w:rPr>
          <w:rFonts w:ascii="Arial" w:cs="Arial" w:eastAsia="Arial" w:hAnsi="Arial"/>
          <w:b/>
          <w:bCs/>
          <w:color w:val="1F3864"/>
          <w:sz w:val="19"/>
          <w:szCs w:val="19"/>
        </w:rPr>
        <w:t xml:space="preserve">[RT – RT – Multiple Standards]  </w:t>
      </w:r>
      <w:r>
        <w:rPr>
          <w:rFonts w:ascii="Arial" w:cs="Arial" w:eastAsia="Arial" w:hAnsi="Arial"/>
          <w:color w:val="2D2D2D"/>
          <w:sz w:val="19"/>
          <w:szCs w:val="19"/>
        </w:rPr>
        <w:t xml:space="preserve">Define minimum retention periods by record category: electrical equipment inspection records — minimum 5 years; incident investigation records — per classification and applicable legislation; explosives records — minimum 5 years or life of mine; environmental monitoring datasets — life of asset; training and competency records — employment period plus a defined post-employment period. Define the authority for approving early disposal of records.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 records disposal process for records that have reached their retention expiry, documenting: what was destroyed; the authority that approved disposal; the disposal date and method; and any records that were transferred to a permanent archive rather than disposed of.</w:t>
      </w:r>
    </w:p>
    <w:p>
      <w:pPr>
        <w:pStyle w:val="Heading2"/>
        <w:spacing w:after="60" w:before="240"/>
      </w:pPr>
      <w:r>
        <w:rPr>
          <w:rFonts w:ascii="Arial" w:cs="Arial" w:eastAsia="Arial" w:hAnsi="Arial"/>
          <w:b/>
          <w:bCs/>
          <w:color w:val="2E75B6"/>
          <w:sz w:val="22"/>
          <w:szCs w:val="22"/>
        </w:rPr>
        <w:t xml:space="preserve">Access and Confidentiality</w:t>
      </w:r>
    </w:p>
    <w:p>
      <w:pPr>
        <w:pStyle w:val="ListParagraph"/>
        <w:numPr>
          <w:ilvl w:val="0"/>
          <w:numId w:val="2"/>
        </w:numPr>
        <w:spacing w:after="40" w:before="40"/>
      </w:pPr>
      <w:r>
        <w:rPr>
          <w:rFonts w:ascii="Arial" w:cs="Arial" w:eastAsia="Arial" w:hAnsi="Arial"/>
          <w:b/>
          <w:bCs/>
          <w:color w:val="C55A11"/>
          <w:sz w:val="19"/>
          <w:szCs w:val="19"/>
        </w:rPr>
        <w:t xml:space="preserve">[IFC – IFC PS1 §35]  </w:t>
      </w:r>
      <w:r>
        <w:rPr>
          <w:rFonts w:ascii="Arial" w:cs="Arial" w:eastAsia="Arial" w:hAnsi="Arial"/>
          <w:color w:val="2D2D2D"/>
          <w:sz w:val="19"/>
          <w:szCs w:val="19"/>
        </w:rPr>
        <w:t xml:space="preserve">Disclose environmental and social monitoring reports to affected communities in a manner and format that is accessible and understandable, consistent with applicable performance standard disclosure obligations.</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access rights by role for all HSESC data and records, classifying information by sensitivity (public; project-restricted; commercially confidential; personal/medical), and document access control procedures for each classification.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authorised data storage platforms for this project: which system holds HSESC records; which holds environmental monitoring data; which holds community engagement records. The procedure requires authorised systems — the project defines the systems.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records classification system: which record types are public; project-restricted; commercially confidential; personal/medical. Define access controls for each.</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Confirm any project-specific retention requirements that exceed the minimum periods in this procedure (e.g., longer retention in the project host jurisdiction). Insert as a table.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C-4 §96.0.3]  </w:t>
            </w:r>
            <w:r>
              <w:rPr>
                <w:rFonts w:ascii="Arial" w:cs="Arial" w:eastAsia="Arial" w:hAnsi="Arial"/>
                <w:color w:val="2D2D2D"/>
                <w:sz w:val="19"/>
                <w:szCs w:val="19"/>
              </w:rPr>
              <w:t xml:space="preserve">Require that data records are maintained, reviewed, and interpreted to a level of rigour that defends the business reputation and meets external reporting commitments including regulatory reporting and community obligations.</w:t>
            </w:r>
          </w:p>
          <w:p>
            <w:pPr>
              <w:pStyle w:val="ListParagraph"/>
              <w:numPr>
                <w:ilvl w:val="0"/>
                <w:numId w:val="2"/>
              </w:numPr>
              <w:spacing w:after="40" w:before="40"/>
            </w:pPr>
            <w:r>
              <w:rPr>
                <w:rFonts w:ascii="Arial" w:cs="Arial" w:eastAsia="Arial" w:hAnsi="Arial"/>
                <w:b/>
                <w:bCs/>
                <w:color w:val="375623"/>
                <w:sz w:val="19"/>
                <w:szCs w:val="19"/>
              </w:rPr>
              <w:t xml:space="preserve">[APPC – Appendix C, C-4 §96.0.5]  </w:t>
            </w:r>
            <w:r>
              <w:rPr>
                <w:rFonts w:ascii="Arial" w:cs="Arial" w:eastAsia="Arial" w:hAnsi="Arial"/>
                <w:color w:val="2D2D2D"/>
                <w:sz w:val="19"/>
                <w:szCs w:val="19"/>
              </w:rPr>
              <w:t xml:space="preserve">Require that environmental information, communications, and system documents are accessible by the project workforce in a format and location accessible to the personnel responsible for implementing the controls they describe.</w:t>
            </w:r>
          </w:p>
          <w:p>
            <w:pPr>
              <w:pStyle w:val="ListParagraph"/>
              <w:numPr>
                <w:ilvl w:val="0"/>
                <w:numId w:val="2"/>
              </w:numPr>
              <w:spacing w:after="40" w:before="40"/>
            </w:pPr>
            <w:r>
              <w:rPr>
                <w:rFonts w:ascii="Arial" w:cs="Arial" w:eastAsia="Arial" w:hAnsi="Arial"/>
                <w:b/>
                <w:bCs/>
                <w:color w:val="375623"/>
                <w:sz w:val="19"/>
                <w:szCs w:val="19"/>
              </w:rPr>
              <w:t xml:space="preserve">[APPC – Appendix C, C-4 §96.0.6]  </w:t>
            </w:r>
            <w:r>
              <w:rPr>
                <w:rFonts w:ascii="Arial" w:cs="Arial" w:eastAsia="Arial" w:hAnsi="Arial"/>
                <w:color w:val="2D2D2D"/>
                <w:sz w:val="19"/>
                <w:szCs w:val="19"/>
              </w:rPr>
              <w:t xml:space="preserve">Require that all geospatial data and monitoring data is provided in the correct local grid reference and in a format that can be imported into Company spatial data management systems.</w:t>
            </w:r>
          </w:p>
          <w:p>
            <w:r>
              <w:rPr>
                <w:rFonts w:ascii="Arial" w:cs="Arial" w:eastAsia="Arial" w:hAnsi="Arial"/>
                <w:color w:val="3C2A00"/>
                <w:sz w:val="17"/>
                <w:szCs w:val="17"/>
              </w:rPr>
              <w:t xml:space="preserve">Define the project records disposal authority: who can approve disposal of records at the end of their retention period; what documentation of disposal is required.</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Performance Assessment and Auditing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16 – Performance Assessment &amp; Auditing</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RTPR-HSE-PRO-0044</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Audit programme requirements (types, frequency, scope)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Audit conduct and reporting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Finding severity classification</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CRM verification reporting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Action tracking and closeout verification requirements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(risk register as basis for audit scope)</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RTPR-HSE-PRO-0007 – Improvement Planning (audit findings as improvement inputs)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RTPR-HSE-PRO-0010 – Document Control (audit records)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RTPR-HSE-PRO-0042 – Monitoring (audit as part of performance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RTPR-HSE-PRO-0045 – Management Review (audit findings as management review input)</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RTPR-HSE-PRO-0045 references RTPR-HSE-PRO-0044 for audit findings as management review input</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planning, conducting, reporting, and tracking HSESC audits and inspections across the owner-led project. As project owner, RT has the right and responsibility to audit all contractor organisations operating under the project management system without restriction.</w:t>
      </w:r>
    </w:p>
    <w:p>
      <w:pPr>
        <w:pStyle w:val="Heading2"/>
        <w:spacing w:after="60" w:before="240"/>
      </w:pPr>
      <w:r>
        <w:rPr>
          <w:rFonts w:ascii="Arial" w:cs="Arial" w:eastAsia="Arial" w:hAnsi="Arial"/>
          <w:b/>
          <w:bCs/>
          <w:color w:val="2E75B6"/>
          <w:sz w:val="22"/>
          <w:szCs w:val="22"/>
        </w:rPr>
        <w:t xml:space="preserve">Audit Programme</w:t>
      </w:r>
    </w:p>
    <w:p>
      <w:pPr>
        <w:pStyle w:val="ListParagraph"/>
        <w:numPr>
          <w:ilvl w:val="0"/>
          <w:numId w:val="2"/>
        </w:numPr>
        <w:spacing w:after="40" w:before="40"/>
      </w:pPr>
      <w:r>
        <w:rPr>
          <w:rFonts w:ascii="Arial" w:cs="Arial" w:eastAsia="Arial" w:hAnsi="Arial"/>
          <w:b/>
          <w:bCs/>
          <w:color w:val="375623"/>
          <w:sz w:val="19"/>
          <w:szCs w:val="19"/>
        </w:rPr>
        <w:t xml:space="preserve">[APPC – Appendix C, C-1 §40–41]  </w:t>
      </w:r>
      <w:r>
        <w:rPr>
          <w:rFonts w:ascii="Arial" w:cs="Arial" w:eastAsia="Arial" w:hAnsi="Arial"/>
          <w:color w:val="2D2D2D"/>
          <w:sz w:val="19"/>
          <w:szCs w:val="19"/>
        </w:rPr>
        <w:t xml:space="preserve">Define a planned project HSESC audit programme covering: audit types (system, compliance, and specialised topic audits); frequency; scope; required auditor competency; sampling methodology; and documentation requirements. Apply audit and inspection requirements to all contractor organisations and their subcontractors.</w:t>
      </w:r>
    </w:p>
    <w:p>
      <w:pPr>
        <w:pStyle w:val="ListParagraph"/>
        <w:numPr>
          <w:ilvl w:val="0"/>
          <w:numId w:val="2"/>
        </w:numPr>
        <w:spacing w:after="40" w:before="40"/>
      </w:pPr>
      <w:r>
        <w:rPr>
          <w:rFonts w:ascii="Arial" w:cs="Arial" w:eastAsia="Arial" w:hAnsi="Arial"/>
          <w:b/>
          <w:bCs/>
          <w:color w:val="C55A11"/>
          <w:sz w:val="19"/>
          <w:szCs w:val="19"/>
        </w:rPr>
        <w:t xml:space="preserve">[IFC – IFC PS1 §22]  </w:t>
      </w:r>
      <w:r>
        <w:rPr>
          <w:rFonts w:ascii="Arial" w:cs="Arial" w:eastAsia="Arial" w:hAnsi="Arial"/>
          <w:color w:val="2D2D2D"/>
          <w:sz w:val="19"/>
          <w:szCs w:val="19"/>
        </w:rPr>
        <w:t xml:space="preserve">Ensure that the audit programme covers the effectiveness of management controls against the objectives and targets set in the project management plans, not only checklist compliance.</w:t>
      </w:r>
    </w:p>
    <w:p>
      <w:pPr>
        <w:pStyle w:val="ListParagraph"/>
        <w:numPr>
          <w:ilvl w:val="0"/>
          <w:numId w:val="2"/>
        </w:numPr>
        <w:spacing w:after="40" w:before="40"/>
      </w:pPr>
      <w:r>
        <w:rPr>
          <w:rFonts w:ascii="Arial" w:cs="Arial" w:eastAsia="Arial" w:hAnsi="Arial"/>
          <w:b/>
          <w:bCs/>
          <w:color w:val="2F5496"/>
          <w:sz w:val="19"/>
          <w:szCs w:val="19"/>
        </w:rPr>
        <w:t xml:space="preserve">[TSM – TSM – Safe, Healthy and Respectful Workplaces Protocol, Indicator SH3]  </w:t>
      </w:r>
      <w:r>
        <w:rPr>
          <w:rFonts w:ascii="Arial" w:cs="Arial" w:eastAsia="Arial" w:hAnsi="Arial"/>
          <w:color w:val="2D2D2D"/>
          <w:sz w:val="19"/>
          <w:szCs w:val="19"/>
        </w:rPr>
        <w:t xml:space="preserve">Confirm through regular audits that processes for preventing incidents are in place and that senior management is demonstrably accountable for safety and health outcomes.</w:t>
      </w:r>
    </w:p>
    <w:p>
      <w:pPr>
        <w:pStyle w:val="Heading2"/>
        <w:spacing w:after="60" w:before="240"/>
      </w:pPr>
      <w:r>
        <w:rPr>
          <w:rFonts w:ascii="Arial" w:cs="Arial" w:eastAsia="Arial" w:hAnsi="Arial"/>
          <w:b/>
          <w:bCs/>
          <w:color w:val="2E75B6"/>
          <w:sz w:val="22"/>
          <w:szCs w:val="22"/>
        </w:rPr>
        <w:t xml:space="preserve">Audit Conduct and Reporting</w:t>
      </w:r>
    </w:p>
    <w:p>
      <w:pPr>
        <w:pStyle w:val="ListParagraph"/>
        <w:numPr>
          <w:ilvl w:val="0"/>
          <w:numId w:val="2"/>
        </w:numPr>
        <w:spacing w:after="40" w:before="40"/>
      </w:pPr>
      <w:r>
        <w:rPr>
          <w:rFonts w:ascii="Arial" w:cs="Arial" w:eastAsia="Arial" w:hAnsi="Arial"/>
          <w:b/>
          <w:bCs/>
          <w:color w:val="375623"/>
          <w:sz w:val="19"/>
          <w:szCs w:val="19"/>
        </w:rPr>
        <w:t xml:space="preserve">[APPC – Appendix C, C-1 §40.2]  </w:t>
      </w:r>
      <w:r>
        <w:rPr>
          <w:rFonts w:ascii="Arial" w:cs="Arial" w:eastAsia="Arial" w:hAnsi="Arial"/>
          <w:color w:val="2D2D2D"/>
          <w:sz w:val="19"/>
          <w:szCs w:val="19"/>
        </w:rPr>
        <w:t xml:space="preserve">Define the audit process: planning; opening meeting; evidence gathering; finding classification by severity (high/medium/low); closing meeting; and report issuance. Require audit reports to be distributed to all relevant parties and retained.</w:t>
      </w:r>
    </w:p>
    <w:p>
      <w:pPr>
        <w:pStyle w:val="ListParagraph"/>
        <w:numPr>
          <w:ilvl w:val="0"/>
          <w:numId w:val="2"/>
        </w:numPr>
        <w:spacing w:after="40" w:before="40"/>
      </w:pPr>
      <w:r>
        <w:rPr>
          <w:rFonts w:ascii="Arial" w:cs="Arial" w:eastAsia="Arial" w:hAnsi="Arial"/>
          <w:b/>
          <w:bCs/>
          <w:color w:val="1F3864"/>
          <w:sz w:val="19"/>
          <w:szCs w:val="19"/>
        </w:rPr>
        <w:t xml:space="preserve">[RT – RT – Management &amp; Compliance Standard]  </w:t>
      </w:r>
      <w:r>
        <w:rPr>
          <w:rFonts w:ascii="Arial" w:cs="Arial" w:eastAsia="Arial" w:hAnsi="Arial"/>
          <w:color w:val="2D2D2D"/>
          <w:sz w:val="19"/>
          <w:szCs w:val="19"/>
        </w:rPr>
        <w:t xml:space="preserve">Require unrestricted access by RT audit teams to all contractor facilities, equipment, materials, personnel, and records during reasonable hours, with a minimum of two working days advance notice.</w:t>
      </w:r>
    </w:p>
    <w:p>
      <w:pPr>
        <w:pStyle w:val="ListParagraph"/>
        <w:numPr>
          <w:ilvl w:val="0"/>
          <w:numId w:val="2"/>
        </w:numPr>
        <w:spacing w:after="40" w:before="40"/>
      </w:pPr>
      <w:r>
        <w:rPr>
          <w:rFonts w:ascii="Arial" w:cs="Arial" w:eastAsia="Arial" w:hAnsi="Arial"/>
          <w:b/>
          <w:bCs/>
          <w:color w:val="C55A11"/>
          <w:sz w:val="19"/>
          <w:szCs w:val="19"/>
        </w:rPr>
        <w:t xml:space="preserve">[IFC – IFC PS1 Guidance Note §GN100]  </w:t>
      </w:r>
      <w:r>
        <w:rPr>
          <w:rFonts w:ascii="Arial" w:cs="Arial" w:eastAsia="Arial" w:hAnsi="Arial"/>
          <w:color w:val="2D2D2D"/>
          <w:sz w:val="19"/>
          <w:szCs w:val="19"/>
        </w:rPr>
        <w:t xml:space="preserve">Ensure that audit findings are evaluated not just as individual non-conformances but for what they reveal about systemic management system gaps or recurring performance patterns.</w:t>
      </w:r>
    </w:p>
    <w:p>
      <w:pPr>
        <w:pStyle w:val="Heading2"/>
        <w:spacing w:after="60" w:before="240"/>
      </w:pPr>
      <w:r>
        <w:rPr>
          <w:rFonts w:ascii="Arial" w:cs="Arial" w:eastAsia="Arial" w:hAnsi="Arial"/>
          <w:b/>
          <w:bCs/>
          <w:color w:val="2E75B6"/>
          <w:sz w:val="22"/>
          <w:szCs w:val="22"/>
        </w:rPr>
        <w:t xml:space="preserve">CRM Verification Reporting</w:t>
      </w:r>
    </w:p>
    <w:p>
      <w:pPr>
        <w:pStyle w:val="ListParagraph"/>
        <w:numPr>
          <w:ilvl w:val="0"/>
          <w:numId w:val="2"/>
        </w:numPr>
        <w:spacing w:after="40" w:before="40"/>
      </w:pPr>
      <w:r>
        <w:rPr>
          <w:rFonts w:ascii="Arial" w:cs="Arial" w:eastAsia="Arial" w:hAnsi="Arial"/>
          <w:b/>
          <w:bCs/>
          <w:color w:val="375623"/>
          <w:sz w:val="19"/>
          <w:szCs w:val="19"/>
        </w:rPr>
        <w:t xml:space="preserve">[APPC – Appendix C, C-3]  </w:t>
      </w:r>
      <w:r>
        <w:rPr>
          <w:rFonts w:ascii="Arial" w:cs="Arial" w:eastAsia="Arial" w:hAnsi="Arial"/>
          <w:color w:val="2D2D2D"/>
          <w:sz w:val="19"/>
          <w:szCs w:val="19"/>
        </w:rPr>
        <w:t xml:space="preserve">Define CRM verification reporting requirements including weekly and monthly reports to the project owner. Define minimum report content: target performance tracking; site performance reports; action plans register. Require entry of all CRM verifications into the RT CRM portal/app with quality evidence.</w:t>
      </w:r>
    </w:p>
    <w:p>
      <w:pPr>
        <w:pStyle w:val="ListParagraph"/>
        <w:numPr>
          <w:ilvl w:val="0"/>
          <w:numId w:val="2"/>
        </w:numPr>
        <w:spacing w:after="40" w:before="40"/>
      </w:pPr>
      <w:r>
        <w:rPr>
          <w:rFonts w:ascii="Arial" w:cs="Arial" w:eastAsia="Arial" w:hAnsi="Arial"/>
          <w:b/>
          <w:bCs/>
          <w:color w:val="1F3864"/>
          <w:sz w:val="19"/>
          <w:szCs w:val="19"/>
        </w:rPr>
        <w:t xml:space="preserve">[RT – RT – CRM Programme Requirements]  </w:t>
      </w:r>
      <w:r>
        <w:rPr>
          <w:rFonts w:ascii="Arial" w:cs="Arial" w:eastAsia="Arial" w:hAnsi="Arial"/>
          <w:color w:val="2D2D2D"/>
          <w:sz w:val="19"/>
          <w:szCs w:val="19"/>
        </w:rPr>
        <w:t xml:space="preserve">Conduct Critical Control Verification Standards (CCVS) to provide management-level assurance of the effectiveness of critical control verifications across the project.</w:t>
      </w:r>
    </w:p>
    <w:p>
      <w:pPr>
        <w:pStyle w:val="Heading2"/>
        <w:spacing w:after="60" w:before="240"/>
      </w:pPr>
      <w:r>
        <w:rPr>
          <w:rFonts w:ascii="Arial" w:cs="Arial" w:eastAsia="Arial" w:hAnsi="Arial"/>
          <w:b/>
          <w:bCs/>
          <w:color w:val="2E75B6"/>
          <w:sz w:val="22"/>
          <w:szCs w:val="22"/>
        </w:rPr>
        <w:t xml:space="preserve">Action Tracking and Closeout</w:t>
      </w:r>
    </w:p>
    <w:p>
      <w:pPr>
        <w:pStyle w:val="ListParagraph"/>
        <w:numPr>
          <w:ilvl w:val="0"/>
          <w:numId w:val="2"/>
        </w:numPr>
        <w:spacing w:after="40" w:before="40"/>
      </w:pPr>
      <w:r>
        <w:rPr>
          <w:rFonts w:ascii="Arial" w:cs="Arial" w:eastAsia="Arial" w:hAnsi="Arial"/>
          <w:b/>
          <w:bCs/>
          <w:color w:val="375623"/>
          <w:sz w:val="19"/>
          <w:szCs w:val="19"/>
        </w:rPr>
        <w:t xml:space="preserve">[APPC – Appendix C, C-1 §41.1]  </w:t>
      </w:r>
      <w:r>
        <w:rPr>
          <w:rFonts w:ascii="Arial" w:cs="Arial" w:eastAsia="Arial" w:hAnsi="Arial"/>
          <w:color w:val="2D2D2D"/>
          <w:sz w:val="19"/>
          <w:szCs w:val="19"/>
        </w:rPr>
        <w:t xml:space="preserve">Record, track, and close out all audit and inspection actions in the project action tracking register. Severity-rank all actions. Issue monthly action closeout reports to the project owner. Define verification requirements for high-severity action closeout — closure must be verified, not just declared.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Develop the project HSESC audit schedule for the full project duration: audit types; planned dates; responsible auditor. Insert as a Gantt-style table or programme reference.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finding severity classification criteria for this project. The procedure provides categories — the project team defines the specific criteria for High/Medium/Low ratings relevant to this project context.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C-1 §41.0.2]  </w:t>
            </w:r>
            <w:r>
              <w:rPr>
                <w:rFonts w:ascii="Arial" w:cs="Arial" w:eastAsia="Arial" w:hAnsi="Arial"/>
                <w:color w:val="2D2D2D"/>
                <w:sz w:val="19"/>
                <w:szCs w:val="19"/>
              </w:rPr>
              <w:t xml:space="preserve">Require that Contractor-led audit and inspection requirements apply to all Contractor personnel and activities without exception. No scope of work or organisational area is exempt from the project audit and inspection programme.</w:t>
            </w:r>
          </w:p>
          <w:p>
            <w:pPr>
              <w:pStyle w:val="ListParagraph"/>
              <w:numPr>
                <w:ilvl w:val="0"/>
                <w:numId w:val="2"/>
              </w:numPr>
              <w:spacing w:after="40" w:before="40"/>
            </w:pPr>
            <w:r>
              <w:rPr>
                <w:rFonts w:ascii="Arial" w:cs="Arial" w:eastAsia="Arial" w:hAnsi="Arial"/>
                <w:b/>
                <w:bCs/>
                <w:color w:val="375623"/>
                <w:sz w:val="19"/>
                <w:szCs w:val="19"/>
              </w:rPr>
              <w:t xml:space="preserve">[APPC – Appendix C, C-1 §41.0.4]  </w:t>
            </w:r>
            <w:r>
              <w:rPr>
                <w:rFonts w:ascii="Arial" w:cs="Arial" w:eastAsia="Arial" w:hAnsi="Arial"/>
                <w:color w:val="2D2D2D"/>
                <w:sz w:val="19"/>
                <w:szCs w:val="19"/>
              </w:rPr>
              <w:t xml:space="preserve">Require that results of all Contractor-led audits and inspections are shared with the Company upon request. Audit findings, corrective action plans, and closeout status must be available at all times.</w:t>
            </w:r>
          </w:p>
          <w:p>
            <w:pPr>
              <w:pStyle w:val="ListParagraph"/>
              <w:numPr>
                <w:ilvl w:val="0"/>
                <w:numId w:val="2"/>
              </w:numPr>
              <w:spacing w:after="40" w:before="40"/>
            </w:pPr>
            <w:r>
              <w:rPr>
                <w:rFonts w:ascii="Arial" w:cs="Arial" w:eastAsia="Arial" w:hAnsi="Arial"/>
                <w:b/>
                <w:bCs/>
                <w:color w:val="375623"/>
                <w:sz w:val="19"/>
                <w:szCs w:val="19"/>
              </w:rPr>
              <w:t xml:space="preserve">[APPC – Appendix C, C-4 §97.0.5]  </w:t>
            </w:r>
            <w:r>
              <w:rPr>
                <w:rFonts w:ascii="Arial" w:cs="Arial" w:eastAsia="Arial" w:hAnsi="Arial"/>
                <w:color w:val="2D2D2D"/>
                <w:sz w:val="19"/>
                <w:szCs w:val="19"/>
              </w:rPr>
              <w:t xml:space="preserve">Require that where any audit or inspection identifies a deficiency posing an immediate risk to the environment, legal compliance, or project personnel, all affected works must cease immediately and the Company must be notified. Work may not resume until the deficiency is resolved and the Company provides written authorisation.</w:t>
            </w:r>
          </w:p>
          <w:p>
            <w:r>
              <w:rPr>
                <w:rFonts w:ascii="Arial" w:cs="Arial" w:eastAsia="Arial" w:hAnsi="Arial"/>
                <w:color w:val="3C2A00"/>
                <w:sz w:val="17"/>
                <w:szCs w:val="17"/>
              </w:rPr>
              <w:t xml:space="preserve">Define the project auditor competency requirements: what qualifications or experience are required to lead each type of audit on this project.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CRM verification schedule and the weekly/monthly CRM report template for submission to the project owner.</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Management Review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17 – Management Review</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RTPR-HSE-PRO-0045</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Management review schedule (by project phase)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Management review input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Management review output requirements (decisions, actions, sign-off)</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Continuous improvement integration process</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RTPR-HSE-PRO-0007 – Improvement Planning (operational review — distinct from formal management review)</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RTPR-HSE-PRO-0042 – Monitoring (monitoring data as review input)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RTPR-HSE-PRO-0044 – Auditing (audit findings as review input)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(incident trends as review input)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RTPR-HSE-PRO-0003 – Org Resources (HSESCLT as management review governance)</w:t>
            </w:r>
          </w:p>
        </w:tc>
      </w:tr>
    </w:tbl>
    <w:p>
      <w:pPr>
        <w:spacing w:after="0" w:before="120"/>
      </w:pPr>
      <w:r>
        <w:t xml:space="preserve"/>
      </w:r>
    </w:p>
    <w:p>
      <w:pPr>
        <w:spacing w:after="80" w:before="40"/>
      </w:pPr>
      <w:r>
        <w:rPr>
          <w:rFonts w:ascii="Arial" w:cs="Arial" w:eastAsia="Arial" w:hAnsi="Arial"/>
          <w:i/>
          <w:iCs/>
          <w:color w:val="555555"/>
          <w:sz w:val="19"/>
          <w:szCs w:val="19"/>
        </w:rPr>
        <w:t xml:space="preserve">This procedure defines requirements for conducting periodic management reviews of the owner-led project HSESC management system to ensure its continuing suitability, adequacy, and effectiveness — and to drive documented continuous improvement in HSESC performance.</w:t>
      </w:r>
    </w:p>
    <w:p>
      <w:pPr>
        <w:pStyle w:val="Heading2"/>
        <w:spacing w:after="60" w:before="240"/>
      </w:pPr>
      <w:r>
        <w:rPr>
          <w:rFonts w:ascii="Arial" w:cs="Arial" w:eastAsia="Arial" w:hAnsi="Arial"/>
          <w:b/>
          <w:bCs/>
          <w:color w:val="2E75B6"/>
          <w:sz w:val="22"/>
          <w:szCs w:val="22"/>
        </w:rPr>
        <w:t xml:space="preserve">Review Schedule and Participants</w:t>
      </w:r>
    </w:p>
    <w:p>
      <w:pPr>
        <w:pStyle w:val="ListParagraph"/>
        <w:numPr>
          <w:ilvl w:val="0"/>
          <w:numId w:val="2"/>
        </w:numPr>
        <w:spacing w:after="40" w:before="40"/>
      </w:pPr>
      <w:r>
        <w:rPr>
          <w:rFonts w:ascii="Arial" w:cs="Arial" w:eastAsia="Arial" w:hAnsi="Arial"/>
          <w:b/>
          <w:bCs/>
          <w:color w:val="375623"/>
          <w:sz w:val="19"/>
          <w:szCs w:val="19"/>
        </w:rPr>
        <w:t xml:space="preserve">[APPC – Appendix C, C-1 §41.2]  </w:t>
      </w:r>
      <w:r>
        <w:rPr>
          <w:rFonts w:ascii="Arial" w:cs="Arial" w:eastAsia="Arial" w:hAnsi="Arial"/>
          <w:color w:val="2D2D2D"/>
          <w:sz w:val="19"/>
          <w:szCs w:val="19"/>
        </w:rPr>
        <w:t xml:space="preserve">Define the management review schedule aligned to project phases: Pre-mobilisation; Quarterly Execution; Commissioning Readiness; and End of Contract. Define required participants including RT project senior leadership, the HSESC Manager, functional representatives, and relevant contractor leadership.</w:t>
      </w:r>
    </w:p>
    <w:p>
      <w:pPr>
        <w:pStyle w:val="ListParagraph"/>
        <w:numPr>
          <w:ilvl w:val="0"/>
          <w:numId w:val="2"/>
        </w:numPr>
        <w:spacing w:after="40" w:before="40"/>
      </w:pPr>
      <w:r>
        <w:rPr>
          <w:rFonts w:ascii="Arial" w:cs="Arial" w:eastAsia="Arial" w:hAnsi="Arial"/>
          <w:b/>
          <w:bCs/>
          <w:color w:val="2F5496"/>
          <w:sz w:val="19"/>
          <w:szCs w:val="19"/>
        </w:rPr>
        <w:t xml:space="preserve">[TSM – TSM – Safe, Healthy and Respectful Workplaces Protocol, Indicator SH1]  </w:t>
      </w:r>
      <w:r>
        <w:rPr>
          <w:rFonts w:ascii="Arial" w:cs="Arial" w:eastAsia="Arial" w:hAnsi="Arial"/>
          <w:color w:val="2D2D2D"/>
          <w:sz w:val="19"/>
          <w:szCs w:val="19"/>
        </w:rPr>
        <w:t xml:space="preserve">Ensure that senior management sets safety and health targets through the management review process and reviews performance against them at each review cycle.</w:t>
      </w:r>
    </w:p>
    <w:p>
      <w:pPr>
        <w:pStyle w:val="ListParagraph"/>
        <w:numPr>
          <w:ilvl w:val="0"/>
          <w:numId w:val="2"/>
        </w:numPr>
        <w:spacing w:after="40" w:before="40"/>
      </w:pPr>
      <w:r>
        <w:rPr>
          <w:rFonts w:ascii="Arial" w:cs="Arial" w:eastAsia="Arial" w:hAnsi="Arial"/>
          <w:b/>
          <w:bCs/>
          <w:color w:val="7030A0"/>
          <w:sz w:val="19"/>
          <w:szCs w:val="19"/>
        </w:rPr>
        <w:t xml:space="preserve">[ICMM – ICMM Principle 5, Performance Expectation 5.1]  </w:t>
      </w:r>
      <w:r>
        <w:rPr>
          <w:rFonts w:ascii="Arial" w:cs="Arial" w:eastAsia="Arial" w:hAnsi="Arial"/>
          <w:color w:val="2D2D2D"/>
          <w:sz w:val="19"/>
          <w:szCs w:val="19"/>
        </w:rPr>
        <w:t xml:space="preserve">Include explicit review of performance against the project's goals for elimination of fatalities, serious injuries, and psychosocial hazards at each management review.</w:t>
      </w:r>
    </w:p>
    <w:p>
      <w:pPr>
        <w:pStyle w:val="Heading2"/>
        <w:spacing w:after="60" w:before="240"/>
      </w:pPr>
      <w:r>
        <w:rPr>
          <w:rFonts w:ascii="Arial" w:cs="Arial" w:eastAsia="Arial" w:hAnsi="Arial"/>
          <w:b/>
          <w:bCs/>
          <w:color w:val="2E75B6"/>
          <w:sz w:val="22"/>
          <w:szCs w:val="22"/>
        </w:rPr>
        <w:t xml:space="preserve">Review Inputs</w:t>
      </w:r>
    </w:p>
    <w:p>
      <w:pPr>
        <w:pStyle w:val="ListParagraph"/>
        <w:numPr>
          <w:ilvl w:val="0"/>
          <w:numId w:val="2"/>
        </w:numPr>
        <w:spacing w:after="40" w:before="40"/>
      </w:pPr>
      <w:r>
        <w:rPr>
          <w:rFonts w:ascii="Arial" w:cs="Arial" w:eastAsia="Arial" w:hAnsi="Arial"/>
          <w:b/>
          <w:bCs/>
          <w:color w:val="375623"/>
          <w:sz w:val="19"/>
          <w:szCs w:val="19"/>
        </w:rPr>
        <w:t xml:space="preserve">[APPC – Appendix C, C-1 §41.2 and §40]  </w:t>
      </w:r>
      <w:r>
        <w:rPr>
          <w:rFonts w:ascii="Arial" w:cs="Arial" w:eastAsia="Arial" w:hAnsi="Arial"/>
          <w:color w:val="2D2D2D"/>
          <w:sz w:val="19"/>
          <w:szCs w:val="19"/>
        </w:rPr>
        <w:t xml:space="preserve">Define mandatory inputs to each management review: HSESC performance metrics (leading and lagging); audit and inspection findings; incident trends and root causes; CRM programme performance; SMM maturity assessment outcomes; community complaints and feedback; environmental performance against criteria; legal and regulatory compliance status; status of previous management review actions; and risks and opportunities since the last review.</w:t>
      </w:r>
    </w:p>
    <w:p>
      <w:pPr>
        <w:pStyle w:val="ListParagraph"/>
        <w:numPr>
          <w:ilvl w:val="0"/>
          <w:numId w:val="2"/>
        </w:numPr>
        <w:spacing w:after="40" w:before="40"/>
      </w:pPr>
      <w:r>
        <w:rPr>
          <w:rFonts w:ascii="Arial" w:cs="Arial" w:eastAsia="Arial" w:hAnsi="Arial"/>
          <w:b/>
          <w:bCs/>
          <w:color w:val="C55A11"/>
          <w:sz w:val="19"/>
          <w:szCs w:val="19"/>
        </w:rPr>
        <w:t xml:space="preserve">[IFC – IFC PS1 §22]  </w:t>
      </w:r>
      <w:r>
        <w:rPr>
          <w:rFonts w:ascii="Arial" w:cs="Arial" w:eastAsia="Arial" w:hAnsi="Arial"/>
          <w:color w:val="2D2D2D"/>
          <w:sz w:val="19"/>
          <w:szCs w:val="19"/>
        </w:rPr>
        <w:t xml:space="preserve">Ensure monitoring data and stakeholder feedback are incorporated into management review inputs, ensuring the review reflects real-world project performance and not only internal programme metrics.</w:t>
      </w:r>
    </w:p>
    <w:p>
      <w:pPr>
        <w:pStyle w:val="Heading2"/>
        <w:spacing w:after="60" w:before="240"/>
      </w:pPr>
      <w:r>
        <w:rPr>
          <w:rFonts w:ascii="Arial" w:cs="Arial" w:eastAsia="Arial" w:hAnsi="Arial"/>
          <w:b/>
          <w:bCs/>
          <w:color w:val="2E75B6"/>
          <w:sz w:val="22"/>
          <w:szCs w:val="22"/>
        </w:rPr>
        <w:t xml:space="preserve">Review Outputs and Continuous Improvement</w:t>
      </w:r>
    </w:p>
    <w:p>
      <w:pPr>
        <w:pStyle w:val="ListParagraph"/>
        <w:numPr>
          <w:ilvl w:val="0"/>
          <w:numId w:val="2"/>
        </w:numPr>
        <w:spacing w:after="40" w:before="40"/>
      </w:pPr>
      <w:r>
        <w:rPr>
          <w:rFonts w:ascii="Arial" w:cs="Arial" w:eastAsia="Arial" w:hAnsi="Arial"/>
          <w:b/>
          <w:bCs/>
          <w:color w:val="1F3864"/>
          <w:sz w:val="19"/>
          <w:szCs w:val="19"/>
        </w:rPr>
        <w:t xml:space="preserve">[RT – RT – Management &amp; Compliance Standard]  </w:t>
      </w:r>
      <w:r>
        <w:rPr>
          <w:rFonts w:ascii="Arial" w:cs="Arial" w:eastAsia="Arial" w:hAnsi="Arial"/>
          <w:color w:val="2D2D2D"/>
          <w:sz w:val="19"/>
          <w:szCs w:val="19"/>
        </w:rPr>
        <w:t xml:space="preserve">Define required management review outputs: improvement decisions for the HSESC system; resource changes required; revisions to policies, objectives, or targets; and lessons learned. Require minutes to be recorded, distributed, and retained. Require all actions to be entered into the action tracking register with owners and due dates. Require formal sign-off by the most senior project leader.</w:t>
      </w:r>
    </w:p>
    <w:p>
      <w:pPr>
        <w:pStyle w:val="ListParagraph"/>
        <w:numPr>
          <w:ilvl w:val="0"/>
          <w:numId w:val="2"/>
        </w:numPr>
        <w:spacing w:after="40" w:before="40"/>
      </w:pPr>
      <w:r>
        <w:rPr>
          <w:rFonts w:ascii="Arial" w:cs="Arial" w:eastAsia="Arial" w:hAnsi="Arial"/>
          <w:b/>
          <w:bCs/>
          <w:color w:val="C55A11"/>
          <w:sz w:val="19"/>
          <w:szCs w:val="19"/>
        </w:rPr>
        <w:t xml:space="preserve">[IFC – IFC PS1 §11]  </w:t>
      </w:r>
      <w:r>
        <w:rPr>
          <w:rFonts w:ascii="Arial" w:cs="Arial" w:eastAsia="Arial" w:hAnsi="Arial"/>
          <w:color w:val="2D2D2D"/>
          <w:sz w:val="19"/>
          <w:szCs w:val="19"/>
        </w:rPr>
        <w:t xml:space="preserve">Use management review outputs to drive systemic improvement in the management system, not only individual corrective actions. Update the risk assessment, management plans, and monitoring programmes based on management review conclusions.</w:t>
      </w:r>
    </w:p>
    <w:p>
      <w:pPr>
        <w:pStyle w:val="ListParagraph"/>
        <w:numPr>
          <w:ilvl w:val="0"/>
          <w:numId w:val="2"/>
        </w:numPr>
        <w:spacing w:after="40" w:before="40"/>
      </w:pPr>
      <w:r>
        <w:rPr>
          <w:rFonts w:ascii="Arial" w:cs="Arial" w:eastAsia="Arial" w:hAnsi="Arial"/>
          <w:b/>
          <w:bCs/>
          <w:color w:val="BF9000"/>
          <w:sz w:val="19"/>
          <w:szCs w:val="19"/>
        </w:rPr>
        <w:t xml:space="preserve">[OSHA – OSHA RP 2016 – Program Evaluation and Improvement]  </w:t>
      </w:r>
      <w:r>
        <w:rPr>
          <w:rFonts w:ascii="Arial" w:cs="Arial" w:eastAsia="Arial" w:hAnsi="Arial"/>
          <w:color w:val="2D2D2D"/>
          <w:sz w:val="19"/>
          <w:szCs w:val="19"/>
        </w:rPr>
        <w:t xml:space="preserve">Evaluate the overall effectiveness of the safety and health programme during the management review, not just individual element performance, and set programme-level improvement targets for the next review period.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management review dates for this project relative to the project programme phases. The procedure defines the minimum schedule — insert the project-specific dates.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management review chair and required attendees for this project. The procedure requires senior leadership — identify by position title.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management review minutes format and distribution list for this project.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how management review actions are tracked in the project action register (RTPR-HSE-PRO-0007 process) and how actions from one review are reported as closed at the next review.</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Scaffolding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RTPR-HSE-PRO-0046</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Scaffold Safe System of Work (SSoW)</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Scaffold design and competency class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Ground condition assessment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Scaffold proximity to electricity controls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Erection sequencing and fall protection during erection</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Design verification, handover and tagging system</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Scaffold Register (RTPR-HSE-REG-0011)</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Inspection frequencies and extended use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Scaffold over water specific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Dismantling sequencing and fall protection</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Competency requirements by scaffold role</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(scaffold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(scaffold competency — documented in RTPR-HSE-REG-0003)</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RTPR-HSE-PRO-0008 – Working at Height (fall protection for scaffold users — refer RTPR-HSE-PRO-0008)</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(scaffold permits via PTW system — refer RTPR-HSE-PRO-0021)</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RTPR-HSE-PRO-0025 – Electrical Safety (proximity to electrical installations)</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RTPR-HSE-PRO-0030 – Over Water (PFD requirements when scaffold is near water)</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RTPR-HSE-PRO-0028 – Barricading (exclusion zones during erection and dismantling)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(scaffold incident reporting)</w:t>
            </w:r>
          </w:p>
        </w:tc>
      </w:tr>
      <w:tr>
        <w:tc>
          <w:tcPr>
            <w:gridSpan w:val="2"/>
            <w:tcBorders>
              <w:top w:val="single" w:color="CCCCCC" w:sz="1"/>
              <w:left w:val="single" w:color="CCCCCC" w:sz="1"/>
              <w:bottom w:val="single" w:color="CCCCCC" w:sz="1"/>
              <w:right w:val="single" w:color="CCCCCC" w:sz="1"/>
            </w:tcBorders>
            <w:shd w:fill="D9D9D9" w:val="clear"/>
            <w:tcMar>
              <w:top w:type="dxa" w:w="60"/>
              <w:left w:type="dxa" w:w="120"/>
              <w:bottom w:type="dxa" w:w="60"/>
              <w:right w:type="dxa" w:w="120"/>
            </w:tcMar>
          </w:tcPr>
          <w:p>
            <w:r>
              <w:rPr>
                <w:rFonts w:ascii="Arial" w:cs="Arial" w:eastAsia="Arial" w:hAnsi="Arial"/>
                <w:b/>
                <w:bCs/>
                <w:color w:val="1F3864"/>
                <w:sz w:val="17"/>
                <w:szCs w:val="17"/>
              </w:rPr>
              <w:t xml:space="preserve">THIS DOCUMENT IS REFERENCED BY:</w:t>
            </w:r>
          </w:p>
        </w:tc>
      </w:tr>
      <w:tr>
        <w:tc>
          <w:tcPr>
            <w:tcW w:type="dxa" w:w="440"/>
            <w:tcBorders>
              <w:top w:val="single" w:color="CCCCCC" w:sz="1"/>
              <w:left w:val="single" w:color="CCCCCC" w:sz="1"/>
              <w:bottom w:val="single" w:color="CCCCCC" w:sz="1"/>
              <w:right w:val="single" w:color="CCCCCC" w:sz="1"/>
            </w:tcBorders>
            <w:shd w:fill="F2F2F2"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F2F2F2" w:val="clear"/>
            <w:tcMar>
              <w:top w:type="dxa" w:w="40"/>
              <w:left w:type="dxa" w:w="60"/>
              <w:bottom w:type="dxa" w:w="40"/>
              <w:right w:type="dxa" w:w="120"/>
            </w:tcMar>
          </w:tcPr>
          <w:p>
            <w:r>
              <w:rPr>
                <w:rFonts w:ascii="Arial" w:cs="Arial" w:eastAsia="Arial" w:hAnsi="Arial"/>
                <w:color w:val="2D2D2D"/>
                <w:sz w:val="17"/>
                <w:szCs w:val="17"/>
              </w:rPr>
              <w:t xml:space="preserve">RTPR-HSE-PRO-0008 – Working at Height references RTPR-HSE-PRO-0046 for erection/dismantling; users reference RTPR-HSE-PRO-0008</w:t>
            </w:r>
          </w:p>
        </w:tc>
      </w:tr>
    </w:tbl>
    <w:p>
      <w:pPr>
        <w:spacing w:after="0" w:before="120"/>
      </w:pPr>
      <w:r>
        <w:t xml:space="preserve"/>
      </w:r>
    </w:p>
    <w:p>
      <w:pPr>
        <w:spacing w:after="80" w:before="40"/>
      </w:pPr>
      <w:r>
        <w:rPr>
          <w:rFonts w:ascii="Arial" w:cs="Arial" w:eastAsia="Arial" w:hAnsi="Arial"/>
          <w:i/>
          <w:iCs/>
          <w:color w:val="555555"/>
          <w:sz w:val="19"/>
          <w:szCs w:val="19"/>
        </w:rPr>
        <w:t xml:space="preserve">Scaffolding is one of the highest-risk activities on any construction project — it combines working at height, heavy manual tasks, complex temporary structure integrity, and simultaneous activities involving multiple trades. This procedure addresses the full scaffold lifecycle: planning and design; erection; use; inspection; modification; and dismantling. For work performed from scaffold (as opposed to erection and dismantling), the Working at Heights Procedure also applies.</w:t>
      </w:r>
    </w:p>
    <w:p>
      <w:pPr>
        <w:pStyle w:val="Heading2"/>
        <w:spacing w:after="60" w:before="240"/>
      </w:pPr>
      <w:r>
        <w:rPr>
          <w:rFonts w:ascii="Arial" w:cs="Arial" w:eastAsia="Arial" w:hAnsi="Arial"/>
          <w:b/>
          <w:bCs/>
          <w:color w:val="2E75B6"/>
          <w:sz w:val="22"/>
          <w:szCs w:val="22"/>
        </w:rPr>
        <w:t xml:space="preserve">Scaffold Safe System of Work</w:t>
      </w:r>
    </w:p>
    <w:p>
      <w:pPr>
        <w:pStyle w:val="ListParagraph"/>
        <w:numPr>
          <w:ilvl w:val="0"/>
          <w:numId w:val="2"/>
        </w:numPr>
        <w:spacing w:after="40" w:before="40"/>
      </w:pPr>
      <w:r>
        <w:rPr>
          <w:rFonts w:ascii="Arial" w:cs="Arial" w:eastAsia="Arial" w:hAnsi="Arial"/>
          <w:b/>
          <w:bCs/>
          <w:color w:val="375623"/>
          <w:sz w:val="19"/>
          <w:szCs w:val="19"/>
        </w:rPr>
        <w:t xml:space="preserve">[APPC – Appendix C, C-2 §55.4]  </w:t>
      </w:r>
      <w:r>
        <w:rPr>
          <w:rFonts w:ascii="Arial" w:cs="Arial" w:eastAsia="Arial" w:hAnsi="Arial"/>
          <w:color w:val="2D2D2D"/>
          <w:sz w:val="19"/>
          <w:szCs w:val="19"/>
        </w:rPr>
        <w:t xml:space="preserve">Require development and implementation of a Scaffold Safe System of Work (SSoW) covering the full scaffold lifecycle. The SSoW must incorporate local legislative requirements and relevant standards applicable to the project jurisdiction.</w:t>
      </w:r>
    </w:p>
    <w:p>
      <w:pPr>
        <w:pStyle w:val="ListParagraph"/>
        <w:numPr>
          <w:ilvl w:val="0"/>
          <w:numId w:val="2"/>
        </w:numPr>
        <w:spacing w:after="40" w:before="40"/>
      </w:pPr>
      <w:r>
        <w:rPr>
          <w:rFonts w:ascii="Arial" w:cs="Arial" w:eastAsia="Arial" w:hAnsi="Arial"/>
          <w:b/>
          <w:bCs/>
          <w:color w:val="1F3864"/>
          <w:sz w:val="19"/>
          <w:szCs w:val="19"/>
        </w:rPr>
        <w:t xml:space="preserve">[RT – RT C4 – Fall from Height Standard]  </w:t>
      </w:r>
      <w:r>
        <w:rPr>
          <w:rFonts w:ascii="Arial" w:cs="Arial" w:eastAsia="Arial" w:hAnsi="Arial"/>
          <w:color w:val="2D2D2D"/>
          <w:sz w:val="19"/>
          <w:szCs w:val="19"/>
        </w:rPr>
        <w:t xml:space="preserve">Ensure the SSoW requires scaffolding to be erected by a competent scaffolder operating within their class of licence, with scaffolding assembled and dismantled by authorised personnel following an approved sequence procedure.</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Require the SSoW to address the specific risks associated with scaffolding over water, scaffolding adjacent to energised electrical installations, and scaffolding during adverse weather.</w:t>
      </w:r>
    </w:p>
    <w:p>
      <w:pPr>
        <w:pStyle w:val="Heading2"/>
        <w:spacing w:after="60" w:before="240"/>
      </w:pPr>
      <w:r>
        <w:rPr>
          <w:rFonts w:ascii="Arial" w:cs="Arial" w:eastAsia="Arial" w:hAnsi="Arial"/>
          <w:b/>
          <w:bCs/>
          <w:color w:val="2E75B6"/>
          <w:sz w:val="22"/>
          <w:szCs w:val="22"/>
        </w:rPr>
        <w:t xml:space="preserve">Planning, Selection and Design</w:t>
      </w:r>
    </w:p>
    <w:p>
      <w:pPr>
        <w:pStyle w:val="ListParagraph"/>
        <w:numPr>
          <w:ilvl w:val="0"/>
          <w:numId w:val="2"/>
        </w:numPr>
        <w:spacing w:after="40" w:before="40"/>
      </w:pPr>
      <w:r>
        <w:rPr>
          <w:rFonts w:ascii="Arial" w:cs="Arial" w:eastAsia="Arial" w:hAnsi="Arial"/>
          <w:b/>
          <w:bCs/>
          <w:color w:val="375623"/>
          <w:sz w:val="19"/>
          <w:szCs w:val="19"/>
        </w:rPr>
        <w:t xml:space="preserve">[APPC – Appendix C, C-2 §55.7]  </w:t>
      </w:r>
      <w:r>
        <w:rPr>
          <w:rFonts w:ascii="Arial" w:cs="Arial" w:eastAsia="Arial" w:hAnsi="Arial"/>
          <w:color w:val="2D2D2D"/>
          <w:sz w:val="19"/>
          <w:szCs w:val="19"/>
        </w:rPr>
        <w:t xml:space="preserve">Require that personnel involved in planning, selection, and design have the necessary experience, training, and competency. Require scaffolding to be selected and designed by a competent scaffolder within their competency class and in accordance with local legislative and regulatory requirements.</w:t>
      </w:r>
    </w:p>
    <w:p>
      <w:pPr>
        <w:pStyle w:val="ListParagraph"/>
        <w:numPr>
          <w:ilvl w:val="0"/>
          <w:numId w:val="2"/>
        </w:numPr>
        <w:spacing w:after="40" w:before="40"/>
      </w:pPr>
      <w:r>
        <w:rPr>
          <w:rFonts w:ascii="Arial" w:cs="Arial" w:eastAsia="Arial" w:hAnsi="Arial"/>
          <w:b/>
          <w:bCs/>
          <w:color w:val="375623"/>
          <w:sz w:val="19"/>
          <w:szCs w:val="19"/>
        </w:rPr>
        <w:t xml:space="preserve">[APPC – Appendix C, C-2 §55.7.2]  </w:t>
      </w:r>
      <w:r>
        <w:rPr>
          <w:rFonts w:ascii="Arial" w:cs="Arial" w:eastAsia="Arial" w:hAnsi="Arial"/>
          <w:color w:val="2D2D2D"/>
          <w:sz w:val="19"/>
          <w:szCs w:val="19"/>
        </w:rPr>
        <w:t xml:space="preserve">Require the design to consider: activity to be undertaken on the structure; static and dynamic load capacity; ground conditions; underground services; fall protection systems; edge protection; anchor points; access and egress; and adjacent activities including vehicle movements.</w:t>
      </w:r>
    </w:p>
    <w:p>
      <w:pPr>
        <w:pStyle w:val="ListParagraph"/>
        <w:numPr>
          <w:ilvl w:val="0"/>
          <w:numId w:val="2"/>
        </w:numPr>
        <w:spacing w:after="40" w:before="40"/>
      </w:pPr>
      <w:r>
        <w:rPr>
          <w:rFonts w:ascii="Arial" w:cs="Arial" w:eastAsia="Arial" w:hAnsi="Arial"/>
          <w:b/>
          <w:bCs/>
          <w:color w:val="375623"/>
          <w:sz w:val="19"/>
          <w:szCs w:val="19"/>
        </w:rPr>
        <w:t xml:space="preserve">[APPC – Appendix C, C-2 §55.8]  </w:t>
      </w:r>
      <w:r>
        <w:rPr>
          <w:rFonts w:ascii="Arial" w:cs="Arial" w:eastAsia="Arial" w:hAnsi="Arial"/>
          <w:color w:val="2D2D2D"/>
          <w:sz w:val="19"/>
          <w:szCs w:val="19"/>
        </w:rPr>
        <w:t xml:space="preserve">Require that complex or non-standard scaffold configurations (slung, suspended, over water, on barges, adjacent to rail lines, cantilever) are designed or reviewed by a qualified engineer before erection commences.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Ensure scaffold designs account for maximum anticipated static and dynamic loads, including wind loading and the cumulative load of concurrent users, materials, and equipment.</w:t>
      </w:r>
    </w:p>
    <w:p>
      <w:pPr>
        <w:pStyle w:val="Heading2"/>
        <w:spacing w:after="60" w:before="240"/>
      </w:pPr>
      <w:r>
        <w:rPr>
          <w:rFonts w:ascii="Arial" w:cs="Arial" w:eastAsia="Arial" w:hAnsi="Arial"/>
          <w:b/>
          <w:bCs/>
          <w:color w:val="2E75B6"/>
          <w:sz w:val="22"/>
          <w:szCs w:val="22"/>
        </w:rPr>
        <w:t xml:space="preserve">Ground Conditions and Load Capacity</w:t>
      </w:r>
    </w:p>
    <w:p>
      <w:pPr>
        <w:pStyle w:val="ListParagraph"/>
        <w:numPr>
          <w:ilvl w:val="0"/>
          <w:numId w:val="2"/>
        </w:numPr>
        <w:spacing w:after="40" w:before="40"/>
      </w:pPr>
      <w:r>
        <w:rPr>
          <w:rFonts w:ascii="Arial" w:cs="Arial" w:eastAsia="Arial" w:hAnsi="Arial"/>
          <w:b/>
          <w:bCs/>
          <w:color w:val="375623"/>
          <w:sz w:val="19"/>
          <w:szCs w:val="19"/>
        </w:rPr>
        <w:t xml:space="preserve">[APPC – Appendix C, C-2 §55.13]  </w:t>
      </w:r>
      <w:r>
        <w:rPr>
          <w:rFonts w:ascii="Arial" w:cs="Arial" w:eastAsia="Arial" w:hAnsi="Arial"/>
          <w:color w:val="2D2D2D"/>
          <w:sz w:val="19"/>
          <w:szCs w:val="19"/>
        </w:rPr>
        <w:t xml:space="preserve">Require a ground condition assessment by a competent person before erecting any scaffold, verifying: adequate bearing capacity for the scaffold and imposed loads; absence of underground services within the zone of influence; absence of subsidence, softening, or saturation; and the suitability of mudsills, base plates, or other load-spreading measures.</w:t>
      </w:r>
    </w:p>
    <w:p>
      <w:pPr>
        <w:pStyle w:val="ListParagraph"/>
        <w:numPr>
          <w:ilvl w:val="0"/>
          <w:numId w:val="2"/>
        </w:numPr>
        <w:spacing w:after="40" w:before="40"/>
      </w:pPr>
      <w:r>
        <w:rPr>
          <w:rFonts w:ascii="Arial" w:cs="Arial" w:eastAsia="Arial" w:hAnsi="Arial"/>
          <w:b/>
          <w:bCs/>
          <w:color w:val="375623"/>
          <w:sz w:val="19"/>
          <w:szCs w:val="19"/>
        </w:rPr>
        <w:t xml:space="preserve">[APPC – Appendix C, C-2 §55.9]  </w:t>
      </w:r>
      <w:r>
        <w:rPr>
          <w:rFonts w:ascii="Arial" w:cs="Arial" w:eastAsia="Arial" w:hAnsi="Arial"/>
          <w:color w:val="2D2D2D"/>
          <w:sz w:val="19"/>
          <w:szCs w:val="19"/>
        </w:rPr>
        <w:t xml:space="preserve">Define scaffold load capacity requirements: design load ratings; maximum permissible distributed and point loads; and restrictions on storing materials on scaffold unless the design specifically accommodates material loading.</w:t>
      </w:r>
    </w:p>
    <w:p>
      <w:pPr>
        <w:pStyle w:val="Heading2"/>
        <w:spacing w:after="60" w:before="240"/>
      </w:pPr>
      <w:r>
        <w:rPr>
          <w:rFonts w:ascii="Arial" w:cs="Arial" w:eastAsia="Arial" w:hAnsi="Arial"/>
          <w:b/>
          <w:bCs/>
          <w:color w:val="2E75B6"/>
          <w:sz w:val="22"/>
          <w:szCs w:val="22"/>
        </w:rPr>
        <w:t xml:space="preserve">Proximity to Electricity and Energised Plant</w:t>
      </w:r>
    </w:p>
    <w:p>
      <w:pPr>
        <w:pStyle w:val="ListParagraph"/>
        <w:numPr>
          <w:ilvl w:val="0"/>
          <w:numId w:val="2"/>
        </w:numPr>
        <w:spacing w:after="40" w:before="40"/>
      </w:pPr>
      <w:r>
        <w:rPr>
          <w:rFonts w:ascii="Arial" w:cs="Arial" w:eastAsia="Arial" w:hAnsi="Arial"/>
          <w:b/>
          <w:bCs/>
          <w:color w:val="375623"/>
          <w:sz w:val="19"/>
          <w:szCs w:val="19"/>
        </w:rPr>
        <w:t xml:space="preserve">[APPC – Appendix C, C-2 §55.10]  </w:t>
      </w:r>
      <w:r>
        <w:rPr>
          <w:rFonts w:ascii="Arial" w:cs="Arial" w:eastAsia="Arial" w:hAnsi="Arial"/>
          <w:color w:val="2D2D2D"/>
          <w:sz w:val="19"/>
          <w:szCs w:val="19"/>
        </w:rPr>
        <w:t xml:space="preserve">Require that where there is a risk of contact with live electricity during scaffold erection, use, or dismantling: de-energise the relevant electrical installations before work commences; define minimum approach distances to live conductors that cannot be de-energised; and use insulating covers, screens, or barriers where minimum approach distances cannot be maintained.</w:t>
      </w:r>
    </w:p>
    <w:p>
      <w:pPr>
        <w:pStyle w:val="ListParagraph"/>
        <w:numPr>
          <w:ilvl w:val="0"/>
          <w:numId w:val="2"/>
        </w:numPr>
        <w:spacing w:after="40" w:before="40"/>
      </w:pPr>
      <w:r>
        <w:rPr>
          <w:rFonts w:ascii="Arial" w:cs="Arial" w:eastAsia="Arial" w:hAnsi="Arial"/>
          <w:b/>
          <w:bCs/>
          <w:color w:val="1F3864"/>
          <w:sz w:val="19"/>
          <w:szCs w:val="19"/>
        </w:rPr>
        <w:t xml:space="preserve">[RT – RT C2 – Contact with Electricity Standard]  </w:t>
      </w:r>
      <w:r>
        <w:rPr>
          <w:rFonts w:ascii="Arial" w:cs="Arial" w:eastAsia="Arial" w:hAnsi="Arial"/>
          <w:color w:val="2D2D2D"/>
          <w:sz w:val="19"/>
          <w:szCs w:val="19"/>
        </w:rPr>
        <w:t xml:space="preserve">Require a specific risk assessment and Energised Work Authorisation for any scaffolding activity that cannot be separated from energised conductors by the required clearance distance.</w:t>
      </w:r>
    </w:p>
    <w:p>
      <w:pPr>
        <w:pStyle w:val="Heading2"/>
        <w:spacing w:after="60" w:before="240"/>
      </w:pPr>
      <w:r>
        <w:rPr>
          <w:rFonts w:ascii="Arial" w:cs="Arial" w:eastAsia="Arial" w:hAnsi="Arial"/>
          <w:b/>
          <w:bCs/>
          <w:color w:val="2E75B6"/>
          <w:sz w:val="22"/>
          <w:szCs w:val="22"/>
        </w:rPr>
        <w:t xml:space="preserve">Access, Egress and Edge Protection</w:t>
      </w:r>
    </w:p>
    <w:p>
      <w:pPr>
        <w:pStyle w:val="ListParagraph"/>
        <w:numPr>
          <w:ilvl w:val="0"/>
          <w:numId w:val="2"/>
        </w:numPr>
        <w:spacing w:after="40" w:before="40"/>
      </w:pPr>
      <w:r>
        <w:rPr>
          <w:rFonts w:ascii="Arial" w:cs="Arial" w:eastAsia="Arial" w:hAnsi="Arial"/>
          <w:b/>
          <w:bCs/>
          <w:color w:val="375623"/>
          <w:sz w:val="19"/>
          <w:szCs w:val="19"/>
        </w:rPr>
        <w:t xml:space="preserve">[APPC – Appendix C, C-2 §55.14]  </w:t>
      </w:r>
      <w:r>
        <w:rPr>
          <w:rFonts w:ascii="Arial" w:cs="Arial" w:eastAsia="Arial" w:hAnsi="Arial"/>
          <w:color w:val="2D2D2D"/>
          <w:sz w:val="19"/>
          <w:szCs w:val="19"/>
        </w:rPr>
        <w:t xml:space="preserve">Require that access to and egress from scaffolding is only through purpose-designed entry and exit points. Prohibit climbing the scaffold structure or accessing by any means other than designated entry and exit points.</w:t>
      </w:r>
    </w:p>
    <w:p>
      <w:pPr>
        <w:pStyle w:val="ListParagraph"/>
        <w:numPr>
          <w:ilvl w:val="0"/>
          <w:numId w:val="2"/>
        </w:numPr>
        <w:spacing w:after="40" w:before="40"/>
      </w:pPr>
      <w:r>
        <w:rPr>
          <w:rFonts w:ascii="Arial" w:cs="Arial" w:eastAsia="Arial" w:hAnsi="Arial"/>
          <w:b/>
          <w:bCs/>
          <w:color w:val="375623"/>
          <w:sz w:val="19"/>
          <w:szCs w:val="19"/>
        </w:rPr>
        <w:t xml:space="preserve">[APPC – Appendix C, C-2 §55.16.3]  </w:t>
      </w:r>
      <w:r>
        <w:rPr>
          <w:rFonts w:ascii="Arial" w:cs="Arial" w:eastAsia="Arial" w:hAnsi="Arial"/>
          <w:color w:val="2D2D2D"/>
          <w:sz w:val="19"/>
          <w:szCs w:val="19"/>
        </w:rPr>
        <w:t xml:space="preserve">Require that edge protection design and installation includes guardrails (minimum 900mm high), mid-rails, and toe boards. Require that the work method or scaffold plan includes sequential edge protection installation to prevent workers being exposed to an open edge during erection.</w:t>
      </w:r>
    </w:p>
    <w:p>
      <w:pPr>
        <w:pStyle w:val="ListParagraph"/>
        <w:numPr>
          <w:ilvl w:val="0"/>
          <w:numId w:val="2"/>
        </w:numPr>
        <w:spacing w:after="40" w:before="40"/>
      </w:pPr>
      <w:r>
        <w:rPr>
          <w:rFonts w:ascii="Arial" w:cs="Arial" w:eastAsia="Arial" w:hAnsi="Arial"/>
          <w:b/>
          <w:bCs/>
          <w:color w:val="1F3864"/>
          <w:sz w:val="19"/>
          <w:szCs w:val="19"/>
        </w:rPr>
        <w:t xml:space="preserve">[RT – RT C4 – Fall from Height Standard]  </w:t>
      </w:r>
      <w:r>
        <w:rPr>
          <w:rFonts w:ascii="Arial" w:cs="Arial" w:eastAsia="Arial" w:hAnsi="Arial"/>
          <w:color w:val="2D2D2D"/>
          <w:sz w:val="19"/>
          <w:szCs w:val="19"/>
        </w:rPr>
        <w:t xml:space="preserve">Require fall protection systems (harness and lanyard attached to an independent anchor) during erection and dismantling where workers are exposed to fall distances of two metres or more and before edge protection is in place.</w:t>
      </w:r>
    </w:p>
    <w:p>
      <w:pPr>
        <w:pStyle w:val="Heading2"/>
        <w:spacing w:after="60" w:before="240"/>
      </w:pPr>
      <w:r>
        <w:rPr>
          <w:rFonts w:ascii="Arial" w:cs="Arial" w:eastAsia="Arial" w:hAnsi="Arial"/>
          <w:b/>
          <w:bCs/>
          <w:color w:val="2E75B6"/>
          <w:sz w:val="22"/>
          <w:szCs w:val="22"/>
        </w:rPr>
        <w:t xml:space="preserve">Erection Sequencing and Fall Protection During Erection</w:t>
      </w:r>
    </w:p>
    <w:p>
      <w:pPr>
        <w:pStyle w:val="ListParagraph"/>
        <w:numPr>
          <w:ilvl w:val="0"/>
          <w:numId w:val="2"/>
        </w:numPr>
        <w:spacing w:after="40" w:before="40"/>
      </w:pPr>
      <w:r>
        <w:rPr>
          <w:rFonts w:ascii="Arial" w:cs="Arial" w:eastAsia="Arial" w:hAnsi="Arial"/>
          <w:b/>
          <w:bCs/>
          <w:color w:val="375623"/>
          <w:sz w:val="19"/>
          <w:szCs w:val="19"/>
        </w:rPr>
        <w:t xml:space="preserve">[APPC – Appendix C, C-2 §55.16.1]  </w:t>
      </w:r>
      <w:r>
        <w:rPr>
          <w:rFonts w:ascii="Arial" w:cs="Arial" w:eastAsia="Arial" w:hAnsi="Arial"/>
          <w:color w:val="2D2D2D"/>
          <w:sz w:val="19"/>
          <w:szCs w:val="19"/>
        </w:rPr>
        <w:t xml:space="preserve">Require that a documented erection sequence and method is prepared before erection commences, identifying: the order of component installation; the means by which leading edge protection is provided at each stage; the anchor points available for fall arrest during each phase of erection; and the maximum height to which erection may proceed before handover for inspection.</w:t>
      </w:r>
    </w:p>
    <w:p>
      <w:pPr>
        <w:pStyle w:val="ListParagraph"/>
        <w:numPr>
          <w:ilvl w:val="0"/>
          <w:numId w:val="2"/>
        </w:numPr>
        <w:spacing w:after="40" w:before="40"/>
      </w:pPr>
      <w:r>
        <w:rPr>
          <w:rFonts w:ascii="Arial" w:cs="Arial" w:eastAsia="Arial" w:hAnsi="Arial"/>
          <w:b/>
          <w:bCs/>
          <w:color w:val="375623"/>
          <w:sz w:val="19"/>
          <w:szCs w:val="19"/>
        </w:rPr>
        <w:t xml:space="preserve">[APPC – Appendix C, C-2 §55.16.2]  </w:t>
      </w:r>
      <w:r>
        <w:rPr>
          <w:rFonts w:ascii="Arial" w:cs="Arial" w:eastAsia="Arial" w:hAnsi="Arial"/>
          <w:color w:val="2D2D2D"/>
          <w:sz w:val="19"/>
          <w:szCs w:val="19"/>
        </w:rPr>
        <w:t xml:space="preserve">Define the controls for managing the risk of falls during erection: advance installation of temporary anchor points; use of self-retracting lanyards where mobility is required; and the prohibition of working from the top of a partially erected scaffold without an approved fall protection system.</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Ensure that erection sequencing is reviewed for SIMOPS conflicts — particularly where erection is occurring above or adjacent to active work areas.</w:t>
      </w:r>
    </w:p>
    <w:p>
      <w:pPr>
        <w:pStyle w:val="Heading2"/>
        <w:spacing w:after="60" w:before="240"/>
      </w:pPr>
      <w:r>
        <w:rPr>
          <w:rFonts w:ascii="Arial" w:cs="Arial" w:eastAsia="Arial" w:hAnsi="Arial"/>
          <w:b/>
          <w:bCs/>
          <w:color w:val="2E75B6"/>
          <w:sz w:val="22"/>
          <w:szCs w:val="22"/>
        </w:rPr>
        <w:t xml:space="preserve">Design Verification, Handover and Tagging</w:t>
      </w:r>
    </w:p>
    <w:p>
      <w:pPr>
        <w:pStyle w:val="ListParagraph"/>
        <w:numPr>
          <w:ilvl w:val="0"/>
          <w:numId w:val="2"/>
        </w:numPr>
        <w:spacing w:after="40" w:before="40"/>
      </w:pPr>
      <w:r>
        <w:rPr>
          <w:rFonts w:ascii="Arial" w:cs="Arial" w:eastAsia="Arial" w:hAnsi="Arial"/>
          <w:b/>
          <w:bCs/>
          <w:color w:val="375623"/>
          <w:sz w:val="19"/>
          <w:szCs w:val="19"/>
        </w:rPr>
        <w:t xml:space="preserve">[APPC – Appendix C, C-2 §55.17.1]  </w:t>
      </w:r>
      <w:r>
        <w:rPr>
          <w:rFonts w:ascii="Arial" w:cs="Arial" w:eastAsia="Arial" w:hAnsi="Arial"/>
          <w:color w:val="2D2D2D"/>
          <w:sz w:val="19"/>
          <w:szCs w:val="19"/>
        </w:rPr>
        <w:t xml:space="preserve">Require a design verification and handover process before any scaffold is used: the scaffold must be inspected and verified by a competent person against the design documentation; a formal handover must be completed between the erecting scaffolder and the receiving work group; and the scaffold must be tagged at all access points before use.</w:t>
      </w:r>
    </w:p>
    <w:p>
      <w:pPr>
        <w:pStyle w:val="ListParagraph"/>
        <w:numPr>
          <w:ilvl w:val="0"/>
          <w:numId w:val="2"/>
        </w:numPr>
        <w:spacing w:after="40" w:before="40"/>
      </w:pPr>
      <w:r>
        <w:rPr>
          <w:rFonts w:ascii="Arial" w:cs="Arial" w:eastAsia="Arial" w:hAnsi="Arial"/>
          <w:b/>
          <w:bCs/>
          <w:color w:val="375623"/>
          <w:sz w:val="19"/>
          <w:szCs w:val="19"/>
        </w:rPr>
        <w:t xml:space="preserve">[APPC – Appendix C, C-2 §55.17.4]  </w:t>
      </w:r>
      <w:r>
        <w:rPr>
          <w:rFonts w:ascii="Arial" w:cs="Arial" w:eastAsia="Arial" w:hAnsi="Arial"/>
          <w:color w:val="2D2D2D"/>
          <w:sz w:val="19"/>
          <w:szCs w:val="19"/>
        </w:rPr>
        <w:t xml:space="preserve">Define the scaffold tagging system: Green tag (Safe to Use — fully compliant with design); Yellow tag (Use with Restrictions — specific limitations defined); Red tag (Do Not Use — unsafe condition, access prohibited). Require tags to be placed at all access points and removed and replaced whenever the scaffold status changes.</w:t>
      </w:r>
    </w:p>
    <w:p>
      <w:pPr>
        <w:pStyle w:val="ListParagraph"/>
        <w:numPr>
          <w:ilvl w:val="0"/>
          <w:numId w:val="2"/>
        </w:numPr>
        <w:spacing w:after="40" w:before="40"/>
      </w:pPr>
      <w:r>
        <w:rPr>
          <w:rFonts w:ascii="Arial" w:cs="Arial" w:eastAsia="Arial" w:hAnsi="Arial"/>
          <w:b/>
          <w:bCs/>
          <w:color w:val="1F3864"/>
          <w:sz w:val="19"/>
          <w:szCs w:val="19"/>
        </w:rPr>
        <w:t xml:space="preserve">[RT – RT C4 – Fall from Height Standard]  </w:t>
      </w:r>
      <w:r>
        <w:rPr>
          <w:rFonts w:ascii="Arial" w:cs="Arial" w:eastAsia="Arial" w:hAnsi="Arial"/>
          <w:color w:val="2D2D2D"/>
          <w:sz w:val="19"/>
          <w:szCs w:val="19"/>
        </w:rPr>
        <w:t xml:space="preserve">Require a scaffold register to be maintained for all scaffolds on site including unique ID, location, design details, erection date, last inspection date, inspector identity, tagging status, and permitted load.</w:t>
      </w:r>
    </w:p>
    <w:p>
      <w:pPr>
        <w:pStyle w:val="Heading2"/>
        <w:spacing w:after="60" w:before="240"/>
      </w:pPr>
      <w:r>
        <w:rPr>
          <w:rFonts w:ascii="Arial" w:cs="Arial" w:eastAsia="Arial" w:hAnsi="Arial"/>
          <w:b/>
          <w:bCs/>
          <w:color w:val="2E75B6"/>
          <w:sz w:val="22"/>
          <w:szCs w:val="22"/>
        </w:rPr>
        <w:t xml:space="preserve">Inspection and Monitoring During Use</w:t>
      </w:r>
    </w:p>
    <w:p>
      <w:pPr>
        <w:pStyle w:val="ListParagraph"/>
        <w:numPr>
          <w:ilvl w:val="0"/>
          <w:numId w:val="2"/>
        </w:numPr>
        <w:spacing w:after="40" w:before="40"/>
      </w:pPr>
      <w:r>
        <w:rPr>
          <w:rFonts w:ascii="Arial" w:cs="Arial" w:eastAsia="Arial" w:hAnsi="Arial"/>
          <w:b/>
          <w:bCs/>
          <w:color w:val="375623"/>
          <w:sz w:val="19"/>
          <w:szCs w:val="19"/>
        </w:rPr>
        <w:t xml:space="preserve">[APPC – Appendix C, C-2 §55.17.2]  </w:t>
      </w:r>
      <w:r>
        <w:rPr>
          <w:rFonts w:ascii="Arial" w:cs="Arial" w:eastAsia="Arial" w:hAnsi="Arial"/>
          <w:color w:val="2D2D2D"/>
          <w:sz w:val="19"/>
          <w:szCs w:val="19"/>
        </w:rPr>
        <w:t xml:space="preserve">Define scaffold inspection frequencies: before first use (design verification); at regular intervals during use (risk-based, minimum weekly for occupied scaffolds); following any event that may affect integrity (high wind, impact, overloading, significant precipitation, seismic event); and before resuming use after any period of inactivity exceeding a defined duration.</w:t>
      </w:r>
    </w:p>
    <w:p>
      <w:pPr>
        <w:pStyle w:val="ListParagraph"/>
        <w:numPr>
          <w:ilvl w:val="0"/>
          <w:numId w:val="2"/>
        </w:numPr>
        <w:spacing w:after="40" w:before="40"/>
      </w:pPr>
      <w:r>
        <w:rPr>
          <w:rFonts w:ascii="Arial" w:cs="Arial" w:eastAsia="Arial" w:hAnsi="Arial"/>
          <w:b/>
          <w:bCs/>
          <w:color w:val="375623"/>
          <w:sz w:val="19"/>
          <w:szCs w:val="19"/>
        </w:rPr>
        <w:t xml:space="preserve">[APPC – Appendix C, C-2 §55.17.3]  </w:t>
      </w:r>
      <w:r>
        <w:rPr>
          <w:rFonts w:ascii="Arial" w:cs="Arial" w:eastAsia="Arial" w:hAnsi="Arial"/>
          <w:color w:val="2D2D2D"/>
          <w:sz w:val="19"/>
          <w:szCs w:val="19"/>
        </w:rPr>
        <w:t xml:space="preserve">Define extended use scaffold requirements — scaffolds remaining in place for longer than a defined period (e.g., 30 days) must be subject to formal periodic structural inspection at intervals no greater than defined in the design documentation or applicable standard, whichever is more frequent.</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§2.1]  </w:t>
      </w:r>
      <w:r>
        <w:rPr>
          <w:rFonts w:ascii="Arial" w:cs="Arial" w:eastAsia="Arial" w:hAnsi="Arial"/>
          <w:color w:val="2D2D2D"/>
          <w:sz w:val="19"/>
          <w:szCs w:val="19"/>
        </w:rPr>
        <w:t xml:space="preserve">Ensure that inspection findings are documented and that any defect requiring remediation results in the scaffold being taken out of service (Red tag) until the defect is rectified and the scaffold re-verified.</w:t>
      </w:r>
    </w:p>
    <w:p>
      <w:pPr>
        <w:pStyle w:val="Heading2"/>
        <w:spacing w:after="60" w:before="240"/>
      </w:pPr>
      <w:r>
        <w:rPr>
          <w:rFonts w:ascii="Arial" w:cs="Arial" w:eastAsia="Arial" w:hAnsi="Arial"/>
          <w:b/>
          <w:bCs/>
          <w:color w:val="2E75B6"/>
          <w:sz w:val="22"/>
          <w:szCs w:val="22"/>
        </w:rPr>
        <w:t xml:space="preserve">Scaffolding Over Water</w:t>
      </w:r>
    </w:p>
    <w:p>
      <w:pPr>
        <w:pStyle w:val="ListParagraph"/>
        <w:numPr>
          <w:ilvl w:val="0"/>
          <w:numId w:val="2"/>
        </w:numPr>
        <w:spacing w:after="40" w:before="40"/>
      </w:pPr>
      <w:r>
        <w:rPr>
          <w:rFonts w:ascii="Arial" w:cs="Arial" w:eastAsia="Arial" w:hAnsi="Arial"/>
          <w:b/>
          <w:bCs/>
          <w:color w:val="375623"/>
          <w:sz w:val="19"/>
          <w:szCs w:val="19"/>
        </w:rPr>
        <w:t xml:space="preserve">[APPC – Appendix C, C-2 §55.16.7]  </w:t>
      </w:r>
      <w:r>
        <w:rPr>
          <w:rFonts w:ascii="Arial" w:cs="Arial" w:eastAsia="Arial" w:hAnsi="Arial"/>
          <w:color w:val="2D2D2D"/>
          <w:sz w:val="19"/>
          <w:szCs w:val="19"/>
        </w:rPr>
        <w:t xml:space="preserve">Require that fall protection for scaffolds over or adjacent to water is anchored to an independent, certified structure — not to the temporary scaffold structure being erected, altered, or dismantled. Require PFDs to be worn during all scaffold work within two metres of an unprotected water edge, consistent with the Working Over Water Procedure.</w:t>
      </w:r>
    </w:p>
    <w:p>
      <w:pPr>
        <w:pStyle w:val="ListParagraph"/>
        <w:numPr>
          <w:ilvl w:val="0"/>
          <w:numId w:val="2"/>
        </w:numPr>
        <w:spacing w:after="40" w:before="40"/>
      </w:pPr>
      <w:r>
        <w:rPr>
          <w:rFonts w:ascii="Arial" w:cs="Arial" w:eastAsia="Arial" w:hAnsi="Arial"/>
          <w:b/>
          <w:bCs/>
          <w:color w:val="1F3864"/>
          <w:sz w:val="19"/>
          <w:szCs w:val="19"/>
        </w:rPr>
        <w:t xml:space="preserve">[RT – RT – Managing Work on/near/over Water Standard]  </w:t>
      </w:r>
      <w:r>
        <w:rPr>
          <w:rFonts w:ascii="Arial" w:cs="Arial" w:eastAsia="Arial" w:hAnsi="Arial"/>
          <w:color w:val="2D2D2D"/>
          <w:sz w:val="19"/>
          <w:szCs w:val="19"/>
        </w:rPr>
        <w:t xml:space="preserve">Require that scaffolds over water have engineered designs reviewed by a competent person covering: the loads imposed by the structure and its users on the supporting surface; the emergency rescue access provisions for a person who falls into the water; and the anchor arrangements for fall protection equipment that prevent contact with the water on arrest.</w:t>
      </w:r>
    </w:p>
    <w:p>
      <w:pPr>
        <w:pStyle w:val="Heading2"/>
        <w:spacing w:after="60" w:before="240"/>
      </w:pPr>
      <w:r>
        <w:rPr>
          <w:rFonts w:ascii="Arial" w:cs="Arial" w:eastAsia="Arial" w:hAnsi="Arial"/>
          <w:b/>
          <w:bCs/>
          <w:color w:val="2E75B6"/>
          <w:sz w:val="22"/>
          <w:szCs w:val="22"/>
        </w:rPr>
        <w:t xml:space="preserve">Dismantling and Emergency Preparedness</w:t>
      </w:r>
    </w:p>
    <w:p>
      <w:pPr>
        <w:pStyle w:val="ListParagraph"/>
        <w:numPr>
          <w:ilvl w:val="0"/>
          <w:numId w:val="2"/>
        </w:numPr>
        <w:spacing w:after="40" w:before="40"/>
      </w:pPr>
      <w:r>
        <w:rPr>
          <w:rFonts w:ascii="Arial" w:cs="Arial" w:eastAsia="Arial" w:hAnsi="Arial"/>
          <w:b/>
          <w:bCs/>
          <w:color w:val="375623"/>
          <w:sz w:val="19"/>
          <w:szCs w:val="19"/>
        </w:rPr>
        <w:t xml:space="preserve">[APPC – Appendix C, C-2 §55.18]  </w:t>
      </w:r>
      <w:r>
        <w:rPr>
          <w:rFonts w:ascii="Arial" w:cs="Arial" w:eastAsia="Arial" w:hAnsi="Arial"/>
          <w:color w:val="2D2D2D"/>
          <w:sz w:val="19"/>
          <w:szCs w:val="19"/>
        </w:rPr>
        <w:t xml:space="preserve">Require that scaffolding is dismantled by a competent and authorised scaffolder following a documented dismantling sequence. Require that the risk of falls during dismantling is managed using the same fall protection approach as erection — edge protection must be maintained until immediately before the relevant component is removed.</w:t>
      </w:r>
    </w:p>
    <w:p>
      <w:pPr>
        <w:pStyle w:val="ListParagraph"/>
        <w:numPr>
          <w:ilvl w:val="0"/>
          <w:numId w:val="2"/>
        </w:numPr>
        <w:spacing w:after="40" w:before="40"/>
      </w:pPr>
      <w:r>
        <w:rPr>
          <w:rFonts w:ascii="Arial" w:cs="Arial" w:eastAsia="Arial" w:hAnsi="Arial"/>
          <w:b/>
          <w:bCs/>
          <w:color w:val="375623"/>
          <w:sz w:val="19"/>
          <w:szCs w:val="19"/>
        </w:rPr>
        <w:t xml:space="preserve">[APPC – Appendix C, C-2 §55.18.2]  </w:t>
      </w:r>
      <w:r>
        <w:rPr>
          <w:rFonts w:ascii="Arial" w:cs="Arial" w:eastAsia="Arial" w:hAnsi="Arial"/>
          <w:color w:val="2D2D2D"/>
          <w:sz w:val="19"/>
          <w:szCs w:val="19"/>
        </w:rPr>
        <w:t xml:space="preserve">Define emergency preparedness requirements specific to scaffolding: rescue plans for a person fallen while attached to a fall arrest system on scaffold; evacuation procedures for partial scaffold collapse; and compatibility of rescue equipment with the scaffold configuration.</w:t>
      </w:r>
    </w:p>
    <w:p>
      <w:pPr>
        <w:pStyle w:val="Heading2"/>
        <w:spacing w:after="60" w:before="240"/>
      </w:pPr>
      <w:r>
        <w:rPr>
          <w:rFonts w:ascii="Arial" w:cs="Arial" w:eastAsia="Arial" w:hAnsi="Arial"/>
          <w:b/>
          <w:bCs/>
          <w:color w:val="2E75B6"/>
          <w:sz w:val="22"/>
          <w:szCs w:val="22"/>
        </w:rPr>
        <w:t xml:space="preserve">Training and Competency</w:t>
      </w:r>
    </w:p>
    <w:p>
      <w:pPr>
        <w:pStyle w:val="ListParagraph"/>
        <w:numPr>
          <w:ilvl w:val="0"/>
          <w:numId w:val="2"/>
        </w:numPr>
        <w:spacing w:after="40" w:before="40"/>
      </w:pPr>
      <w:r>
        <w:rPr>
          <w:rFonts w:ascii="Arial" w:cs="Arial" w:eastAsia="Arial" w:hAnsi="Arial"/>
          <w:b/>
          <w:bCs/>
          <w:color w:val="375623"/>
          <w:sz w:val="19"/>
          <w:szCs w:val="19"/>
        </w:rPr>
        <w:t xml:space="preserve">[APPC – Appendix C, C-2 §55.18.3–55.18.7]  </w:t>
      </w:r>
      <w:r>
        <w:rPr>
          <w:rFonts w:ascii="Arial" w:cs="Arial" w:eastAsia="Arial" w:hAnsi="Arial"/>
          <w:color w:val="2D2D2D"/>
          <w:sz w:val="19"/>
          <w:szCs w:val="19"/>
        </w:rPr>
        <w:t xml:space="preserve">Define competency requirements by scaffold role: Scaffold Designer — competent scaffolder with design competency or qualified engineer for complex configurations; Scaffold Inspector/Verifier — competent scaffolder or engineer with inspection competency; Scaffold Erector/Modifier/Dismantler — licensed and competent scaffolder operating within their class; and Scaffold User — inducted and trained in scaffold user responsibilities (load limits, prohibited actions, reporting damage).</w:t>
      </w:r>
    </w:p>
    <w:p>
      <w:pPr>
        <w:pStyle w:val="ListParagraph"/>
        <w:numPr>
          <w:ilvl w:val="0"/>
          <w:numId w:val="2"/>
        </w:numPr>
        <w:spacing w:after="40" w:before="40"/>
      </w:pPr>
      <w:r>
        <w:rPr>
          <w:rFonts w:ascii="Arial" w:cs="Arial" w:eastAsia="Arial" w:hAnsi="Arial"/>
          <w:b/>
          <w:bCs/>
          <w:color w:val="375623"/>
          <w:sz w:val="19"/>
          <w:szCs w:val="19"/>
        </w:rPr>
        <w:t xml:space="preserve">[APPC – Appendix C, C-2 §55.18.6]  </w:t>
      </w:r>
      <w:r>
        <w:rPr>
          <w:rFonts w:ascii="Arial" w:cs="Arial" w:eastAsia="Arial" w:hAnsi="Arial"/>
          <w:color w:val="2D2D2D"/>
          <w:sz w:val="19"/>
          <w:szCs w:val="19"/>
        </w:rPr>
        <w:t xml:space="preserve">Require competency to be verified before personnel are authorised in any scaffold role, with re-verification at a risk-based frequency appropriate to the hazards, scaffold types, and jurisdiction.</w:t>
      </w:r>
    </w:p>
    <w:p>
      <w:pPr>
        <w:pStyle w:val="ListParagraph"/>
        <w:numPr>
          <w:ilvl w:val="0"/>
          <w:numId w:val="2"/>
        </w:numPr>
        <w:spacing w:after="40" w:before="40"/>
      </w:pPr>
      <w:r>
        <w:rPr>
          <w:rFonts w:ascii="Arial" w:cs="Arial" w:eastAsia="Arial" w:hAnsi="Arial"/>
          <w:b/>
          <w:bCs/>
          <w:color w:val="C55A11"/>
          <w:sz w:val="19"/>
          <w:szCs w:val="19"/>
        </w:rPr>
        <w:t xml:space="preserve">[IFC – IFC PS2 GN§80]  </w:t>
      </w:r>
      <w:r>
        <w:rPr>
          <w:rFonts w:ascii="Arial" w:cs="Arial" w:eastAsia="Arial" w:hAnsi="Arial"/>
          <w:color w:val="2D2D2D"/>
          <w:sz w:val="19"/>
          <w:szCs w:val="19"/>
        </w:rPr>
        <w:t xml:space="preserve">Ensure that scaffold workers are trained not only in task-specific skills but also in the emergency response procedures applicable to scaffold incidents, including rescue from height and communication protocols.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scaffold tagging system: the specific tag design (colour, content, format); where tags are procured; how tags are controlled. The procedure defines the Green/Yellow/Red system — the project implements it.</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project-specific approach to complex scaffold configurations (over water, suspended, cantilever, adjacent to rail). Identify any complex scaffold types expected on this project and define the engineering review process.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scaffold inspection recording system: what form is used; where records are stored; how the Scaffold Register (RTPR-HSE-REG-0011) is maintained and updated.</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Scaffold Supervisor for this project (or confirm it is a contractor appointment). The SSoW requires a responsible person — identify by role.</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C-2 §55.7.2.2]  </w:t>
            </w:r>
            <w:r>
              <w:rPr>
                <w:rFonts w:ascii="Arial" w:cs="Arial" w:eastAsia="Arial" w:hAnsi="Arial"/>
                <w:color w:val="2D2D2D"/>
                <w:sz w:val="19"/>
                <w:szCs w:val="19"/>
              </w:rPr>
              <w:t xml:space="preserve">Require that any scaffold over 4 metres in height is documented in a basic scaffolding plan and/or design drawing and approved by a competent person before erection commences.</w:t>
            </w:r>
          </w:p>
          <w:p>
            <w:pPr>
              <w:pStyle w:val="ListParagraph"/>
              <w:numPr>
                <w:ilvl w:val="0"/>
                <w:numId w:val="2"/>
              </w:numPr>
              <w:spacing w:after="40" w:before="40"/>
            </w:pPr>
            <w:r>
              <w:rPr>
                <w:rFonts w:ascii="Arial" w:cs="Arial" w:eastAsia="Arial" w:hAnsi="Arial"/>
                <w:b/>
                <w:bCs/>
                <w:color w:val="375623"/>
                <w:sz w:val="19"/>
                <w:szCs w:val="19"/>
              </w:rPr>
              <w:t xml:space="preserve">[APPC – Appendix C, C-2 §55.10.1]  </w:t>
            </w:r>
            <w:r>
              <w:rPr>
                <w:rFonts w:ascii="Arial" w:cs="Arial" w:eastAsia="Arial" w:hAnsi="Arial"/>
                <w:color w:val="2D2D2D"/>
                <w:sz w:val="19"/>
                <w:szCs w:val="19"/>
              </w:rPr>
              <w:t xml:space="preserve">Where there is a risk of contact with live electricity due to scaffold proximity, require: isolation of the electrical energy source; determination of the minimum approach distance to any conductor; and earthing of scaffold structures by a competent person during erection and dismantling.</w:t>
            </w:r>
          </w:p>
          <w:p>
            <w:pPr>
              <w:pStyle w:val="ListParagraph"/>
              <w:numPr>
                <w:ilvl w:val="0"/>
                <w:numId w:val="2"/>
              </w:numPr>
              <w:spacing w:after="40" w:before="40"/>
            </w:pPr>
            <w:r>
              <w:rPr>
                <w:rFonts w:ascii="Arial" w:cs="Arial" w:eastAsia="Arial" w:hAnsi="Arial"/>
                <w:b/>
                <w:bCs/>
                <w:color w:val="375623"/>
                <w:sz w:val="19"/>
                <w:szCs w:val="19"/>
              </w:rPr>
              <w:t xml:space="preserve">[APPC – Appendix C, C-2 §55.11.1]  </w:t>
            </w:r>
            <w:r>
              <w:rPr>
                <w:rFonts w:ascii="Arial" w:cs="Arial" w:eastAsia="Arial" w:hAnsi="Arial"/>
                <w:color w:val="2D2D2D"/>
                <w:sz w:val="19"/>
                <w:szCs w:val="19"/>
              </w:rPr>
              <w:t xml:space="preserve">Require that mobile scaffolds are never moved while personnel are on the structure. Wheels must be locked when in use, and the scaffold must be inspected after any movement.</w:t>
            </w:r>
          </w:p>
          <w:p>
            <w:pPr>
              <w:pStyle w:val="ListParagraph"/>
              <w:numPr>
                <w:ilvl w:val="0"/>
                <w:numId w:val="2"/>
              </w:numPr>
              <w:spacing w:after="40" w:before="40"/>
            </w:pPr>
            <w:r>
              <w:rPr>
                <w:rFonts w:ascii="Arial" w:cs="Arial" w:eastAsia="Arial" w:hAnsi="Arial"/>
                <w:b/>
                <w:bCs/>
                <w:color w:val="375623"/>
                <w:sz w:val="19"/>
                <w:szCs w:val="19"/>
              </w:rPr>
              <w:t xml:space="preserve">[APPC – Appendix C, C-2 §55.17.2.2]  </w:t>
            </w:r>
            <w:r>
              <w:rPr>
                <w:rFonts w:ascii="Arial" w:cs="Arial" w:eastAsia="Arial" w:hAnsi="Arial"/>
                <w:color w:val="2D2D2D"/>
                <w:sz w:val="19"/>
                <w:szCs w:val="19"/>
              </w:rPr>
              <w:t xml:space="preserve">Require scaffold inspections at minimum: daily visual inspection before accessing; every 7 days for scaffold in active service; every 30 days for scaffold not in service; after any modifications; and following any event that may have affected stability.</w:t>
            </w:r>
          </w:p>
          <w:p>
            <w:pPr>
              <w:pStyle w:val="ListParagraph"/>
              <w:numPr>
                <w:ilvl w:val="0"/>
                <w:numId w:val="2"/>
              </w:numPr>
              <w:spacing w:after="40" w:before="40"/>
            </w:pPr>
            <w:r>
              <w:rPr>
                <w:rFonts w:ascii="Arial" w:cs="Arial" w:eastAsia="Arial" w:hAnsi="Arial"/>
                <w:b/>
                <w:bCs/>
                <w:color w:val="375623"/>
                <w:sz w:val="19"/>
                <w:szCs w:val="19"/>
              </w:rPr>
              <w:t xml:space="preserve">[APPC – Appendix C, C-2 §55.17.3.1]  </w:t>
            </w:r>
            <w:r>
              <w:rPr>
                <w:rFonts w:ascii="Arial" w:cs="Arial" w:eastAsia="Arial" w:hAnsi="Arial"/>
                <w:color w:val="2D2D2D"/>
                <w:sz w:val="19"/>
                <w:szCs w:val="19"/>
              </w:rPr>
              <w:t xml:space="preserve">Require that for scaffolds in place for more than 90 days, a competent person reassesses structural integrity. Inspection frequency and type must be based on scaffold type, use, location exposure, and contact with corrosive substances.</w:t>
            </w:r>
          </w:p>
          <w:p>
            <w:pPr>
              <w:pStyle w:val="ListParagraph"/>
              <w:numPr>
                <w:ilvl w:val="0"/>
                <w:numId w:val="2"/>
              </w:numPr>
              <w:spacing w:after="40" w:before="40"/>
            </w:pPr>
            <w:r>
              <w:rPr>
                <w:rFonts w:ascii="Arial" w:cs="Arial" w:eastAsia="Arial" w:hAnsi="Arial"/>
                <w:b/>
                <w:bCs/>
                <w:color w:val="375623"/>
                <w:sz w:val="19"/>
                <w:szCs w:val="19"/>
              </w:rPr>
              <w:t xml:space="preserve">[APPC – Appendix C, C-2 §55.16.7.1]  </w:t>
            </w:r>
            <w:r>
              <w:rPr>
                <w:rFonts w:ascii="Arial" w:cs="Arial" w:eastAsia="Arial" w:hAnsi="Arial"/>
                <w:color w:val="2D2D2D"/>
                <w:sz w:val="19"/>
                <w:szCs w:val="19"/>
              </w:rPr>
              <w:t xml:space="preserve">Require that scaffold over water incorporates fall protection with an inbuilt flotation device (IFD) attached to an independent structure. The authorisation process must include assessment of water immersion emergency response — refer RTPR-HSE-PRO-0030.</w:t>
            </w:r>
          </w:p>
          <w:p>
            <w:pPr>
              <w:pStyle w:val="ListParagraph"/>
              <w:numPr>
                <w:ilvl w:val="0"/>
                <w:numId w:val="2"/>
              </w:numPr>
              <w:spacing w:after="40" w:before="40"/>
            </w:pPr>
            <w:r>
              <w:rPr>
                <w:rFonts w:ascii="Arial" w:cs="Arial" w:eastAsia="Arial" w:hAnsi="Arial"/>
                <w:b/>
                <w:bCs/>
                <w:color w:val="375623"/>
                <w:sz w:val="19"/>
                <w:szCs w:val="19"/>
              </w:rPr>
              <w:t xml:space="preserve">[APPC – Appendix C, C-2 §55.18.2.1]  </w:t>
            </w:r>
            <w:r>
              <w:rPr>
                <w:rFonts w:ascii="Arial" w:cs="Arial" w:eastAsia="Arial" w:hAnsi="Arial"/>
                <w:color w:val="2D2D2D"/>
                <w:sz w:val="19"/>
                <w:szCs w:val="19"/>
              </w:rPr>
              <w:t xml:space="preserve">Require emergency procedures and rescue plans for scaffold emergencies, tailored to scaffold type and location and tested regularly. Scenarios must include: fall during erection, use, or dismantling; medical incidents on scaffold; fire or emergency requiring evacuation; and suspension trauma from fall arrest.</w:t>
            </w:r>
          </w:p>
          <w:p>
            <w:r>
              <w:rPr>
                <w:rFonts w:ascii="Arial" w:cs="Arial" w:eastAsia="Arial" w:hAnsi="Arial"/>
                <w:color w:val="3C2A00"/>
                <w:sz w:val="17"/>
                <w:szCs w:val="17"/>
              </w:rPr>
              <w:t xml:space="preserve">Define the project extended-use scaffold periodic inspection interval. The procedure sets a maximum — the project may set a more frequent interval based on site exposure conditions.</w:t>
            </w:r>
          </w:p>
        </w:tc>
      </w:tr>
    </w:tbl>
    <w:p>
      <w:pPr>
        <w:pBdr>
          <w:bottom w:val="single" w:color="CCCCCC" w:sz="2" w:space="4"/>
        </w:pBdr>
        <w:spacing w:after="160" w:before="160"/>
      </w:pPr>
      <w:r>
        <w:t xml:space="preserve"/>
      </w:r>
    </w:p>
    <w:p>
      <w:pPr>
        <w:pageBreakBefore/>
      </w:pPr>
      <w:r>
        <w:t xml:space="preserve"/>
      </w:r>
    </w:p>
    <w:p>
      <w:pPr>
        <w:pStyle w:val="Heading1"/>
        <w:pBdr>
          <w:bottom w:val="single" w:color="2E75B6" w:sz="8" w:space="4"/>
        </w:pBdr>
        <w:spacing w:after="100" w:before="560"/>
      </w:pPr>
      <w:r>
        <w:rPr>
          <w:rFonts w:ascii="Arial" w:cs="Arial" w:eastAsia="Arial" w:hAnsi="Arial"/>
          <w:b/>
          <w:bCs/>
          <w:color w:val="1F3864"/>
          <w:sz w:val="28"/>
          <w:szCs w:val="28"/>
        </w:rPr>
        <w:t xml:space="preserve">Commissioning Safety Procedure</w:t>
      </w:r>
    </w:p>
    <w:p>
      <w:pPr>
        <w:spacing w:after="120" w:before="0"/>
      </w:pPr>
      <w:r>
        <w:rPr>
          <w:rFonts w:ascii="Arial" w:cs="Arial" w:eastAsia="Arial" w:hAnsi="Arial"/>
          <w:b/>
          <w:bCs/>
          <w:color w:val="2E75B6"/>
          <w:sz w:val="18"/>
          <w:szCs w:val="18"/>
        </w:rPr>
        <w:t xml:space="preserve">Management System Element: </w:t>
      </w:r>
      <w:r>
        <w:rPr>
          <w:rFonts w:ascii="Arial" w:cs="Arial" w:eastAsia="Arial" w:hAnsi="Arial"/>
          <w:color w:val="555555"/>
          <w:sz w:val="18"/>
          <w:szCs w:val="18"/>
        </w:rPr>
        <w:t xml:space="preserve">10 – Operational Control</w:t>
      </w:r>
      <w:r>
        <w:rPr>
          <w:rFonts w:ascii="Arial" w:cs="Arial" w:eastAsia="Arial" w:hAnsi="Arial"/>
          <w:b/>
          <w:bCs/>
          <w:color w:val="2E75B6"/>
          <w:sz w:val="18"/>
          <w:szCs w:val="18"/>
        </w:rPr>
        <w:t xml:space="preserve">     |     Document ID: </w:t>
      </w:r>
      <w:r>
        <w:rPr>
          <w:rFonts w:ascii="Arial" w:cs="Arial" w:eastAsia="Arial" w:hAnsi="Arial"/>
          <w:color w:val="555555"/>
          <w:sz w:val="18"/>
          <w:szCs w:val="18"/>
        </w:rPr>
        <w:t xml:space="preserve">RTPR-HSE-PRO-0047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DOCUMENT RELATIONSHIPS — RTPR-HSE-PRO-0047</w:t>
            </w:r>
          </w:p>
        </w:tc>
      </w:tr>
      <w:tr>
        <w:tc>
          <w:tcPr>
            <w:gridSpan w:val="2"/>
            <w:tcBorders>
              <w:top w:val="single" w:color="CCCCCC" w:sz="1"/>
              <w:left w:val="single" w:color="CCCCCC" w:sz="1"/>
              <w:bottom w:val="single" w:color="CCCCCC" w:sz="1"/>
              <w:right w:val="single" w:color="CCCCCC" w:sz="1"/>
            </w:tcBorders>
            <w:shd w:fill="D9EAD3" w:val="clear"/>
            <w:tcMar>
              <w:top w:type="dxa" w:w="60"/>
              <w:left w:type="dxa" w:w="120"/>
              <w:bottom w:type="dxa" w:w="60"/>
              <w:right w:type="dxa" w:w="120"/>
            </w:tcMar>
          </w:tcPr>
          <w:p>
            <w:r>
              <w:rPr>
                <w:rFonts w:ascii="Arial" w:cs="Arial" w:eastAsia="Arial" w:hAnsi="Arial"/>
                <w:b/>
                <w:bCs/>
                <w:color w:val="1F3864"/>
                <w:sz w:val="17"/>
                <w:szCs w:val="17"/>
              </w:rPr>
              <w:t xml:space="preserve">THIS DOCUMENT OWNS (information defined here; do not duplicate elsewhere):</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Commissioning risk assessment workshop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Pre-commissioning plan requirements and A-list/B-list defect management</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Commissioning boundary demarcation system</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Commissioning-specific induction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Authority-to-energise process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Safety system pre-commissioning and proof testing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Commissioning SIMOPS requirements</w:t>
            </w:r>
          </w:p>
        </w:tc>
      </w:tr>
      <w:tr>
        <w:tc>
          <w:tcPr>
            <w:tcW w:type="dxa" w:w="440"/>
            <w:tcBorders>
              <w:top w:val="single" w:color="CCCCCC" w:sz="1"/>
              <w:left w:val="single" w:color="CCCCCC" w:sz="1"/>
              <w:bottom w:val="single" w:color="CCCCCC" w:sz="1"/>
              <w:right w:val="single" w:color="CCCCCC" w:sz="1"/>
            </w:tcBorders>
            <w:shd w:fill="E2EFDA"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E2EFDA" w:val="clear"/>
            <w:tcMar>
              <w:top w:type="dxa" w:w="40"/>
              <w:left w:type="dxa" w:w="60"/>
              <w:bottom w:type="dxa" w:w="40"/>
              <w:right w:type="dxa" w:w="120"/>
            </w:tcMar>
          </w:tcPr>
          <w:p>
            <w:r>
              <w:rPr>
                <w:rFonts w:ascii="Arial" w:cs="Arial" w:eastAsia="Arial" w:hAnsi="Arial"/>
                <w:color w:val="2D2D2D"/>
                <w:sz w:val="17"/>
                <w:szCs w:val="17"/>
              </w:rPr>
              <w:t xml:space="preserve">Handover to operations process and sign-off authority</w:t>
            </w:r>
          </w:p>
        </w:tc>
      </w:tr>
      <w:tr>
        <w:tc>
          <w:tcPr>
            <w:gridSpan w:val="2"/>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20"/>
            </w:tcMar>
          </w:tcPr>
          <w:p>
            <w:r>
              <w:rPr>
                <w:rFonts w:ascii="Arial" w:cs="Arial" w:eastAsia="Arial" w:hAnsi="Arial"/>
                <w:b/>
                <w:bCs/>
                <w:color w:val="1F3864"/>
                <w:sz w:val="17"/>
                <w:szCs w:val="17"/>
              </w:rPr>
              <w:t xml:space="preserve">THIS DOCUMENT REFERENCES (do not repeat this content — point here instead):</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RTPR-HSE-PRO-0002 – Risk Management (commissioning risk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RTPR-HSE-PRO-0004 – Training (commissioning-specific induction — refer RTPR-HSE-PRO-0004)</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RTPR-HSE-PRO-0019 – Process Safety (safety-critical system pre-commissioning)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RTPR-HSE-PRO-0020 – Functional Safety (SIS proof testing before commissioning)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RTPR-HSE-PRO-0021 – Permit to Work (commissioning work via PTW — refer RTPR-HSE-PRO-0021; dual authority zone management)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RTPR-HSE-PRO-0024 – Isolation (commissioning isolation management — refer RTPR-HSE-PRO-0024)</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RTPR-HSE-PRO-0025 – Electrical Safety (electrical commissioning — refer RTPR-HSE-PRO-0025)</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RTPR-HSE-PRO-0008 – Working at Height (height work during commissioning)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RTPR-HSE-PRO-0014 – Confined Space (confined space work during commissioning)</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RTPR-HSE-PRO-0022 – SIMOPS (commissioning SIMOPS assessment)</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RTPR-HSE-PRO-0041 – Business Resilience (commissioning emergency scenarios in ERP)</w:t>
            </w:r>
          </w:p>
        </w:tc>
      </w:tr>
      <w:tr>
        <w:tc>
          <w:tcPr>
            <w:tcW w:type="dxa" w:w="440"/>
            <w:tcBorders>
              <w:top w:val="single" w:color="CCCCCC" w:sz="1"/>
              <w:left w:val="single" w:color="CCCCCC" w:sz="1"/>
              <w:bottom w:val="single" w:color="CCCCCC" w:sz="1"/>
              <w:right w:val="single" w:color="CCCCCC" w:sz="1"/>
            </w:tcBorders>
            <w:shd w:fill="DEEAF1" w:val="clear"/>
            <w:tcMar>
              <w:top w:type="dxa" w:w="40"/>
              <w:left w:type="dxa" w:w="120"/>
              <w:bottom w:type="dxa" w:w="40"/>
              <w:right w:type="dxa" w:w="60"/>
            </w:tcMar>
          </w:tcPr>
          <w:p>
            <w:r>
              <w:rPr>
                <w:rFonts w:ascii="Arial" w:cs="Arial" w:eastAsia="Arial" w:hAnsi="Arial"/>
                <w:color w:val="2E75B6"/>
                <w:sz w:val="16"/>
                <w:szCs w:val="16"/>
              </w:rPr>
              <w:t xml:space="preserve">►</w:t>
            </w:r>
          </w:p>
        </w:tc>
        <w:tc>
          <w:tcPr>
            <w:tcBorders>
              <w:top w:val="single" w:color="CCCCCC" w:sz="1"/>
              <w:left w:val="single" w:color="CCCCCC" w:sz="1"/>
              <w:bottom w:val="single" w:color="CCCCCC" w:sz="1"/>
              <w:right w:val="single" w:color="CCCCCC" w:sz="1"/>
            </w:tcBorders>
            <w:shd w:fill="DEEAF1" w:val="clear"/>
            <w:tcMar>
              <w:top w:type="dxa" w:w="40"/>
              <w:left w:type="dxa" w:w="60"/>
              <w:bottom w:type="dxa" w:w="40"/>
              <w:right w:type="dxa" w:w="120"/>
            </w:tcMar>
          </w:tcPr>
          <w:p>
            <w:r>
              <w:rPr>
                <w:rFonts w:ascii="Arial" w:cs="Arial" w:eastAsia="Arial" w:hAnsi="Arial"/>
                <w:color w:val="2D2D2D"/>
                <w:sz w:val="17"/>
                <w:szCs w:val="17"/>
              </w:rPr>
              <w:t xml:space="preserve">RTPR-HSE-PRO-0009 – Incident Management (commissioning incident reporting via RTPR-HSE-PRO-0009)</w:t>
            </w:r>
          </w:p>
        </w:tc>
      </w:tr>
    </w:tbl>
    <w:p>
      <w:pPr>
        <w:spacing w:after="0" w:before="120"/>
      </w:pPr>
      <w:r>
        <w:t xml:space="preserve"/>
      </w:r>
    </w:p>
    <w:p>
      <w:pPr>
        <w:spacing w:after="80" w:before="40"/>
      </w:pPr>
      <w:r>
        <w:rPr>
          <w:rFonts w:ascii="Arial" w:cs="Arial" w:eastAsia="Arial" w:hAnsi="Arial"/>
          <w:i/>
          <w:iCs/>
          <w:color w:val="555555"/>
          <w:sz w:val="19"/>
          <w:szCs w:val="19"/>
        </w:rPr>
        <w:t xml:space="preserve">Commissioning represents one of the highest-risk phases of any capital project. It involves the transition from a construction environment to an operational environment, the energisation of systems and equipment for the first time, and the simultaneous operation of construction and live systems in the same area. This procedure defines how commissioning safety is planned, authorised, and controlled across the owner-led project — and governs the specific interface between the project team and the operations team as operational control of systems is transferred.</w:t>
      </w:r>
    </w:p>
    <w:p>
      <w:pPr>
        <w:pStyle w:val="Heading2"/>
        <w:spacing w:after="60" w:before="240"/>
      </w:pPr>
      <w:r>
        <w:rPr>
          <w:rFonts w:ascii="Arial" w:cs="Arial" w:eastAsia="Arial" w:hAnsi="Arial"/>
          <w:b/>
          <w:bCs/>
          <w:color w:val="2E75B6"/>
          <w:sz w:val="22"/>
          <w:szCs w:val="22"/>
        </w:rPr>
        <w:t xml:space="preserve">Purpose, Scope and Commissioning Risk Assessment</w:t>
      </w:r>
    </w:p>
    <w:p>
      <w:pPr>
        <w:pStyle w:val="ListParagraph"/>
        <w:numPr>
          <w:ilvl w:val="0"/>
          <w:numId w:val="2"/>
        </w:numPr>
        <w:spacing w:after="40" w:before="40"/>
      </w:pPr>
      <w:r>
        <w:rPr>
          <w:rFonts w:ascii="Arial" w:cs="Arial" w:eastAsia="Arial" w:hAnsi="Arial"/>
          <w:b/>
          <w:bCs/>
          <w:color w:val="375623"/>
          <w:sz w:val="19"/>
          <w:szCs w:val="19"/>
        </w:rPr>
        <w:t xml:space="preserve">[APPC – Appendix C, C-1 §44.1 and §44.2]  </w:t>
      </w:r>
      <w:r>
        <w:rPr>
          <w:rFonts w:ascii="Arial" w:cs="Arial" w:eastAsia="Arial" w:hAnsi="Arial"/>
          <w:color w:val="2D2D2D"/>
          <w:sz w:val="19"/>
          <w:szCs w:val="19"/>
        </w:rPr>
        <w:t xml:space="preserve">Define commissioning as the phase during which systems and equipment are activated and tested for the first time, including pre-commissioning (cleaning, flushing, testing); mechanical completion verification; commissioning (energisation and functional testing); performance testing; and handover to operations. Confirm that all HSESC requirements of the management system remain in force during commissioning.</w:t>
      </w:r>
    </w:p>
    <w:p>
      <w:pPr>
        <w:pStyle w:val="ListParagraph"/>
        <w:numPr>
          <w:ilvl w:val="0"/>
          <w:numId w:val="2"/>
        </w:numPr>
        <w:spacing w:after="40" w:before="40"/>
      </w:pPr>
      <w:r>
        <w:rPr>
          <w:rFonts w:ascii="Arial" w:cs="Arial" w:eastAsia="Arial" w:hAnsi="Arial"/>
          <w:b/>
          <w:bCs/>
          <w:color w:val="375623"/>
          <w:sz w:val="19"/>
          <w:szCs w:val="19"/>
        </w:rPr>
        <w:t xml:space="preserve">[APPC – Appendix C, C-1 §44.1]  </w:t>
      </w:r>
      <w:r>
        <w:rPr>
          <w:rFonts w:ascii="Arial" w:cs="Arial" w:eastAsia="Arial" w:hAnsi="Arial"/>
          <w:color w:val="2D2D2D"/>
          <w:sz w:val="19"/>
          <w:szCs w:val="19"/>
        </w:rPr>
        <w:t xml:space="preserve">Require a Commissioning Risk Assessment Workshop to be conducted jointly by the project team and operations team before commissioning activities begin, identifying and documenting commissioning-specific risks that are distinct from construction risks.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§4.2]  </w:t>
      </w:r>
      <w:r>
        <w:rPr>
          <w:rFonts w:ascii="Arial" w:cs="Arial" w:eastAsia="Arial" w:hAnsi="Arial"/>
          <w:color w:val="2D2D2D"/>
          <w:sz w:val="19"/>
          <w:szCs w:val="19"/>
        </w:rPr>
        <w:t xml:space="preserve">Identify and assess all significant OHS risks associated with commissioning activities, including: first energisation of systems; testing of safety systems; simultaneous operation of live systems adjacent to construction activities; and the transition of personnel from construction roles to operational roles.</w:t>
      </w:r>
    </w:p>
    <w:p>
      <w:pPr>
        <w:pStyle w:val="ListParagraph"/>
        <w:numPr>
          <w:ilvl w:val="0"/>
          <w:numId w:val="2"/>
        </w:numPr>
        <w:spacing w:after="40" w:before="40"/>
      </w:pPr>
      <w:r>
        <w:rPr>
          <w:rFonts w:ascii="Arial" w:cs="Arial" w:eastAsia="Arial" w:hAnsi="Arial"/>
          <w:b/>
          <w:bCs/>
          <w:color w:val="7030A0"/>
          <w:sz w:val="19"/>
          <w:szCs w:val="19"/>
        </w:rPr>
        <w:t xml:space="preserve">[ICMM – ICMM Principle 5, Performance Expectation 5.1]  </w:t>
      </w:r>
      <w:r>
        <w:rPr>
          <w:rFonts w:ascii="Arial" w:cs="Arial" w:eastAsia="Arial" w:hAnsi="Arial"/>
          <w:color w:val="2D2D2D"/>
          <w:sz w:val="19"/>
          <w:szCs w:val="19"/>
        </w:rPr>
        <w:t xml:space="preserve">Ensure that fatality risk management (critical control identification and verification) is applied with the same rigour during commissioning as during construction — recognising that commissioning introduces new fatality scenarios not present during construction.</w:t>
      </w:r>
    </w:p>
    <w:p>
      <w:pPr>
        <w:pStyle w:val="Heading2"/>
        <w:spacing w:after="60" w:before="240"/>
      </w:pPr>
      <w:r>
        <w:rPr>
          <w:rFonts w:ascii="Arial" w:cs="Arial" w:eastAsia="Arial" w:hAnsi="Arial"/>
          <w:b/>
          <w:bCs/>
          <w:color w:val="2E75B6"/>
          <w:sz w:val="22"/>
          <w:szCs w:val="22"/>
        </w:rPr>
        <w:t xml:space="preserve">Pre-commissioning Plans and Handover Preparation</w:t>
      </w:r>
    </w:p>
    <w:p>
      <w:pPr>
        <w:pStyle w:val="ListParagraph"/>
        <w:numPr>
          <w:ilvl w:val="0"/>
          <w:numId w:val="2"/>
        </w:numPr>
        <w:spacing w:after="40" w:before="40"/>
      </w:pPr>
      <w:r>
        <w:rPr>
          <w:rFonts w:ascii="Arial" w:cs="Arial" w:eastAsia="Arial" w:hAnsi="Arial"/>
          <w:b/>
          <w:bCs/>
          <w:color w:val="375623"/>
          <w:sz w:val="19"/>
          <w:szCs w:val="19"/>
        </w:rPr>
        <w:t xml:space="preserve">[APPC – Appendix C, C-1 §44.1]  </w:t>
      </w:r>
      <w:r>
        <w:rPr>
          <w:rFonts w:ascii="Arial" w:cs="Arial" w:eastAsia="Arial" w:hAnsi="Arial"/>
          <w:color w:val="2D2D2D"/>
          <w:sz w:val="19"/>
          <w:szCs w:val="19"/>
        </w:rPr>
        <w:t xml:space="preserve">Require development of pre-commissioning plans covering: tie-in points for brownfield projects; isolation and energisation sequences; testing methodology; minimum system completeness criteria before energisation; and sign-off requirements from both the construction and operations teams before any system proceeds to commissioning.</w:t>
      </w:r>
    </w:p>
    <w:p>
      <w:pPr>
        <w:pStyle w:val="ListParagraph"/>
        <w:numPr>
          <w:ilvl w:val="0"/>
          <w:numId w:val="2"/>
        </w:numPr>
        <w:spacing w:after="40" w:before="40"/>
      </w:pPr>
      <w:r>
        <w:rPr>
          <w:rFonts w:ascii="Arial" w:cs="Arial" w:eastAsia="Arial" w:hAnsi="Arial"/>
          <w:b/>
          <w:bCs/>
          <w:color w:val="1F3864"/>
          <w:sz w:val="19"/>
          <w:szCs w:val="19"/>
        </w:rPr>
        <w:t xml:space="preserve">[RT – RT – Multiple Standards (C1, C2, Process Safety)]  </w:t>
      </w:r>
      <w:r>
        <w:rPr>
          <w:rFonts w:ascii="Arial" w:cs="Arial" w:eastAsia="Arial" w:hAnsi="Arial"/>
          <w:color w:val="2D2D2D"/>
          <w:sz w:val="19"/>
          <w:szCs w:val="19"/>
        </w:rPr>
        <w:t xml:space="preserve">Require completion of punch-listing and defect resolution processes before any system is considered mechanically complete and ready for pre-commissioning, with outstanding safety-related items on an 'A-list' (prohibitive to energisation) and non-safety items on a 'B-list' (to be resolved within an agreed period post-energisation).</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§4.2]  </w:t>
      </w:r>
      <w:r>
        <w:rPr>
          <w:rFonts w:ascii="Arial" w:cs="Arial" w:eastAsia="Arial" w:hAnsi="Arial"/>
          <w:color w:val="2D2D2D"/>
          <w:sz w:val="19"/>
          <w:szCs w:val="19"/>
        </w:rPr>
        <w:t xml:space="preserve">Verify that all safety systems required for the protection of workers and the environment are tested and commissioned before the process systems they protect are energised or placed in service.</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the minimum documentation package required to be complete before any system can be declared mechanically complete and proceed to pre-commissioning — including as-built drawings, equipment test certificates, SIS proof test records, and regulatory inspection certificates. This package must be approved by both the construction manager and the commissioning manager.</w:t>
      </w:r>
    </w:p>
    <w:p>
      <w:pPr>
        <w:pStyle w:val="Heading2"/>
        <w:spacing w:after="60" w:before="240"/>
      </w:pPr>
      <w:r>
        <w:rPr>
          <w:rFonts w:ascii="Arial" w:cs="Arial" w:eastAsia="Arial" w:hAnsi="Arial"/>
          <w:b/>
          <w:bCs/>
          <w:color w:val="2E75B6"/>
          <w:sz w:val="22"/>
          <w:szCs w:val="22"/>
        </w:rPr>
        <w:t xml:space="preserve">Isolation and Energisation Management</w:t>
      </w:r>
    </w:p>
    <w:p>
      <w:pPr>
        <w:pStyle w:val="ListParagraph"/>
        <w:numPr>
          <w:ilvl w:val="0"/>
          <w:numId w:val="2"/>
        </w:numPr>
        <w:spacing w:after="40" w:before="40"/>
      </w:pPr>
      <w:r>
        <w:rPr>
          <w:rFonts w:ascii="Arial" w:cs="Arial" w:eastAsia="Arial" w:hAnsi="Arial"/>
          <w:b/>
          <w:bCs/>
          <w:color w:val="1F3864"/>
          <w:sz w:val="19"/>
          <w:szCs w:val="19"/>
        </w:rPr>
        <w:t xml:space="preserve">[RT – RT C1 – Control of Energy Standard]  </w:t>
      </w:r>
      <w:r>
        <w:rPr>
          <w:rFonts w:ascii="Arial" w:cs="Arial" w:eastAsia="Arial" w:hAnsi="Arial"/>
          <w:color w:val="2D2D2D"/>
          <w:sz w:val="19"/>
          <w:szCs w:val="19"/>
        </w:rPr>
        <w:t xml:space="preserve">Require that all commissioning energisation activities are authorised through the site PTW system. Require that energy isolation plans are updated to reflect the evolving boundary between energised and non-energised systems as commissioning progresses. Require that isolation boundaries are clearly demarcated and communicated to all personnel.</w:t>
      </w:r>
    </w:p>
    <w:p>
      <w:pPr>
        <w:pStyle w:val="ListParagraph"/>
        <w:numPr>
          <w:ilvl w:val="0"/>
          <w:numId w:val="2"/>
        </w:numPr>
        <w:spacing w:after="40" w:before="40"/>
      </w:pPr>
      <w:r>
        <w:rPr>
          <w:rFonts w:ascii="Arial" w:cs="Arial" w:eastAsia="Arial" w:hAnsi="Arial"/>
          <w:b/>
          <w:bCs/>
          <w:color w:val="1F3864"/>
          <w:sz w:val="19"/>
          <w:szCs w:val="19"/>
        </w:rPr>
        <w:t xml:space="preserve">[RT – RT C2 – Contact with Electricity Standard]  </w:t>
      </w:r>
      <w:r>
        <w:rPr>
          <w:rFonts w:ascii="Arial" w:cs="Arial" w:eastAsia="Arial" w:hAnsi="Arial"/>
          <w:color w:val="2D2D2D"/>
          <w:sz w:val="19"/>
          <w:szCs w:val="19"/>
        </w:rPr>
        <w:t xml:space="preserve">Require a specific electrical commissioning plan for each new electrical system, documenting: the energisation sequence; isolation boundary at each step; zero-energy verification requirements; and competency requirements for personnel performing or supervising energisation.</w:t>
      </w:r>
    </w:p>
    <w:p>
      <w:pPr>
        <w:pStyle w:val="ListParagraph"/>
        <w:numPr>
          <w:ilvl w:val="0"/>
          <w:numId w:val="2"/>
        </w:numPr>
        <w:spacing w:after="40" w:before="40"/>
      </w:pPr>
      <w:r>
        <w:rPr>
          <w:rFonts w:ascii="Arial" w:cs="Arial" w:eastAsia="Arial" w:hAnsi="Arial"/>
          <w:b/>
          <w:bCs/>
          <w:color w:val="375623"/>
          <w:sz w:val="19"/>
          <w:szCs w:val="19"/>
        </w:rPr>
        <w:t xml:space="preserve">[APPC – Appendix C, C-1 §44.2]  </w:t>
      </w:r>
      <w:r>
        <w:rPr>
          <w:rFonts w:ascii="Arial" w:cs="Arial" w:eastAsia="Arial" w:hAnsi="Arial"/>
          <w:color w:val="2D2D2D"/>
          <w:sz w:val="19"/>
          <w:szCs w:val="19"/>
        </w:rPr>
        <w:t xml:space="preserve">Define the process for managing the transition of permits and authority from the construction permit system to the operations permit system, including how dual-authority zones (where both construction and operations work is occurring simultaneously) are managed.</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 colour-coded or equivalent demarcation system for commissioning boundaries (e.g., red/yellow/green zones corresponding to 'live — no access without operations authority'; 'pre-commissioning in progress — controlled access'; 'construction — standard controls apply'), with the system communicated to all project personnel before commissioning begins.</w:t>
      </w:r>
    </w:p>
    <w:p>
      <w:pPr>
        <w:pStyle w:val="Heading2"/>
        <w:spacing w:after="60" w:before="240"/>
      </w:pPr>
      <w:r>
        <w:rPr>
          <w:rFonts w:ascii="Arial" w:cs="Arial" w:eastAsia="Arial" w:hAnsi="Arial"/>
          <w:b/>
          <w:bCs/>
          <w:color w:val="2E75B6"/>
          <w:sz w:val="22"/>
          <w:szCs w:val="22"/>
        </w:rPr>
        <w:t xml:space="preserve">SIMOPS During Commissioning</w:t>
      </w:r>
    </w:p>
    <w:p>
      <w:pPr>
        <w:pStyle w:val="ListParagraph"/>
        <w:numPr>
          <w:ilvl w:val="0"/>
          <w:numId w:val="2"/>
        </w:numPr>
        <w:spacing w:after="40" w:before="40"/>
      </w:pPr>
      <w:r>
        <w:rPr>
          <w:rFonts w:ascii="Arial" w:cs="Arial" w:eastAsia="Arial" w:hAnsi="Arial"/>
          <w:b/>
          <w:bCs/>
          <w:color w:val="375623"/>
          <w:sz w:val="19"/>
          <w:szCs w:val="19"/>
        </w:rPr>
        <w:t xml:space="preserve">[APPC – Appendix C, C-1 §44.2 and C-2 §63]  </w:t>
      </w:r>
      <w:r>
        <w:rPr>
          <w:rFonts w:ascii="Arial" w:cs="Arial" w:eastAsia="Arial" w:hAnsi="Arial"/>
          <w:color w:val="2D2D2D"/>
          <w:sz w:val="19"/>
          <w:szCs w:val="19"/>
        </w:rPr>
        <w:t xml:space="preserve">Require all simultaneous activities during commissioning (construction work adjacent to live systems) to be assessed through the project SIMOPS process, using an updated SIMOPS Matrix that reflects the changed hazard profile of a commissioning environment — specifically the presence of energised plant, process fluids, rotating equipment, and control systems.</w:t>
      </w:r>
    </w:p>
    <w:p>
      <w:pPr>
        <w:pStyle w:val="ListParagraph"/>
        <w:numPr>
          <w:ilvl w:val="0"/>
          <w:numId w:val="2"/>
        </w:numPr>
        <w:spacing w:after="40" w:before="40"/>
      </w:pPr>
      <w:r>
        <w:rPr>
          <w:rFonts w:ascii="Arial" w:cs="Arial" w:eastAsia="Arial" w:hAnsi="Arial"/>
          <w:b/>
          <w:bCs/>
          <w:color w:val="375623"/>
          <w:sz w:val="19"/>
          <w:szCs w:val="19"/>
        </w:rPr>
        <w:t xml:space="preserve">[APPC – Appendix C, C-1 §44.2]  </w:t>
      </w:r>
      <w:r>
        <w:rPr>
          <w:rFonts w:ascii="Arial" w:cs="Arial" w:eastAsia="Arial" w:hAnsi="Arial"/>
          <w:color w:val="2D2D2D"/>
          <w:sz w:val="19"/>
          <w:szCs w:val="19"/>
        </w:rPr>
        <w:t xml:space="preserve">Define the interface between the commissioning team and remaining construction contractors in terms of: permit-to-work authority; exclusion zone management around live commissioning systems; communication protocols; and escalation pathways for SIMOPS conflicts.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§4.2]  </w:t>
      </w:r>
      <w:r>
        <w:rPr>
          <w:rFonts w:ascii="Arial" w:cs="Arial" w:eastAsia="Arial" w:hAnsi="Arial"/>
          <w:color w:val="2D2D2D"/>
          <w:sz w:val="19"/>
          <w:szCs w:val="19"/>
        </w:rPr>
        <w:t xml:space="preserve">Ensure that construction workers who have not been specifically inducted into the commissioning environment are prohibited from accessing live commissioning areas, and that clear physical and administrative separation is maintained.</w:t>
      </w:r>
    </w:p>
    <w:p>
      <w:pPr>
        <w:pStyle w:val="Heading2"/>
        <w:spacing w:after="60" w:before="240"/>
      </w:pPr>
      <w:r>
        <w:rPr>
          <w:rFonts w:ascii="Arial" w:cs="Arial" w:eastAsia="Arial" w:hAnsi="Arial"/>
          <w:b/>
          <w:bCs/>
          <w:color w:val="2E75B6"/>
          <w:sz w:val="22"/>
          <w:szCs w:val="22"/>
        </w:rPr>
        <w:t xml:space="preserve">Personnel Transition and Commissioning-Specific Induction</w:t>
      </w:r>
    </w:p>
    <w:p>
      <w:pPr>
        <w:pStyle w:val="ListParagraph"/>
        <w:numPr>
          <w:ilvl w:val="0"/>
          <w:numId w:val="2"/>
        </w:numPr>
        <w:spacing w:after="40" w:before="40"/>
      </w:pPr>
      <w:r>
        <w:rPr>
          <w:rFonts w:ascii="Arial" w:cs="Arial" w:eastAsia="Arial" w:hAnsi="Arial"/>
          <w:b/>
          <w:bCs/>
          <w:color w:val="375623"/>
          <w:sz w:val="19"/>
          <w:szCs w:val="19"/>
        </w:rPr>
        <w:t xml:space="preserve">[APPC – Appendix C, C-1 §29.6]  </w:t>
      </w:r>
      <w:r>
        <w:rPr>
          <w:rFonts w:ascii="Arial" w:cs="Arial" w:eastAsia="Arial" w:hAnsi="Arial"/>
          <w:color w:val="2D2D2D"/>
          <w:sz w:val="19"/>
          <w:szCs w:val="19"/>
        </w:rPr>
        <w:t xml:space="preserve">Require all personnel transitioning from construction roles to commissioning roles, or working in areas where commissioning is occurring, to complete a commissioning-specific induction before entering commissioning areas. The induction must cover: the changed risk profile of the commissioning environment; identification of live systems and demarcation boundaries; commissioning PTW and SIMOPS requirements; emergency response in a commissioning context; and the specific hazards associated with first energisation of the system types involved.</w:t>
      </w:r>
    </w:p>
    <w:p>
      <w:pPr>
        <w:pStyle w:val="ListParagraph"/>
        <w:numPr>
          <w:ilvl w:val="0"/>
          <w:numId w:val="2"/>
        </w:numPr>
        <w:spacing w:after="40" w:before="40"/>
      </w:pPr>
      <w:r>
        <w:rPr>
          <w:rFonts w:ascii="Arial" w:cs="Arial" w:eastAsia="Arial" w:hAnsi="Arial"/>
          <w:b/>
          <w:bCs/>
          <w:color w:val="1F3864"/>
          <w:sz w:val="19"/>
          <w:szCs w:val="19"/>
        </w:rPr>
        <w:t xml:space="preserve">[RT – RT C2 – Electrical Safety Standard]  </w:t>
      </w:r>
      <w:r>
        <w:rPr>
          <w:rFonts w:ascii="Arial" w:cs="Arial" w:eastAsia="Arial" w:hAnsi="Arial"/>
          <w:color w:val="2D2D2D"/>
          <w:sz w:val="19"/>
          <w:szCs w:val="19"/>
        </w:rPr>
        <w:t xml:space="preserve">Define additional competency requirements for personnel involved in electrical commissioning activities, including arc flash risk awareness, high-voltage energisation supervision requirements, and emergency electrical isolation procedures specific to the equipment being commissioned.</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the minimum commissioning team composition and competency requirements — including the specific qualifications required for the Commissioning Manager, Responsible Commissioning Engineer, and Operations Representative — before commissioning activities begin. These requirements must be documented and approved by both the project owner and the operations team.</w:t>
      </w:r>
    </w:p>
    <w:p>
      <w:pPr>
        <w:pStyle w:val="Heading2"/>
        <w:spacing w:after="60" w:before="240"/>
      </w:pPr>
      <w:r>
        <w:rPr>
          <w:rFonts w:ascii="Arial" w:cs="Arial" w:eastAsia="Arial" w:hAnsi="Arial"/>
          <w:b/>
          <w:bCs/>
          <w:color w:val="2E75B6"/>
          <w:sz w:val="22"/>
          <w:szCs w:val="22"/>
        </w:rPr>
        <w:t xml:space="preserve">Safety System Pre-Commissioning and Testing</w:t>
      </w:r>
    </w:p>
    <w:p>
      <w:pPr>
        <w:pStyle w:val="ListParagraph"/>
        <w:numPr>
          <w:ilvl w:val="0"/>
          <w:numId w:val="2"/>
        </w:numPr>
        <w:spacing w:after="40" w:before="40"/>
      </w:pPr>
      <w:r>
        <w:rPr>
          <w:rFonts w:ascii="Arial" w:cs="Arial" w:eastAsia="Arial" w:hAnsi="Arial"/>
          <w:b/>
          <w:bCs/>
          <w:color w:val="1F3864"/>
          <w:sz w:val="19"/>
          <w:szCs w:val="19"/>
        </w:rPr>
        <w:t xml:space="preserve">[RT – RT – Functional Safety Standard / Process Safety Standard]  </w:t>
      </w:r>
      <w:r>
        <w:rPr>
          <w:rFonts w:ascii="Arial" w:cs="Arial" w:eastAsia="Arial" w:hAnsi="Arial"/>
          <w:color w:val="2D2D2D"/>
          <w:sz w:val="19"/>
          <w:szCs w:val="19"/>
        </w:rPr>
        <w:t xml:space="preserve">Require that all Safety Instrumented Systems (SIS), emergency shutdown systems, pressure relief devices, fire and gas detection systems, and other safety-critical systems are pre-commissioned and proof-tested before the process systems they protect are energised or brought into service.</w:t>
      </w:r>
    </w:p>
    <w:p>
      <w:pPr>
        <w:pStyle w:val="ListParagraph"/>
        <w:numPr>
          <w:ilvl w:val="0"/>
          <w:numId w:val="2"/>
        </w:numPr>
        <w:spacing w:after="40" w:before="40"/>
      </w:pPr>
      <w:r>
        <w:rPr>
          <w:rFonts w:ascii="Arial" w:cs="Arial" w:eastAsia="Arial" w:hAnsi="Arial"/>
          <w:b/>
          <w:bCs/>
          <w:color w:val="375623"/>
          <w:sz w:val="19"/>
          <w:szCs w:val="19"/>
        </w:rPr>
        <w:t xml:space="preserve">[APPC – Appendix C, C-1 §44.1]  </w:t>
      </w:r>
      <w:r>
        <w:rPr>
          <w:rFonts w:ascii="Arial" w:cs="Arial" w:eastAsia="Arial" w:hAnsi="Arial"/>
          <w:color w:val="2D2D2D"/>
          <w:sz w:val="19"/>
          <w:szCs w:val="19"/>
        </w:rPr>
        <w:t xml:space="preserve">Require documented test records for each safety-critical system confirming: design intent; test methodology; pass/fail result; any defects found and their resolution; and the name and qualifications of the person who conducted and verified the test.</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an authority-to-energise process requiring a named sign-off from both the Commissioning Manager and the plant operations representative before any safety-critical system is energised for the first time. A written record of this approval must be retained as a permanent project record.</w:t>
      </w:r>
    </w:p>
    <w:p>
      <w:pPr>
        <w:pStyle w:val="Heading2"/>
        <w:spacing w:after="60" w:before="240"/>
      </w:pPr>
      <w:r>
        <w:rPr>
          <w:rFonts w:ascii="Arial" w:cs="Arial" w:eastAsia="Arial" w:hAnsi="Arial"/>
          <w:b/>
          <w:bCs/>
          <w:color w:val="2E75B6"/>
          <w:sz w:val="22"/>
          <w:szCs w:val="22"/>
        </w:rPr>
        <w:t xml:space="preserve">Commissioning Emergency Preparedness</w:t>
      </w:r>
    </w:p>
    <w:p>
      <w:pPr>
        <w:pStyle w:val="ListParagraph"/>
        <w:numPr>
          <w:ilvl w:val="0"/>
          <w:numId w:val="2"/>
        </w:numPr>
        <w:spacing w:after="40" w:before="40"/>
      </w:pPr>
      <w:r>
        <w:rPr>
          <w:rFonts w:ascii="Arial" w:cs="Arial" w:eastAsia="Arial" w:hAnsi="Arial"/>
          <w:b/>
          <w:bCs/>
          <w:color w:val="375623"/>
          <w:sz w:val="19"/>
          <w:szCs w:val="19"/>
        </w:rPr>
        <w:t xml:space="preserve">[APPC – Appendix C, C-1 §31.4]  </w:t>
      </w:r>
      <w:r>
        <w:rPr>
          <w:rFonts w:ascii="Arial" w:cs="Arial" w:eastAsia="Arial" w:hAnsi="Arial"/>
          <w:color w:val="2D2D2D"/>
          <w:sz w:val="19"/>
          <w:szCs w:val="19"/>
        </w:rPr>
        <w:t xml:space="preserve">Require the Emergency Response Plan to be updated before commissioning begins to address commissioning-specific scenarios: process fluid releases; first-fire incidents; loss of control system function; and inadvertent energisation of isolated systems. Require commissioning-specific emergency drills to be conducted before full-scale commissioning commences.</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§4.2]  </w:t>
      </w:r>
      <w:r>
        <w:rPr>
          <w:rFonts w:ascii="Arial" w:cs="Arial" w:eastAsia="Arial" w:hAnsi="Arial"/>
          <w:color w:val="2D2D2D"/>
          <w:sz w:val="19"/>
          <w:szCs w:val="19"/>
        </w:rPr>
        <w:t xml:space="preserve">Ensure emergency response arrangements account for the changed environment of a commissioning site — including the availability of operations-trained personnel for specific emergency response roles, updated chemical inventory, updated emergency contact details for operations staff, and verified access routes in the commissioning area.</w:t>
      </w:r>
    </w:p>
    <w:p>
      <w:pPr>
        <w:pStyle w:val="ListParagraph"/>
        <w:numPr>
          <w:ilvl w:val="0"/>
          <w:numId w:val="2"/>
        </w:numPr>
        <w:spacing w:after="40" w:before="40"/>
      </w:pPr>
      <w:r>
        <w:rPr>
          <w:rFonts w:ascii="Arial" w:cs="Arial" w:eastAsia="Arial" w:hAnsi="Arial"/>
          <w:b/>
          <w:bCs/>
          <w:color w:val="C55A11"/>
          <w:sz w:val="19"/>
          <w:szCs w:val="19"/>
        </w:rPr>
        <w:t xml:space="preserve">[IFC – IFC EHS General Guidelines §3.7]  </w:t>
      </w:r>
      <w:r>
        <w:rPr>
          <w:rFonts w:ascii="Arial" w:cs="Arial" w:eastAsia="Arial" w:hAnsi="Arial"/>
          <w:color w:val="2D2D2D"/>
          <w:sz w:val="19"/>
          <w:szCs w:val="19"/>
        </w:rPr>
        <w:t xml:space="preserve">Review and update the Medical Emergency Plan to account for the new hazard scenarios introduced by commissioning, including process-specific first aid and medical response requirements.</w:t>
      </w:r>
    </w:p>
    <w:p>
      <w:pPr>
        <w:pStyle w:val="Heading2"/>
        <w:spacing w:after="60" w:before="240"/>
      </w:pPr>
      <w:r>
        <w:rPr>
          <w:rFonts w:ascii="Arial" w:cs="Arial" w:eastAsia="Arial" w:hAnsi="Arial"/>
          <w:b/>
          <w:bCs/>
          <w:color w:val="2E75B6"/>
          <w:sz w:val="22"/>
          <w:szCs w:val="22"/>
        </w:rPr>
        <w:t xml:space="preserve">Handover to Operations</w:t>
      </w:r>
    </w:p>
    <w:p>
      <w:pPr>
        <w:pStyle w:val="ListParagraph"/>
        <w:numPr>
          <w:ilvl w:val="0"/>
          <w:numId w:val="2"/>
        </w:numPr>
        <w:spacing w:after="40" w:before="40"/>
      </w:pPr>
      <w:r>
        <w:rPr>
          <w:rFonts w:ascii="Arial" w:cs="Arial" w:eastAsia="Arial" w:hAnsi="Arial"/>
          <w:b/>
          <w:bCs/>
          <w:color w:val="375623"/>
          <w:sz w:val="19"/>
          <w:szCs w:val="19"/>
        </w:rPr>
        <w:t xml:space="preserve">[APPC – Appendix C, C-1 §44.1]  </w:t>
      </w:r>
      <w:r>
        <w:rPr>
          <w:rFonts w:ascii="Arial" w:cs="Arial" w:eastAsia="Arial" w:hAnsi="Arial"/>
          <w:color w:val="2D2D2D"/>
          <w:sz w:val="19"/>
          <w:szCs w:val="19"/>
        </w:rPr>
        <w:t xml:space="preserve">Define a formal handover process between the project team and the operations team covering: transfer of permits and isolation authority; transfer of as-built documentation; transfer of safety system test records; outstanding defect register status; transition of emergency response authority; and the process for resolving any defects discovered during the handover period.</w:t>
      </w:r>
    </w:p>
    <w:p>
      <w:pPr>
        <w:pStyle w:val="ListParagraph"/>
        <w:numPr>
          <w:ilvl w:val="0"/>
          <w:numId w:val="2"/>
        </w:numPr>
        <w:spacing w:after="40" w:before="40"/>
      </w:pPr>
      <w:r>
        <w:rPr>
          <w:rFonts w:ascii="Arial" w:cs="Arial" w:eastAsia="Arial" w:hAnsi="Arial"/>
          <w:b/>
          <w:bCs/>
          <w:color w:val="1F3864"/>
          <w:sz w:val="19"/>
          <w:szCs w:val="19"/>
        </w:rPr>
        <w:t xml:space="preserve">[RT – RT – Multiple Standards]  </w:t>
      </w:r>
      <w:r>
        <w:rPr>
          <w:rFonts w:ascii="Arial" w:cs="Arial" w:eastAsia="Arial" w:hAnsi="Arial"/>
          <w:color w:val="2D2D2D"/>
          <w:sz w:val="19"/>
          <w:szCs w:val="19"/>
        </w:rPr>
        <w:t xml:space="preserve">Require that the handover package for each system includes: confirmation that all A-list safety defects are resolved; SIS proof test records; updated P&amp;IDs reflecting the as-built configuration; updated Pressure Equipment Register; and updated Confined Space Register to reflect commissioned plant.</w:t>
      </w:r>
    </w:p>
    <w:p>
      <w:pPr>
        <w:pStyle w:val="ListParagraph"/>
        <w:numPr>
          <w:ilvl w:val="0"/>
          <w:numId w:val="2"/>
        </w:numPr>
        <w:spacing w:after="40" w:before="40"/>
      </w:pPr>
      <w:r>
        <w:rPr>
          <w:rFonts w:ascii="Arial" w:cs="Arial" w:eastAsia="Arial" w:hAnsi="Arial"/>
          <w:b/>
          <w:bCs/>
          <w:color w:val="595959"/>
          <w:sz w:val="19"/>
          <w:szCs w:val="19"/>
        </w:rPr>
        <w:t xml:space="preserve">[Objective Requirement]  </w:t>
      </w:r>
      <w:r>
        <w:rPr>
          <w:rFonts w:ascii="Arial" w:cs="Arial" w:eastAsia="Arial" w:hAnsi="Arial"/>
          <w:color w:val="2D2D2D"/>
          <w:sz w:val="19"/>
          <w:szCs w:val="19"/>
        </w:rPr>
        <w:t xml:space="preserve">The project must define the authority level required to formally accept and sign off the handover of each system from the project team to the operations team, and the process for resolving disputed handover items — specifying who has the final authority to accept a system with outstanding defects and the conditions under which such acceptance is permissible.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gridSpan w:val="2"/>
            <w:tcBorders>
              <w:top w:val="single" w:color="CCCCCC" w:sz="1"/>
              <w:left w:val="single" w:color="CCCCCC" w:sz="1"/>
              <w:bottom w:val="single" w:color="CCCCCC" w:sz="1"/>
              <w:right w:val="single" w:color="CCCCCC" w:sz="1"/>
            </w:tcBorders>
            <w:shd w:fill="7F6000" w:val="clear"/>
            <w:tcMar>
              <w:top w:type="dxa" w:w="80"/>
              <w:left w:type="dxa" w:w="120"/>
              <w:bottom w:type="dxa" w:w="80"/>
              <w:right w:type="dxa" w:w="120"/>
            </w:tcMar>
          </w:tcPr>
          <w:p>
            <w:r>
              <w:rPr>
                <w:rFonts w:ascii="Arial" w:cs="Arial" w:eastAsia="Arial" w:hAnsi="Arial"/>
                <w:b/>
                <w:bCs/>
                <w:color w:val="FFFFFF"/>
                <w:sz w:val="19"/>
                <w:szCs w:val="19"/>
              </w:rPr>
              <w:t xml:space="preserve">PROJECT COMPLETION GUIDANCE — </w:t>
            </w:r>
            <w:r>
              <w:rPr>
                <w:rFonts w:ascii="Arial" w:cs="Arial" w:eastAsia="Arial" w:hAnsi="Arial"/>
                <w:i/>
                <w:iCs/>
                <w:color w:val="FFFDE7"/>
                <w:sz w:val="18"/>
                <w:szCs w:val="18"/>
              </w:rPr>
              <w:t xml:space="preserve">Actions required to complete this procedure for your specific project</w:t>
            </w:r>
          </w:p>
        </w:tc>
      </w:tr>
      <w:tr>
        <w:tc>
          <w:tcPr>
            <w:gridSpan w:val="2"/>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r>
              <w:rPr>
                <w:rFonts w:ascii="Arial" w:cs="Arial" w:eastAsia="Arial" w:hAnsi="Arial"/>
                <w:i/>
                <w:iCs/>
                <w:color w:val="5C4600"/>
                <w:sz w:val="17"/>
                <w:szCs w:val="17"/>
              </w:rPr>
              <w:t xml:space="preserve">Each item below represents a decision, action, or piece of project-specific information that must be confirmed, documented, or inserted by the project team before this procedure is issued at 100%. Items marked CRITICAL must be completed before mobilisation.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1</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CRITICAL — The commissioning risk assessment workshop must be scheduled and conducted jointly with the operations team before commissioning begins. Insert the planned workshop date and the list of required participants (both project team and operations team).</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2</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commissioning boundary demarcation system before commissioning begins: the colour-coding scheme; how boundaries are physically marked; how the boundaries are communicated to all personnel on site. This is a project-specific implementation decision.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3</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authority-to-energise process for this project: who must sign the authority-to-energise for each system; what documentation must be complete before sign-off is permitted; where the signed authority-to-energise records are retained.</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4</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project handover package minimum requirements: what documents must be complete before a system can be formally transferred to operations. The procedure defines the categories — the project confirms the specific documents.</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5</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pPr>
              <w:pStyle w:val="ListParagraph"/>
              <w:numPr>
                <w:ilvl w:val="0"/>
                <w:numId w:val="2"/>
              </w:numPr>
              <w:spacing w:after="40" w:before="40"/>
            </w:pPr>
            <w:r>
              <w:rPr>
                <w:rFonts w:ascii="Arial" w:cs="Arial" w:eastAsia="Arial" w:hAnsi="Arial"/>
                <w:b/>
                <w:bCs/>
                <w:color w:val="375623"/>
                <w:sz w:val="19"/>
                <w:szCs w:val="19"/>
              </w:rPr>
              <w:t xml:space="preserve">[APPC – Appendix C, C-1 §44.2.7]  </w:t>
            </w:r>
            <w:r>
              <w:rPr>
                <w:rFonts w:ascii="Arial" w:cs="Arial" w:eastAsia="Arial" w:hAnsi="Arial"/>
                <w:color w:val="2D2D2D"/>
                <w:sz w:val="19"/>
                <w:szCs w:val="19"/>
              </w:rPr>
              <w:t xml:space="preserve">Require that as parts of the plant become energised for commissioning, the following are confirmed ready: operational, maintenance, and isolation procedures; trained and competent operators and maintainers assigned to energised systems; commissioning-specific emergency response procedures validated; and relevant Safety Data Sheets available to all personnel in energised areas.</w:t>
            </w:r>
          </w:p>
          <w:p>
            <w:pPr>
              <w:pStyle w:val="ListParagraph"/>
              <w:numPr>
                <w:ilvl w:val="0"/>
                <w:numId w:val="2"/>
              </w:numPr>
              <w:spacing w:after="40" w:before="40"/>
            </w:pPr>
            <w:r>
              <w:rPr>
                <w:rFonts w:ascii="Arial" w:cs="Arial" w:eastAsia="Arial" w:hAnsi="Arial"/>
                <w:b/>
                <w:bCs/>
                <w:color w:val="375623"/>
                <w:sz w:val="19"/>
                <w:szCs w:val="19"/>
              </w:rPr>
              <w:t xml:space="preserve">[APPC – Appendix C, C-1 §44.2.9]  </w:t>
            </w:r>
            <w:r>
              <w:rPr>
                <w:rFonts w:ascii="Arial" w:cs="Arial" w:eastAsia="Arial" w:hAnsi="Arial"/>
                <w:color w:val="2D2D2D"/>
                <w:sz w:val="19"/>
                <w:szCs w:val="19"/>
              </w:rPr>
              <w:t xml:space="preserve">Require that lockout and tagout procedures are developed and approved for all stages of recommissioning and commissioning before any energisation work commences. These procedures must prevent unauthorised energisation of equipment.</w:t>
            </w:r>
          </w:p>
          <w:p>
            <w:pPr>
              <w:pStyle w:val="ListParagraph"/>
              <w:numPr>
                <w:ilvl w:val="0"/>
                <w:numId w:val="2"/>
              </w:numPr>
              <w:spacing w:after="40" w:before="40"/>
            </w:pPr>
            <w:r>
              <w:rPr>
                <w:rFonts w:ascii="Arial" w:cs="Arial" w:eastAsia="Arial" w:hAnsi="Arial"/>
                <w:b/>
                <w:bCs/>
                <w:color w:val="375623"/>
                <w:sz w:val="19"/>
                <w:szCs w:val="19"/>
              </w:rPr>
              <w:t xml:space="preserve">[APPC – Appendix C, C-1 §44.2.10]  </w:t>
            </w:r>
            <w:r>
              <w:rPr>
                <w:rFonts w:ascii="Arial" w:cs="Arial" w:eastAsia="Arial" w:hAnsi="Arial"/>
                <w:color w:val="2D2D2D"/>
                <w:sz w:val="19"/>
                <w:szCs w:val="19"/>
              </w:rPr>
              <w:t xml:space="preserve">Require identification and active management of simultaneous operations (SIMOPS) during all commissioning phases to prevent conflicts and ensure safe execution of concurrent activities — refer RTPR-HSE-PRO-0048.</w:t>
            </w:r>
          </w:p>
          <w:p>
            <w:r>
              <w:rPr>
                <w:rFonts w:ascii="Arial" w:cs="Arial" w:eastAsia="Arial" w:hAnsi="Arial"/>
                <w:color w:val="3C2A00"/>
                <w:sz w:val="17"/>
                <w:szCs w:val="17"/>
              </w:rPr>
              <w:t xml:space="preserve">Identify the Operations Representative for this project who must be involved in commissioning activities from the risk assessment workshop through to final handover. Insert their name and position.</w:t>
            </w:r>
          </w:p>
        </w:tc>
      </w:tr>
      <w:tr>
        <w:tc>
          <w:tcPr>
            <w:tcW w:type="dxa" w:w="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60"/>
            </w:tcMar>
          </w:tcPr>
          <w:p>
            <w:r>
              <w:rPr>
                <w:rFonts w:ascii="Arial" w:cs="Arial" w:eastAsia="Arial" w:hAnsi="Arial"/>
                <w:b/>
                <w:bCs/>
                <w:color w:val="7F6000"/>
                <w:sz w:val="18"/>
                <w:szCs w:val="18"/>
              </w:rPr>
              <w:t xml:space="preserve">6</w:t>
            </w:r>
          </w:p>
        </w:tc>
        <w:tc>
          <w:tcPr>
            <w:tcBorders>
              <w:top w:val="single" w:color="CCCCCC" w:sz="1"/>
              <w:left w:val="single" w:color="CCCCCC" w:sz="1"/>
              <w:bottom w:val="single" w:color="CCCCCC" w:sz="1"/>
              <w:right w:val="single" w:color="CCCCCC" w:sz="1"/>
            </w:tcBorders>
            <w:shd w:fill="FFFDE7" w:val="clear"/>
            <w:tcMar>
              <w:top w:type="dxa" w:w="60"/>
              <w:left w:type="dxa" w:w="60"/>
              <w:bottom w:type="dxa" w:w="60"/>
              <w:right w:type="dxa" w:w="120"/>
            </w:tcMar>
          </w:tcPr>
          <w:p>
            <w:r>
              <w:rPr>
                <w:rFonts w:ascii="Arial" w:cs="Arial" w:eastAsia="Arial" w:hAnsi="Arial"/>
                <w:color w:val="3C2A00"/>
                <w:sz w:val="17"/>
                <w:szCs w:val="17"/>
              </w:rPr>
              <w:t xml:space="preserve">Define the commissioning PTW authority transition process: at what point does the operations team assume PTW authority for commissioned systems; how is the dual-authority zone managed in the interim.</w:t>
            </w:r>
          </w:p>
        </w:tc>
      </w:tr>
    </w:tbl>
    <w:sectPr>
      <w:headerReference w:type="default" r:id="rId7"/>
      <w:footerReference w:type="default" r:id="rId8"/>
      <w:pgSz w:w="11906" w:h="16838" w:orient="portrait"/>
      <w:pgMar w:top="900" w:right="900" w:bottom="900" w:left="900" w:header="708" w:footer="708" w:gutter="0"/>
      <w:pgNumType/>
      <w:docGrid w:linePitch="360"/>
    </w:sectPr>
    <w:p>
      <w:pPr>
        <w:pStyle w:val="Heading1Numbered_"/>
        <w:spacing w:after="80" w:before="360"/>
      </w:pPr>
      <w:r>
        <w:rPr>
          <w:rFonts w:ascii="Arial" w:cs="Arial" w:eastAsia="Arial" w:hAnsi="Arial"/>
          <w:b/>
          <w:sz w:val="24"/>
          <w:szCs w:val="24"/>
        </w:rPr>
        <w:t xml:space="preserve">Simultaneous Operations (SIMOPS) Procedure</w:t>
      </w:r>
    </w:p>
    <w:p>
      <w:pPr>
        <w:pStyle w:val="Normal"/>
        <w:spacing w:after="40" w:before="40"/>
      </w:pPr>
      <w:r>
        <w:rPr>
          <w:rFonts w:ascii="Arial" w:cs="Arial" w:eastAsia="Arial" w:hAnsi="Arial"/>
          <w:b/>
          <w:sz w:val="19"/>
          <w:szCs w:val="19"/>
        </w:rPr>
        <w:t xml:space="preserve">Management System Element: </w:t>
      </w:r>
      <w:r>
        <w:rPr>
          <w:rFonts w:ascii="Arial" w:cs="Arial" w:eastAsia="Arial" w:hAnsi="Arial"/>
          <w:sz w:val="19"/>
          <w:szCs w:val="19"/>
        </w:rPr>
        <w:t xml:space="preserve">10 – Operational Control     |     Document ID: RTPR-HSE-PRO-0048</w:t>
      </w:r>
    </w:p>
    <w:p>
      <w:pPr>
        <w:pStyle w:val="Normal"/>
        <w:spacing w:after="20" w:before="80"/>
      </w:pPr>
      <w:r>
        <w:rPr>
          <w:b/>
          <w:color w:val="0059D1"/>
          <w:sz w:val="17"/>
        </w:rPr>
        <w:t>DOCUMENT RELATIONSHIPS</w:t>
      </w:r>
    </w:p>
    <w:p>
      <w:pPr>
        <w:pStyle w:val="Normal"/>
        <w:spacing w:after="10" w:before="10"/>
      </w:pPr>
      <w:r>
        <w:rPr>
          <w:b/>
          <w:sz w:val="16"/>
        </w:rPr>
        <w:t>THIS DOCUMENT OWNS (information defined here; do not duplicate elsewhere):</w:t>
      </w:r>
    </w:p>
    <w:p>
      <w:pPr>
        <w:pStyle w:val="ListParagraph"/>
        <w:numPr>
          <w:ilvl w:val="0"/>
          <w:numId w:val="1"/>
        </w:numPr>
        <w:spacing w:after="20" w:before="20"/>
      </w:pPr>
      <w:r>
        <w:rPr>
          <w:rFonts w:ascii="Arial" w:cs="Arial" w:eastAsia="Arial" w:hAnsi="Arial"/>
          <w:sz w:val="16"/>
          <w:szCs w:val="16"/>
        </w:rPr>
        <w:t xml:space="preserve">► SIMOPS workshop requirements and process</w:t>
      </w:r>
    </w:p>
    <w:p>
      <w:pPr>
        <w:pStyle w:val="ListParagraph"/>
        <w:numPr>
          <w:ilvl w:val="0"/>
          <w:numId w:val="1"/>
        </w:numPr>
        <w:spacing w:after="20" w:before="20"/>
      </w:pPr>
      <w:r>
        <w:rPr>
          <w:rFonts w:ascii="Arial" w:cs="Arial" w:eastAsia="Arial" w:hAnsi="Arial"/>
          <w:sz w:val="16"/>
          <w:szCs w:val="16"/>
        </w:rPr>
        <w:t xml:space="preserve">► SIMOPS Plan minimum content requirements</w:t>
      </w:r>
    </w:p>
    <w:p>
      <w:pPr>
        <w:pStyle w:val="ListParagraph"/>
        <w:numPr>
          <w:ilvl w:val="0"/>
          <w:numId w:val="1"/>
        </w:numPr>
        <w:spacing w:after="20" w:before="20"/>
      </w:pPr>
      <w:r>
        <w:rPr>
          <w:rFonts w:ascii="Arial" w:cs="Arial" w:eastAsia="Arial" w:hAnsi="Arial"/>
          <w:sz w:val="16"/>
          <w:szCs w:val="16"/>
        </w:rPr>
        <w:t xml:space="preserve">► SIMOPS Matrix structure and Task Definitions</w:t>
      </w:r>
    </w:p>
    <w:p>
      <w:pPr>
        <w:pStyle w:val="ListParagraph"/>
        <w:numPr>
          <w:ilvl w:val="0"/>
          <w:numId w:val="1"/>
        </w:numPr>
        <w:spacing w:after="20" w:before="20"/>
      </w:pPr>
      <w:r>
        <w:rPr>
          <w:rFonts w:ascii="Arial" w:cs="Arial" w:eastAsia="Arial" w:hAnsi="Arial"/>
          <w:sz w:val="16"/>
          <w:szCs w:val="16"/>
        </w:rPr>
        <w:t xml:space="preserve">► Restriction Tables</w:t>
      </w:r>
    </w:p>
    <w:p>
      <w:pPr>
        <w:pStyle w:val="ListParagraph"/>
        <w:numPr>
          <w:ilvl w:val="0"/>
          <w:numId w:val="1"/>
        </w:numPr>
        <w:spacing w:after="20" w:before="20"/>
      </w:pPr>
      <w:r>
        <w:rPr>
          <w:rFonts w:ascii="Arial" w:cs="Arial" w:eastAsia="Arial" w:hAnsi="Arial"/>
          <w:sz w:val="16"/>
          <w:szCs w:val="16"/>
        </w:rPr>
        <w:t xml:space="preserve">► Conditions for work stoppage due to SIMOPS risk</w:t>
      </w:r>
    </w:p>
    <w:p>
      <w:pPr>
        <w:pStyle w:val="ListParagraph"/>
        <w:numPr>
          <w:ilvl w:val="0"/>
          <w:numId w:val="1"/>
        </w:numPr>
        <w:spacing w:after="20" w:before="20"/>
      </w:pPr>
      <w:r>
        <w:rPr>
          <w:rFonts w:ascii="Arial" w:cs="Arial" w:eastAsia="Arial" w:hAnsi="Arial"/>
          <w:sz w:val="16"/>
          <w:szCs w:val="16"/>
        </w:rPr>
        <w:t xml:space="preserve">► Criteria for risk assessment revalidation</w:t>
      </w:r>
    </w:p>
    <w:p>
      <w:pPr>
        <w:pStyle w:val="Normal"/>
        <w:spacing w:after="10" w:before="10"/>
      </w:pPr>
      <w:r>
        <w:rPr>
          <w:b/>
          <w:sz w:val="16"/>
        </w:rPr>
        <w:t>THIS DOCUMENT REFERENCES (do not repeat this content — point here instead):</w:t>
      </w:r>
    </w:p>
    <w:p>
      <w:pPr>
        <w:pStyle w:val="ListParagraph"/>
        <w:numPr>
          <w:ilvl w:val="0"/>
          <w:numId w:val="1"/>
        </w:numPr>
        <w:spacing w:after="20" w:before="20"/>
      </w:pPr>
      <w:r>
        <w:rPr>
          <w:rFonts w:ascii="Arial" w:cs="Arial" w:eastAsia="Arial" w:hAnsi="Arial"/>
          <w:sz w:val="16"/>
          <w:szCs w:val="16"/>
        </w:rPr>
        <w:t xml:space="preserve">► RTPR-HSE-PRO-0002 – Risk Management (hazard analysis during SIMOPS planning and execution)</w:t>
      </w:r>
    </w:p>
    <w:p>
      <w:pPr>
        <w:pStyle w:val="ListParagraph"/>
        <w:numPr>
          <w:ilvl w:val="0"/>
          <w:numId w:val="1"/>
        </w:numPr>
        <w:spacing w:after="20" w:before="20"/>
      </w:pPr>
      <w:r>
        <w:rPr>
          <w:rFonts w:ascii="Arial" w:cs="Arial" w:eastAsia="Arial" w:hAnsi="Arial"/>
          <w:sz w:val="16"/>
          <w:szCs w:val="16"/>
        </w:rPr>
        <w:t xml:space="preserve">► RTPR-HSE-PRO-0021 – Permit to Work (PTW system compliance during SIMOPS)</w:t>
      </w:r>
    </w:p>
    <w:p>
      <w:pPr>
        <w:pStyle w:val="ListParagraph"/>
        <w:numPr>
          <w:ilvl w:val="0"/>
          <w:numId w:val="1"/>
        </w:numPr>
        <w:spacing w:after="20" w:before="20"/>
      </w:pPr>
      <w:r>
        <w:rPr>
          <w:rFonts w:ascii="Arial" w:cs="Arial" w:eastAsia="Arial" w:hAnsi="Arial"/>
          <w:sz w:val="16"/>
          <w:szCs w:val="16"/>
        </w:rPr>
        <w:t xml:space="preserve">► RTPR-HSE-PRO-0040 – Management of Change (MoC when SIMOPS conditions change)</w:t>
      </w:r>
    </w:p>
    <w:p>
      <w:pPr>
        <w:pStyle w:val="ListParagraph"/>
        <w:numPr>
          <w:ilvl w:val="0"/>
          <w:numId w:val="1"/>
        </w:numPr>
        <w:spacing w:after="20" w:before="20"/>
      </w:pPr>
      <w:r>
        <w:rPr>
          <w:rFonts w:ascii="Arial" w:cs="Arial" w:eastAsia="Arial" w:hAnsi="Arial"/>
          <w:sz w:val="16"/>
          <w:szCs w:val="16"/>
        </w:rPr>
        <w:t xml:space="preserve">► RTPR-HSE-PRO-0047 – Commissioning Safety (SIMOPS during commissioning phase)</w:t>
      </w:r>
    </w:p>
    <w:p>
      <w:pPr>
        <w:pStyle w:val="Normal"/>
        <w:spacing w:after="10" w:before="10"/>
      </w:pPr>
      <w:r>
        <w:rPr>
          <w:b/>
          <w:sz w:val="16"/>
        </w:rPr>
        <w:t>THIS DOCUMENT IS REFERENCED BY:</w:t>
      </w:r>
    </w:p>
    <w:p>
      <w:pPr>
        <w:pStyle w:val="ListParagraph"/>
        <w:numPr>
          <w:ilvl w:val="0"/>
          <w:numId w:val="1"/>
        </w:numPr>
        <w:spacing w:after="20" w:before="20"/>
      </w:pPr>
      <w:r>
        <w:rPr>
          <w:rFonts w:ascii="Arial" w:cs="Arial" w:eastAsia="Arial" w:hAnsi="Arial"/>
          <w:sz w:val="16"/>
          <w:szCs w:val="16"/>
        </w:rPr>
        <w:t xml:space="preserve">► RTPR-HSE-PRO-0029 – Excavation and Penetration (SIMOPS assessment for excavation in active areas)</w:t>
      </w:r>
    </w:p>
    <w:p>
      <w:pPr>
        <w:pStyle w:val="ListParagraph"/>
        <w:numPr>
          <w:ilvl w:val="0"/>
          <w:numId w:val="1"/>
        </w:numPr>
        <w:spacing w:after="20" w:before="20"/>
      </w:pPr>
      <w:r>
        <w:rPr>
          <w:rFonts w:ascii="Arial" w:cs="Arial" w:eastAsia="Arial" w:hAnsi="Arial"/>
          <w:sz w:val="16"/>
          <w:szCs w:val="16"/>
        </w:rPr>
        <w:t xml:space="preserve">► RTPR-HSE-PRO-0047 – Commissioning Safety (SIMOPS management during commissioning)</w:t>
      </w:r>
    </w:p>
    <w:p>
      <w:pPr>
        <w:pStyle w:val="Normal"/>
        <w:spacing w:after="60" w:before="40"/>
      </w:pPr>
      <w:r>
        <w:rPr>
          <w:rFonts w:ascii="Arial" w:cs="Arial" w:eastAsia="Arial" w:hAnsi="Arial"/>
          <w:color w:val="2D2D2D"/>
          <w:sz w:val="19"/>
          <w:szCs w:val="19"/>
        </w:rPr>
        <w:t xml:space="preserve">This procedure defines requirements for identifying, planning, managing, and controlling simultaneous operations across the owner-led project. Simultaneous operations are defined as two or more work scopes occurring simultaneously in the same or adjacent areas, or involving the same or associated systems. In the owner-led model, RT holds direct responsibility for ensuring that SIMOPS risks are identified and controlled across all contractor organisations.</w:t>
      </w:r>
    </w:p>
    <w:p>
      <w:pPr>
        <w:pStyle w:val="Heading2Numbered_"/>
        <w:spacing w:after="40" w:before="200"/>
      </w:pPr>
      <w:r>
        <w:rPr>
          <w:rFonts w:ascii="Arial" w:cs="Arial" w:eastAsia="Arial" w:hAnsi="Arial"/>
          <w:b/>
          <w:sz w:val="20"/>
          <w:szCs w:val="20"/>
        </w:rPr>
        <w:t xml:space="preserve">SIMOPS Planning and Risk Assessment</w:t>
      </w:r>
    </w:p>
    <w:p>
      <w:pPr>
        <w:pStyle w:val="ListParagraph"/>
        <w:numPr>
          <w:ilvl w:val="0"/>
          <w:numId w:val="2"/>
        </w:numPr>
        <w:spacing w:after="40" w:before="40"/>
      </w:pPr>
      <w:r>
        <w:rPr>
          <w:rFonts w:ascii="Arial" w:cs="Arial" w:eastAsia="Arial" w:hAnsi="Arial"/>
          <w:b/>
          <w:bCs/>
          <w:color w:val="375623"/>
          <w:sz w:val="19"/>
          <w:szCs w:val="19"/>
        </w:rPr>
        <w:t xml:space="preserve">[APPC – Appendix C, C-2 §63.0.1]  </w:t>
      </w:r>
      <w:r>
        <w:rPr>
          <w:rFonts w:ascii="Arial" w:cs="Arial" w:eastAsia="Arial" w:hAnsi="Arial"/>
          <w:color w:val="2D2D2D"/>
          <w:sz w:val="19"/>
          <w:szCs w:val="19"/>
        </w:rPr>
        <w:t xml:space="preserve">Require a SIMOPS workshop conducted jointly with the Company and all Contractor organisations before any phase of work where simultaneous operations are planned. The workshop must identify potential conflicts, risks, and hazards arising from concurrent activities and must produce a SIMOPS Plan before simultaneous operations commence.</w:t>
      </w:r>
    </w:p>
    <w:p>
      <w:pPr>
        <w:pStyle w:val="ListParagraph"/>
        <w:numPr>
          <w:ilvl w:val="0"/>
          <w:numId w:val="2"/>
        </w:numPr>
        <w:spacing w:after="40" w:before="40"/>
      </w:pPr>
      <w:r>
        <w:rPr>
          <w:rFonts w:ascii="Arial" w:cs="Arial" w:eastAsia="Arial" w:hAnsi="Arial"/>
          <w:b/>
          <w:bCs/>
          <w:color w:val="375623"/>
          <w:sz w:val="19"/>
          <w:szCs w:val="19"/>
        </w:rPr>
        <w:t xml:space="preserve">[APPC – Appendix C, C-2 §63.0.2]  </w:t>
      </w:r>
      <w:r>
        <w:rPr>
          <w:rFonts w:ascii="Arial" w:cs="Arial" w:eastAsia="Arial" w:hAnsi="Arial"/>
          <w:color w:val="2D2D2D"/>
          <w:sz w:val="19"/>
          <w:szCs w:val="19"/>
        </w:rPr>
        <w:t xml:space="preserve">Require hazard analysis during both the planning and execution phases of all SIMOPS. As conditions change during execution, hazard analysis must be updated to reflect new interfaces and changing risk profiles.</w:t>
      </w:r>
    </w:p>
    <w:p>
      <w:pPr>
        <w:pStyle w:val="ListParagraph"/>
        <w:numPr>
          <w:ilvl w:val="0"/>
          <w:numId w:val="2"/>
        </w:numPr>
        <w:spacing w:after="40" w:before="40"/>
      </w:pPr>
      <w:r>
        <w:rPr>
          <w:rFonts w:ascii="Arial" w:cs="Arial" w:eastAsia="Arial" w:hAnsi="Arial"/>
          <w:b/>
          <w:bCs/>
          <w:color w:val="375623"/>
          <w:sz w:val="19"/>
          <w:szCs w:val="19"/>
        </w:rPr>
        <w:t xml:space="preserve">[APPC – Appendix C, C-2 §63.0.3]  </w:t>
      </w:r>
      <w:r>
        <w:rPr>
          <w:rFonts w:ascii="Arial" w:cs="Arial" w:eastAsia="Arial" w:hAnsi="Arial"/>
          <w:color w:val="2D2D2D"/>
          <w:sz w:val="19"/>
          <w:szCs w:val="19"/>
        </w:rPr>
        <w:t xml:space="preserve">Require compliance with the project Permit to Work system during all SIMOPS activities. No simultaneous operation may commence without all required permits being in place and active. Where simultaneous permits overlap in the same area, the permit issuing authority must review and authorise all concurrent permits before work commences — refer RTPR-HSE-PRO-0021.</w:t>
      </w:r>
    </w:p>
    <w:p>
      <w:pPr>
        <w:pStyle w:val="Heading2Numbered_"/>
        <w:spacing w:after="40" w:before="200"/>
      </w:pPr>
      <w:r>
        <w:rPr>
          <w:rFonts w:ascii="Arial" w:cs="Arial" w:eastAsia="Arial" w:hAnsi="Arial"/>
          <w:b/>
          <w:sz w:val="20"/>
          <w:szCs w:val="20"/>
        </w:rPr>
        <w:t xml:space="preserve">SIMOPS Plan</w:t>
      </w:r>
    </w:p>
    <w:p>
      <w:pPr>
        <w:pStyle w:val="ListParagraph"/>
        <w:numPr>
          <w:ilvl w:val="0"/>
          <w:numId w:val="2"/>
        </w:numPr>
        <w:spacing w:after="40" w:before="40"/>
      </w:pPr>
      <w:r>
        <w:rPr>
          <w:rFonts w:ascii="Arial" w:cs="Arial" w:eastAsia="Arial" w:hAnsi="Arial"/>
          <w:b/>
          <w:bCs/>
          <w:color w:val="375623"/>
          <w:sz w:val="19"/>
          <w:szCs w:val="19"/>
        </w:rPr>
        <w:t xml:space="preserve">[APPC – Appendix C, C-2 §63.0.4]  </w:t>
      </w:r>
      <w:r>
        <w:rPr>
          <w:rFonts w:ascii="Arial" w:cs="Arial" w:eastAsia="Arial" w:hAnsi="Arial"/>
          <w:color w:val="2D2D2D"/>
          <w:sz w:val="19"/>
          <w:szCs w:val="19"/>
        </w:rPr>
        <w:t xml:space="preserve">Require a written SIMOPS Plan for all identified simultaneous operations. The plan must be prepared before work commences and maintained and updated throughout the work programme as activities, interfaces, and risk profiles change.</w:t>
      </w:r>
    </w:p>
    <w:p>
      <w:pPr>
        <w:pStyle w:val="ListParagraph"/>
        <w:numPr>
          <w:ilvl w:val="0"/>
          <w:numId w:val="2"/>
        </w:numPr>
        <w:spacing w:after="40" w:before="40"/>
      </w:pPr>
      <w:r>
        <w:rPr>
          <w:rFonts w:ascii="Arial" w:cs="Arial" w:eastAsia="Arial" w:hAnsi="Arial"/>
          <w:b/>
          <w:bCs/>
          <w:color w:val="375623"/>
          <w:sz w:val="19"/>
          <w:szCs w:val="19"/>
        </w:rPr>
        <w:t xml:space="preserve">[APPC – Appendix C, C-2 §63.0.5]  </w:t>
      </w:r>
      <w:r>
        <w:rPr>
          <w:rFonts w:ascii="Arial" w:cs="Arial" w:eastAsia="Arial" w:hAnsi="Arial"/>
          <w:color w:val="2D2D2D"/>
          <w:sz w:val="19"/>
          <w:szCs w:val="19"/>
        </w:rPr>
        <w:t xml:space="preserve">Require the SIMOPS Plan to include as minimum content: identification of all concurrent work scopes and their locations; assessment of potential conflicts between simultaneous activities; applicable controls and exclusion zones for each interface; the permit issuing authority for all project phases; coordination meeting schedule; and communication protocols between work groups.</w:t>
      </w:r>
    </w:p>
    <w:p>
      <w:pPr>
        <w:pStyle w:val="ListParagraph"/>
        <w:numPr>
          <w:ilvl w:val="0"/>
          <w:numId w:val="2"/>
        </w:numPr>
        <w:spacing w:after="40" w:before="40"/>
      </w:pPr>
      <w:r>
        <w:rPr>
          <w:rFonts w:ascii="Arial" w:cs="Arial" w:eastAsia="Arial" w:hAnsi="Arial"/>
          <w:b/>
          <w:bCs/>
          <w:color w:val="375623"/>
          <w:sz w:val="19"/>
          <w:szCs w:val="19"/>
        </w:rPr>
        <w:t xml:space="preserve">[APPC – Appendix C, C-2 §63.0.6]  </w:t>
      </w:r>
      <w:r>
        <w:rPr>
          <w:rFonts w:ascii="Arial" w:cs="Arial" w:eastAsia="Arial" w:hAnsi="Arial"/>
          <w:color w:val="2D2D2D"/>
          <w:sz w:val="19"/>
          <w:szCs w:val="19"/>
        </w:rPr>
        <w:t xml:space="preserve">Define conditions under which work must be stopped due to SIMOPS-related risks. Work must cease in any area where: a risk control identified in the SIMOPS Plan is not in place; activities deviate from the approved SIMOPS Plan without re-assessment; or a new interface or hazard arises that is not covered by the plan.</w:t>
      </w:r>
    </w:p>
    <w:p>
      <w:pPr>
        <w:pStyle w:val="ListParagraph"/>
        <w:numPr>
          <w:ilvl w:val="0"/>
          <w:numId w:val="2"/>
        </w:numPr>
        <w:spacing w:after="40" w:before="40"/>
      </w:pPr>
      <w:r>
        <w:rPr>
          <w:rFonts w:ascii="Arial" w:cs="Arial" w:eastAsia="Arial" w:hAnsi="Arial"/>
          <w:b/>
          <w:bCs/>
          <w:color w:val="375623"/>
          <w:sz w:val="19"/>
          <w:szCs w:val="19"/>
        </w:rPr>
        <w:t xml:space="preserve">[APPC – Appendix C, C-2 §63.0.7]  </w:t>
      </w:r>
      <w:r>
        <w:rPr>
          <w:rFonts w:ascii="Arial" w:cs="Arial" w:eastAsia="Arial" w:hAnsi="Arial"/>
          <w:color w:val="2D2D2D"/>
          <w:sz w:val="19"/>
          <w:szCs w:val="19"/>
        </w:rPr>
        <w:t xml:space="preserve">Define criteria for risk assessment revalidation in response to changing SIMOPS conditions. Risk assessments must be revalidated when: the scope of any simultaneous activity changes; new work scopes are introduced into an active SIMOPS area; or an incident or near miss occurs involving a SIMOPS interface.</w:t>
      </w:r>
    </w:p>
    <w:p>
      <w:pPr>
        <w:pStyle w:val="ListParagraph"/>
        <w:numPr>
          <w:ilvl w:val="0"/>
          <w:numId w:val="2"/>
        </w:numPr>
        <w:spacing w:after="40" w:before="40"/>
      </w:pPr>
      <w:r>
        <w:rPr>
          <w:rFonts w:ascii="Arial" w:cs="Arial" w:eastAsia="Arial" w:hAnsi="Arial"/>
          <w:b/>
          <w:bCs/>
          <w:color w:val="375623"/>
          <w:sz w:val="19"/>
          <w:szCs w:val="19"/>
        </w:rPr>
        <w:t xml:space="preserve">[APPC – Appendix C, C-2 §63.0.8]  </w:t>
      </w:r>
      <w:r>
        <w:rPr>
          <w:rFonts w:ascii="Arial" w:cs="Arial" w:eastAsia="Arial" w:hAnsi="Arial"/>
          <w:color w:val="2D2D2D"/>
          <w:sz w:val="19"/>
          <w:szCs w:val="19"/>
        </w:rPr>
        <w:t xml:space="preserve">Require regular SIMOPS coordination meetings between the Company and all Contractor organisations operating in areas of simultaneous activity. Meeting frequency must be proportionate to the complexity of simultaneous operations and documented in the SIMOPS Plan.</w:t>
      </w:r>
    </w:p>
    <w:p>
      <w:pPr>
        <w:pStyle w:val="Heading2Numbered_"/>
        <w:spacing w:after="40" w:before="200"/>
      </w:pPr>
      <w:r>
        <w:rPr>
          <w:rFonts w:ascii="Arial" w:cs="Arial" w:eastAsia="Arial" w:hAnsi="Arial"/>
          <w:b/>
          <w:sz w:val="20"/>
          <w:szCs w:val="20"/>
        </w:rPr>
        <w:t xml:space="preserve">SIMOPS Matrix</w:t>
      </w:r>
    </w:p>
    <w:p>
      <w:pPr>
        <w:pStyle w:val="ListParagraph"/>
        <w:numPr>
          <w:ilvl w:val="0"/>
          <w:numId w:val="2"/>
        </w:numPr>
        <w:spacing w:after="40" w:before="40"/>
      </w:pPr>
      <w:r>
        <w:rPr>
          <w:rFonts w:ascii="Arial" w:cs="Arial" w:eastAsia="Arial" w:hAnsi="Arial"/>
          <w:b/>
          <w:bCs/>
          <w:color w:val="375623"/>
          <w:sz w:val="19"/>
          <w:szCs w:val="19"/>
        </w:rPr>
        <w:t xml:space="preserve">[APPC – Appendix C, C-2 §63.0.9]  </w:t>
      </w:r>
      <w:r>
        <w:rPr>
          <w:rFonts w:ascii="Arial" w:cs="Arial" w:eastAsia="Arial" w:hAnsi="Arial"/>
          <w:color w:val="2D2D2D"/>
          <w:sz w:val="19"/>
          <w:szCs w:val="19"/>
        </w:rPr>
        <w:t xml:space="preserve">Require implementation of a SIMOPS Matrix for all project sites where simultaneous operations occur. The SIMOPS Matrix is a reference tool used to determine whether activities can be performed simultaneously and under what conditions.</w:t>
      </w:r>
    </w:p>
    <w:p>
      <w:pPr>
        <w:pStyle w:val="ListParagraph"/>
        <w:numPr>
          <w:ilvl w:val="0"/>
          <w:numId w:val="2"/>
        </w:numPr>
        <w:spacing w:after="40" w:before="40"/>
      </w:pPr>
      <w:r>
        <w:rPr>
          <w:rFonts w:ascii="Arial" w:cs="Arial" w:eastAsia="Arial" w:hAnsi="Arial"/>
          <w:b/>
          <w:bCs/>
          <w:color w:val="375623"/>
          <w:sz w:val="19"/>
          <w:szCs w:val="19"/>
        </w:rPr>
        <w:t xml:space="preserve">[APPC – Appendix C, C-2 §63.1.1]  </w:t>
      </w:r>
      <w:r>
        <w:rPr>
          <w:rFonts w:ascii="Arial" w:cs="Arial" w:eastAsia="Arial" w:hAnsi="Arial"/>
          <w:color w:val="2D2D2D"/>
          <w:sz w:val="19"/>
          <w:szCs w:val="19"/>
        </w:rPr>
        <w:t xml:space="preserve">Require the SIMOPS Matrix to be used in conjunction with: Task Definitions that describe each category of simultaneous activity; and Restriction Tables that define the conditions under which pairs of activities may or may not occur concurrently.</w:t>
      </w:r>
    </w:p>
    <w:p>
      <w:pPr>
        <w:pStyle w:val="ListParagraph"/>
        <w:numPr>
          <w:ilvl w:val="0"/>
          <w:numId w:val="2"/>
        </w:numPr>
        <w:spacing w:after="40" w:before="40"/>
      </w:pPr>
      <w:r>
        <w:rPr>
          <w:rFonts w:ascii="Arial" w:cs="Arial" w:eastAsia="Arial" w:hAnsi="Arial"/>
          <w:b/>
          <w:bCs/>
          <w:color w:val="375623"/>
          <w:sz w:val="19"/>
          <w:szCs w:val="19"/>
        </w:rPr>
        <w:t xml:space="preserve">[APPC – Appendix C, C-2 §63.1.2]  </w:t>
      </w:r>
      <w:r>
        <w:rPr>
          <w:rFonts w:ascii="Arial" w:cs="Arial" w:eastAsia="Arial" w:hAnsi="Arial"/>
          <w:color w:val="2D2D2D"/>
          <w:sz w:val="19"/>
          <w:szCs w:val="19"/>
        </w:rPr>
        <w:t xml:space="preserve">Require each site to develop its own Task Definitions, SIMOPS Matrix, and Restrictions Table, incorporating regulatory requirements and site-specific operational considerations. Generic matrices from previous projects are not acceptable without site-specific review and adaptation.</w:t>
      </w:r>
    </w:p>
    <w:p>
      <w:pPr>
        <w:pStyle w:val="ListParagraph"/>
        <w:numPr>
          <w:ilvl w:val="0"/>
          <w:numId w:val="2"/>
        </w:numPr>
        <w:spacing w:after="40" w:before="40"/>
      </w:pPr>
      <w:r>
        <w:rPr>
          <w:rFonts w:ascii="Arial" w:cs="Arial" w:eastAsia="Arial" w:hAnsi="Arial"/>
          <w:b/>
          <w:bCs/>
          <w:color w:val="375623"/>
          <w:sz w:val="19"/>
          <w:szCs w:val="19"/>
        </w:rPr>
        <w:t xml:space="preserve">[APPC – Appendix C, C-2 §63.1.3]  </w:t>
      </w:r>
      <w:r>
        <w:rPr>
          <w:rFonts w:ascii="Arial" w:cs="Arial" w:eastAsia="Arial" w:hAnsi="Arial"/>
          <w:color w:val="2D2D2D"/>
          <w:sz w:val="19"/>
          <w:szCs w:val="19"/>
        </w:rPr>
        <w:t xml:space="preserve">Require that any deviations from the SIMOPS Matrix or Restriction Tables are approved by the appropriate level of management before simultaneous activities proceed outside matrix parameters. Deviations must be documented and risk-assessed.</w:t>
      </w:r>
    </w:p>
    <w:p>
      <w:pPr>
        <w:pStyle w:val="Normal"/>
        <w:spacing w:after="40" w:before="120"/>
      </w:pPr>
      <w:r>
        <w:rPr>
          <w:b/>
          <w:color w:val="C55A11"/>
          <w:sz w:val="19"/>
        </w:rPr>
        <w:t xml:space="preserve">PROJECT COMPLETION GUIDANCE — </w:t>
      </w:r>
      <w:r>
        <w:rPr>
          <w:i/>
          <w:color w:val="C55A11"/>
          <w:sz w:val="19"/>
        </w:rPr>
        <w:t>Actions required to complete this procedure for your specific project</w:t>
      </w:r>
    </w:p>
    <w:p>
      <w:pPr>
        <w:pStyle w:val="Normal"/>
        <w:spacing w:after="20" w:before="0"/>
      </w:pPr>
      <w:r>
        <w:rPr>
          <w:i/>
          <w:color w:val="C55A11"/>
          <w:sz w:val="17"/>
        </w:rPr>
        <w:t>Each item below represents a decision, action, or piece of project-specific information that must be confirmed, documented, or inserted by the project team before this procedure is issued at 100%.</w:t>
      </w:r>
    </w:p>
    <w:p>
      <w:pPr>
        <w:pStyle w:val="ListParagraph"/>
        <w:numPr>
          <w:ilvl w:val="0"/>
          <w:numId w:val="3"/>
        </w:numPr>
        <w:spacing w:after="40" w:before="40"/>
      </w:pPr>
      <w:r>
        <w:rPr>
          <w:rFonts w:ascii="Arial" w:cs="Arial" w:eastAsia="Arial" w:hAnsi="Arial"/>
          <w:sz w:val="19"/>
          <w:szCs w:val="19"/>
        </w:rPr>
        <w:t xml:space="preserve">Identify all simultaneous operation scenarios anticipated for this project and insert into the SIMOPS Plan. Map each interface against the SIMOPS Matrix before any concurrent work commences.</w:t>
      </w:r>
    </w:p>
    <w:p>
      <w:pPr>
        <w:pStyle w:val="ListParagraph"/>
        <w:numPr>
          <w:ilvl w:val="0"/>
          <w:numId w:val="3"/>
        </w:numPr>
        <w:spacing w:after="40" w:before="40"/>
      </w:pPr>
      <w:r>
        <w:rPr>
          <w:rFonts w:ascii="Arial" w:cs="Arial" w:eastAsia="Arial" w:hAnsi="Arial"/>
          <w:sz w:val="19"/>
          <w:szCs w:val="19"/>
        </w:rPr>
        <w:t xml:space="preserve">Develop the site-specific SIMOPS Matrix, Task Definitions, and Restrictions Table for this project. These cannot be carried over unchanged from previous projects.</w:t>
      </w:r>
    </w:p>
    <w:p>
      <w:pPr>
        <w:pStyle w:val="ListParagraph"/>
        <w:numPr>
          <w:ilvl w:val="0"/>
          <w:numId w:val="3"/>
        </w:numPr>
        <w:spacing w:after="40" w:before="40"/>
      </w:pPr>
      <w:r>
        <w:rPr>
          <w:rFonts w:ascii="Arial" w:cs="Arial" w:eastAsia="Arial" w:hAnsi="Arial"/>
          <w:sz w:val="19"/>
          <w:szCs w:val="19"/>
        </w:rPr>
        <w:t xml:space="preserve">Define the SIMOPS coordination meeting schedule for this project: frequency, participants, chair, agenda template, and minutes distribution. Insert into the SIMOPS Plan.</w:t>
      </w:r>
    </w:p>
    <w:p>
      <w:pPr>
        <w:pStyle w:val="ListParagraph"/>
        <w:numPr>
          <w:ilvl w:val="0"/>
          <w:numId w:val="3"/>
        </w:numPr>
        <w:spacing w:after="40" w:before="40"/>
      </w:pPr>
      <w:r>
        <w:rPr>
          <w:rFonts w:ascii="Arial" w:cs="Arial" w:eastAsia="Arial" w:hAnsi="Arial"/>
          <w:sz w:val="19"/>
          <w:szCs w:val="19"/>
        </w:rPr>
        <w:t xml:space="preserve">Define the work stoppage authority and escalation process for SIMOPS-related stoppages: who can call a stop; who must be notified; and what the process is for resumption following a SIMOPS-triggered work stoppage.</w:t>
      </w:r>
    </w:p>
    <w:p>
      <w:pPr>
        <w:pStyle w:val="ListParagraph"/>
        <w:numPr>
          <w:ilvl w:val="0"/>
          <w:numId w:val="3"/>
        </w:numPr>
        <w:spacing w:after="40" w:before="40"/>
      </w:pPr>
      <w:r>
        <w:rPr>
          <w:rFonts w:ascii="Arial" w:cs="Arial" w:eastAsia="Arial" w:hAnsi="Arial"/>
          <w:sz w:val="19"/>
          <w:szCs w:val="19"/>
        </w:rPr>
        <w:t xml:space="preserve">Confirm the permit issuing authority arrangements for overlapping permits in SIMOPS areas. The PTW procedure owns permit types and roles — this procedure must define how simultaneous permits in the same area are coordinated and approved.</w:t>
      </w:r>
    </w:p>
    <w:p>
      <w:pPr>
        <w:pStyle w:val="Heading1Numbered_"/>
        <w:spacing w:after="80" w:before="360"/>
      </w:pPr>
      <w:r>
        <w:rPr>
          <w:rFonts w:ascii="Arial" w:cs="Arial" w:eastAsia="Arial" w:hAnsi="Arial"/>
          <w:b/>
          <w:sz w:val="24"/>
          <w:szCs w:val="24"/>
        </w:rPr>
        <w:t xml:space="preserve">Communities and Social Performance Procedure</w:t>
      </w:r>
    </w:p>
    <w:p>
      <w:pPr>
        <w:pStyle w:val="Normal"/>
        <w:spacing w:after="40" w:before="40"/>
      </w:pPr>
      <w:r>
        <w:rPr>
          <w:rFonts w:ascii="Arial" w:cs="Arial" w:eastAsia="Arial" w:hAnsi="Arial"/>
          <w:b/>
          <w:sz w:val="19"/>
          <w:szCs w:val="19"/>
        </w:rPr>
        <w:t xml:space="preserve">Management System Element: </w:t>
      </w:r>
      <w:r>
        <w:rPr>
          <w:rFonts w:ascii="Arial" w:cs="Arial" w:eastAsia="Arial" w:hAnsi="Arial"/>
          <w:sz w:val="19"/>
          <w:szCs w:val="19"/>
        </w:rPr>
        <w:t xml:space="preserve">10 – Operational Control     |     Document ID: RTPR-HSE-PRO-0049</w:t>
      </w:r>
    </w:p>
    <w:p>
      <w:pPr>
        <w:pStyle w:val="Normal"/>
        <w:spacing w:after="20" w:before="80"/>
      </w:pPr>
      <w:r>
        <w:rPr>
          <w:b/>
          <w:color w:val="0059D1"/>
          <w:sz w:val="17"/>
        </w:rPr>
        <w:t>DOCUMENT RELATIONSHIPS</w:t>
      </w:r>
    </w:p>
    <w:p>
      <w:pPr>
        <w:pStyle w:val="Normal"/>
        <w:spacing w:after="10" w:before="10"/>
      </w:pPr>
      <w:r>
        <w:rPr>
          <w:b/>
          <w:sz w:val="16"/>
        </w:rPr>
        <w:t>THIS DOCUMENT OWNS (information defined here; do not duplicate elsewhere):</w:t>
      </w:r>
    </w:p>
    <w:p>
      <w:pPr>
        <w:pStyle w:val="ListParagraph"/>
        <w:numPr>
          <w:ilvl w:val="0"/>
          <w:numId w:val="1"/>
        </w:numPr>
        <w:spacing w:after="20" w:before="20"/>
      </w:pPr>
      <w:r>
        <w:rPr>
          <w:rFonts w:ascii="Arial" w:cs="Arial" w:eastAsia="Arial" w:hAnsi="Arial"/>
          <w:sz w:val="16"/>
          <w:szCs w:val="16"/>
        </w:rPr>
        <w:t xml:space="preserve">► CSP risk and impact management process</w:t>
      </w:r>
    </w:p>
    <w:p>
      <w:pPr>
        <w:pStyle w:val="ListParagraph"/>
        <w:numPr>
          <w:ilvl w:val="0"/>
          <w:numId w:val="1"/>
        </w:numPr>
        <w:spacing w:after="20" w:before="20"/>
      </w:pPr>
      <w:r>
        <w:rPr>
          <w:rFonts w:ascii="Arial" w:cs="Arial" w:eastAsia="Arial" w:hAnsi="Arial"/>
          <w:sz w:val="16"/>
          <w:szCs w:val="16"/>
        </w:rPr>
        <w:t xml:space="preserve">► Stakeholder engagement protocols and restrictions</w:t>
      </w:r>
    </w:p>
    <w:p>
      <w:pPr>
        <w:pStyle w:val="ListParagraph"/>
        <w:numPr>
          <w:ilvl w:val="0"/>
          <w:numId w:val="1"/>
        </w:numPr>
        <w:spacing w:after="20" w:before="20"/>
      </w:pPr>
      <w:r>
        <w:rPr>
          <w:rFonts w:ascii="Arial" w:cs="Arial" w:eastAsia="Arial" w:hAnsi="Arial"/>
          <w:sz w:val="16"/>
          <w:szCs w:val="16"/>
        </w:rPr>
        <w:t xml:space="preserve">► Land access obligations and controls</w:t>
      </w:r>
    </w:p>
    <w:p>
      <w:pPr>
        <w:pStyle w:val="ListParagraph"/>
        <w:numPr>
          <w:ilvl w:val="0"/>
          <w:numId w:val="1"/>
        </w:numPr>
        <w:spacing w:after="20" w:before="20"/>
      </w:pPr>
      <w:r>
        <w:rPr>
          <w:rFonts w:ascii="Arial" w:cs="Arial" w:eastAsia="Arial" w:hAnsi="Arial"/>
          <w:sz w:val="16"/>
          <w:szCs w:val="16"/>
        </w:rPr>
        <w:t xml:space="preserve">► Community health, safety, and security requirements</w:t>
      </w:r>
    </w:p>
    <w:p>
      <w:pPr>
        <w:pStyle w:val="ListParagraph"/>
        <w:numPr>
          <w:ilvl w:val="0"/>
          <w:numId w:val="1"/>
        </w:numPr>
        <w:spacing w:after="20" w:before="20"/>
      </w:pPr>
      <w:r>
        <w:rPr>
          <w:rFonts w:ascii="Arial" w:cs="Arial" w:eastAsia="Arial" w:hAnsi="Arial"/>
          <w:sz w:val="16"/>
          <w:szCs w:val="16"/>
        </w:rPr>
        <w:t xml:space="preserve">► CSP incident and complaint reporting requirements</w:t>
      </w:r>
    </w:p>
    <w:p>
      <w:pPr>
        <w:pStyle w:val="ListParagraph"/>
        <w:numPr>
          <w:ilvl w:val="0"/>
          <w:numId w:val="1"/>
        </w:numPr>
        <w:spacing w:after="20" w:before="20"/>
      </w:pPr>
      <w:r>
        <w:rPr>
          <w:rFonts w:ascii="Arial" w:cs="Arial" w:eastAsia="Arial" w:hAnsi="Arial"/>
          <w:sz w:val="16"/>
          <w:szCs w:val="16"/>
        </w:rPr>
        <w:t xml:space="preserve">► Human rights due diligence obligations</w:t>
      </w:r>
    </w:p>
    <w:p>
      <w:pPr>
        <w:pStyle w:val="ListParagraph"/>
        <w:numPr>
          <w:ilvl w:val="0"/>
          <w:numId w:val="1"/>
        </w:numPr>
        <w:spacing w:after="20" w:before="20"/>
      </w:pPr>
      <w:r>
        <w:rPr>
          <w:rFonts w:ascii="Arial" w:cs="Arial" w:eastAsia="Arial" w:hAnsi="Arial"/>
          <w:sz w:val="16"/>
          <w:szCs w:val="16"/>
        </w:rPr>
        <w:t xml:space="preserve">► Cultural heritage management requirements</w:t>
      </w:r>
    </w:p>
    <w:p>
      <w:pPr>
        <w:pStyle w:val="ListParagraph"/>
        <w:numPr>
          <w:ilvl w:val="0"/>
          <w:numId w:val="1"/>
        </w:numPr>
        <w:spacing w:after="20" w:before="20"/>
      </w:pPr>
      <w:r>
        <w:rPr>
          <w:rFonts w:ascii="Arial" w:cs="Arial" w:eastAsia="Arial" w:hAnsi="Arial"/>
          <w:sz w:val="16"/>
          <w:szCs w:val="16"/>
        </w:rPr>
        <w:t xml:space="preserve">► Indigenous and land-connected peoples requirements</w:t>
      </w:r>
    </w:p>
    <w:p>
      <w:pPr>
        <w:pStyle w:val="ListParagraph"/>
        <w:numPr>
          <w:ilvl w:val="0"/>
          <w:numId w:val="1"/>
        </w:numPr>
        <w:spacing w:after="20" w:before="20"/>
      </w:pPr>
      <w:r>
        <w:rPr>
          <w:rFonts w:ascii="Arial" w:cs="Arial" w:eastAsia="Arial" w:hAnsi="Arial"/>
          <w:sz w:val="16"/>
          <w:szCs w:val="16"/>
        </w:rPr>
        <w:t xml:space="preserve">► Local and Indigenous participation commitments</w:t>
      </w:r>
    </w:p>
    <w:p>
      <w:pPr>
        <w:pStyle w:val="ListParagraph"/>
        <w:numPr>
          <w:ilvl w:val="0"/>
          <w:numId w:val="1"/>
        </w:numPr>
        <w:spacing w:after="20" w:before="20"/>
      </w:pPr>
      <w:r>
        <w:rPr>
          <w:rFonts w:ascii="Arial" w:cs="Arial" w:eastAsia="Arial" w:hAnsi="Arial"/>
          <w:sz w:val="16"/>
          <w:szCs w:val="16"/>
        </w:rPr>
        <w:t xml:space="preserve">► Social investment policy</w:t>
      </w:r>
    </w:p>
    <w:p>
      <w:pPr>
        <w:pStyle w:val="Normal"/>
        <w:spacing w:after="10" w:before="10"/>
      </w:pPr>
      <w:r>
        <w:rPr>
          <w:b/>
          <w:sz w:val="16"/>
        </w:rPr>
        <w:t>THIS DOCUMENT REFERENCES (do not repeat this content — point here instead):</w:t>
      </w:r>
    </w:p>
    <w:p>
      <w:pPr>
        <w:pStyle w:val="ListParagraph"/>
        <w:numPr>
          <w:ilvl w:val="0"/>
          <w:numId w:val="1"/>
        </w:numPr>
        <w:spacing w:after="20" w:before="20"/>
      </w:pPr>
      <w:r>
        <w:rPr>
          <w:rFonts w:ascii="Arial" w:cs="Arial" w:eastAsia="Arial" w:hAnsi="Arial"/>
          <w:sz w:val="16"/>
          <w:szCs w:val="16"/>
        </w:rPr>
        <w:t xml:space="preserve">► RTPR-HSE-PRO-0002 – Risk Management (social and human rights risk assessment)</w:t>
      </w:r>
    </w:p>
    <w:p>
      <w:pPr>
        <w:pStyle w:val="ListParagraph"/>
        <w:numPr>
          <w:ilvl w:val="0"/>
          <w:numId w:val="1"/>
        </w:numPr>
        <w:spacing w:after="20" w:before="20"/>
      </w:pPr>
      <w:r>
        <w:rPr>
          <w:rFonts w:ascii="Arial" w:cs="Arial" w:eastAsia="Arial" w:hAnsi="Arial"/>
          <w:sz w:val="16"/>
          <w:szCs w:val="16"/>
        </w:rPr>
        <w:t xml:space="preserve">► RTPR-HSE-PRO-0001 – Legal Requirements (regulatory obligations including native title)</w:t>
      </w:r>
    </w:p>
    <w:p>
      <w:pPr>
        <w:pStyle w:val="ListParagraph"/>
        <w:numPr>
          <w:ilvl w:val="0"/>
          <w:numId w:val="1"/>
        </w:numPr>
        <w:spacing w:after="20" w:before="20"/>
      </w:pPr>
      <w:r>
        <w:rPr>
          <w:rFonts w:ascii="Arial" w:cs="Arial" w:eastAsia="Arial" w:hAnsi="Arial"/>
          <w:sz w:val="16"/>
          <w:szCs w:val="16"/>
        </w:rPr>
        <w:t xml:space="preserve">► RTPR-HSE-PRO-0009 – Incident Management (CSP incident reporting timelines)</w:t>
      </w:r>
    </w:p>
    <w:p>
      <w:pPr>
        <w:pStyle w:val="ListParagraph"/>
        <w:numPr>
          <w:ilvl w:val="0"/>
          <w:numId w:val="1"/>
        </w:numPr>
        <w:spacing w:after="20" w:before="20"/>
      </w:pPr>
      <w:r>
        <w:rPr>
          <w:rFonts w:ascii="Arial" w:cs="Arial" w:eastAsia="Arial" w:hAnsi="Arial"/>
          <w:sz w:val="16"/>
          <w:szCs w:val="16"/>
        </w:rPr>
        <w:t xml:space="preserve">► RTPR-HSE-PRO-0033 – Security Management (human rights and security interactions)</w:t>
      </w:r>
    </w:p>
    <w:p>
      <w:pPr>
        <w:pStyle w:val="ListParagraph"/>
        <w:numPr>
          <w:ilvl w:val="0"/>
          <w:numId w:val="1"/>
        </w:numPr>
        <w:spacing w:after="20" w:before="20"/>
      </w:pPr>
      <w:r>
        <w:rPr>
          <w:rFonts w:ascii="Arial" w:cs="Arial" w:eastAsia="Arial" w:hAnsi="Arial"/>
          <w:sz w:val="16"/>
          <w:szCs w:val="16"/>
        </w:rPr>
        <w:t xml:space="preserve">► RTPR-HSE-PRO-0037 – Land Disturbance (cultural heritage site protection)</w:t>
      </w:r>
    </w:p>
    <w:p>
      <w:pPr>
        <w:pStyle w:val="ListParagraph"/>
        <w:numPr>
          <w:ilvl w:val="0"/>
          <w:numId w:val="1"/>
        </w:numPr>
        <w:spacing w:after="20" w:before="20"/>
      </w:pPr>
      <w:r>
        <w:rPr>
          <w:rFonts w:ascii="Arial" w:cs="Arial" w:eastAsia="Arial" w:hAnsi="Arial"/>
          <w:sz w:val="16"/>
          <w:szCs w:val="16"/>
        </w:rPr>
        <w:t xml:space="preserve">► RTPR-HSE-PRO-0041 – Business Resilience (emergency response with community impact)</w:t>
      </w:r>
    </w:p>
    <w:p>
      <w:pPr>
        <w:pStyle w:val="Normal"/>
        <w:spacing w:after="10" w:before="10"/>
      </w:pPr>
      <w:r>
        <w:rPr>
          <w:b/>
          <w:sz w:val="16"/>
        </w:rPr>
        <w:t>THIS DOCUMENT IS REFERENCED BY:</w:t>
      </w:r>
    </w:p>
    <w:p>
      <w:pPr>
        <w:pStyle w:val="ListParagraph"/>
        <w:numPr>
          <w:ilvl w:val="0"/>
          <w:numId w:val="1"/>
        </w:numPr>
        <w:spacing w:after="20" w:before="20"/>
      </w:pPr>
      <w:r>
        <w:rPr>
          <w:rFonts w:ascii="Arial" w:cs="Arial" w:eastAsia="Arial" w:hAnsi="Arial"/>
          <w:sz w:val="16"/>
          <w:szCs w:val="16"/>
        </w:rPr>
        <w:t xml:space="preserve">► RTPR-HSE-PRO-0033 – Security (Voluntary Principles on Security and Human Rights alignment)</w:t>
      </w:r>
    </w:p>
    <w:p>
      <w:pPr>
        <w:pStyle w:val="ListParagraph"/>
        <w:numPr>
          <w:ilvl w:val="0"/>
          <w:numId w:val="1"/>
        </w:numPr>
        <w:spacing w:after="20" w:before="20"/>
      </w:pPr>
      <w:r>
        <w:rPr>
          <w:rFonts w:ascii="Arial" w:cs="Arial" w:eastAsia="Arial" w:hAnsi="Arial"/>
          <w:sz w:val="16"/>
          <w:szCs w:val="16"/>
        </w:rPr>
        <w:t xml:space="preserve">► RTPR-HSE-PRO-0037 – Land Disturbance (cultural heritage clearances and chance finds)</w:t>
      </w:r>
    </w:p>
    <w:p>
      <w:pPr>
        <w:pStyle w:val="ListParagraph"/>
        <w:numPr>
          <w:ilvl w:val="0"/>
          <w:numId w:val="1"/>
        </w:numPr>
        <w:spacing w:after="20" w:before="20"/>
      </w:pPr>
      <w:r>
        <w:rPr>
          <w:rFonts w:ascii="Arial" w:cs="Arial" w:eastAsia="Arial" w:hAnsi="Arial"/>
          <w:sz w:val="16"/>
          <w:szCs w:val="16"/>
        </w:rPr>
        <w:t xml:space="preserve">► RTPR-HSE-PRO-0041 – Business Resilience (community notification in ERPs)</w:t>
      </w:r>
    </w:p>
    <w:p>
      <w:pPr>
        <w:pStyle w:val="Normal"/>
        <w:spacing w:after="60" w:before="40"/>
      </w:pPr>
      <w:r>
        <w:rPr>
          <w:rFonts w:ascii="Arial" w:cs="Arial" w:eastAsia="Arial" w:hAnsi="Arial"/>
          <w:color w:val="2D2D2D"/>
          <w:sz w:val="19"/>
          <w:szCs w:val="19"/>
        </w:rPr>
        <w:t xml:space="preserve">This procedure defines how the owner-led project identifies, manages, monitors, and reports on social and human rights risks, impacts, and opportunities associated with the Works. The Company is singularly accountable for interfacing with external stakeholders and government authorities. Contractors operate within the boundaries and commitments established by the Company and must not engage directly with external stakeholders or make commitments to communities without prior Company approval.</w:t>
      </w:r>
    </w:p>
    <w:p>
      <w:pPr>
        <w:pStyle w:val="Heading2Numbered_"/>
        <w:spacing w:after="40" w:before="200"/>
      </w:pPr>
      <w:r>
        <w:rPr>
          <w:rFonts w:ascii="Arial" w:cs="Arial" w:eastAsia="Arial" w:hAnsi="Arial"/>
          <w:b/>
          <w:sz w:val="20"/>
          <w:szCs w:val="20"/>
        </w:rPr>
        <w:t xml:space="preserve">Risk and Impact Management</w:t>
      </w:r>
    </w:p>
    <w:p>
      <w:pPr>
        <w:pStyle w:val="ListParagraph"/>
        <w:numPr>
          <w:ilvl w:val="0"/>
          <w:numId w:val="2"/>
        </w:numPr>
        <w:spacing w:after="40" w:before="40"/>
      </w:pPr>
      <w:r>
        <w:rPr>
          <w:rFonts w:ascii="Arial" w:cs="Arial" w:eastAsia="Arial" w:hAnsi="Arial"/>
          <w:b/>
          <w:bCs/>
          <w:color w:val="375623"/>
          <w:sz w:val="19"/>
          <w:szCs w:val="19"/>
        </w:rPr>
        <w:t xml:space="preserve">[APPC – Appendix C, C-5 §101.1.1]  </w:t>
      </w:r>
      <w:r>
        <w:rPr>
          <w:rFonts w:ascii="Arial" w:cs="Arial" w:eastAsia="Arial" w:hAnsi="Arial"/>
          <w:color w:val="2D2D2D"/>
          <w:sz w:val="19"/>
          <w:szCs w:val="19"/>
        </w:rPr>
        <w:t xml:space="preserve">Require development and maintenance of an understanding of the host community and socio-economic context in which the Works will be undertaken. This understanding must inform the CSP Management Plan and all community-facing activities throughout the project.</w:t>
      </w:r>
    </w:p>
    <w:p>
      <w:pPr>
        <w:pStyle w:val="ListParagraph"/>
        <w:numPr>
          <w:ilvl w:val="0"/>
          <w:numId w:val="2"/>
        </w:numPr>
        <w:spacing w:after="40" w:before="40"/>
      </w:pPr>
      <w:r>
        <w:rPr>
          <w:rFonts w:ascii="Arial" w:cs="Arial" w:eastAsia="Arial" w:hAnsi="Arial"/>
          <w:b/>
          <w:bCs/>
          <w:color w:val="375623"/>
          <w:sz w:val="19"/>
          <w:szCs w:val="19"/>
        </w:rPr>
        <w:t xml:space="preserve">[APPC – Appendix C, C-5 §101.1.2]  </w:t>
      </w:r>
      <w:r>
        <w:rPr>
          <w:rFonts w:ascii="Arial" w:cs="Arial" w:eastAsia="Arial" w:hAnsi="Arial"/>
          <w:color w:val="2D2D2D"/>
          <w:sz w:val="19"/>
          <w:szCs w:val="19"/>
        </w:rPr>
        <w:t xml:space="preserve">Require implementation of processes and systems to identify, manage, monitor, and report to the Company on social and human rights risks, impacts, and opportunities associated with the Works. Social risks must be integrated into the project risk register — refer RTPR-HSE-PRO-0002.</w:t>
      </w:r>
    </w:p>
    <w:p>
      <w:pPr>
        <w:pStyle w:val="ListParagraph"/>
        <w:numPr>
          <w:ilvl w:val="0"/>
          <w:numId w:val="2"/>
        </w:numPr>
        <w:spacing w:after="40" w:before="40"/>
      </w:pPr>
      <w:r>
        <w:rPr>
          <w:rFonts w:ascii="Arial" w:cs="Arial" w:eastAsia="Arial" w:hAnsi="Arial"/>
          <w:b/>
          <w:bCs/>
          <w:color w:val="375623"/>
          <w:sz w:val="19"/>
          <w:szCs w:val="19"/>
        </w:rPr>
        <w:t xml:space="preserve">[APPC – Appendix C, C-5 §101.1.3]  </w:t>
      </w:r>
      <w:r>
        <w:rPr>
          <w:rFonts w:ascii="Arial" w:cs="Arial" w:eastAsia="Arial" w:hAnsi="Arial"/>
          <w:color w:val="2D2D2D"/>
          <w:sz w:val="19"/>
          <w:szCs w:val="19"/>
        </w:rPr>
        <w:t xml:space="preserve">Require appropriate mitigations to manage material risks and impacts caused by or directly linked to the Works, and track and report on their implementation to the Company at agreed intervals.</w:t>
      </w:r>
    </w:p>
    <w:p>
      <w:pPr>
        <w:pStyle w:val="Heading2Numbered_"/>
        <w:spacing w:after="40" w:before="200"/>
      </w:pPr>
      <w:r>
        <w:rPr>
          <w:rFonts w:ascii="Arial" w:cs="Arial" w:eastAsia="Arial" w:hAnsi="Arial"/>
          <w:b/>
          <w:sz w:val="20"/>
          <w:szCs w:val="20"/>
        </w:rPr>
        <w:t xml:space="preserve">Consultation and Engagement</w:t>
      </w:r>
    </w:p>
    <w:p>
      <w:pPr>
        <w:pStyle w:val="ListParagraph"/>
        <w:numPr>
          <w:ilvl w:val="0"/>
          <w:numId w:val="2"/>
        </w:numPr>
        <w:spacing w:after="40" w:before="40"/>
      </w:pPr>
      <w:r>
        <w:rPr>
          <w:rFonts w:ascii="Arial" w:cs="Arial" w:eastAsia="Arial" w:hAnsi="Arial"/>
          <w:b/>
          <w:bCs/>
          <w:color w:val="375623"/>
          <w:sz w:val="19"/>
          <w:szCs w:val="19"/>
        </w:rPr>
        <w:t xml:space="preserve">[APPC – Appendix C, C-5 §101.2.1]  </w:t>
      </w:r>
      <w:r>
        <w:rPr>
          <w:rFonts w:ascii="Arial" w:cs="Arial" w:eastAsia="Arial" w:hAnsi="Arial"/>
          <w:color w:val="2D2D2D"/>
          <w:sz w:val="19"/>
          <w:szCs w:val="19"/>
        </w:rPr>
        <w:t xml:space="preserve">Require that the Contractor does not engage with the media under any circumstances. All media requests must be forwarded directly to the Company without response.</w:t>
      </w:r>
    </w:p>
    <w:p>
      <w:pPr>
        <w:pStyle w:val="ListParagraph"/>
        <w:numPr>
          <w:ilvl w:val="0"/>
          <w:numId w:val="2"/>
        </w:numPr>
        <w:spacing w:after="40" w:before="40"/>
      </w:pPr>
      <w:r>
        <w:rPr>
          <w:rFonts w:ascii="Arial" w:cs="Arial" w:eastAsia="Arial" w:hAnsi="Arial"/>
          <w:b/>
          <w:bCs/>
          <w:color w:val="375623"/>
          <w:sz w:val="19"/>
          <w:szCs w:val="19"/>
        </w:rPr>
        <w:t xml:space="preserve">[APPC – Appendix C, C-5 §101.2.2]  </w:t>
      </w:r>
      <w:r>
        <w:rPr>
          <w:rFonts w:ascii="Arial" w:cs="Arial" w:eastAsia="Arial" w:hAnsi="Arial"/>
          <w:color w:val="2D2D2D"/>
          <w:sz w:val="19"/>
          <w:szCs w:val="19"/>
        </w:rPr>
        <w:t xml:space="preserve">Require that no project-related information is disclosed to third parties and no direct engagement occurs with external stakeholders without prior approval from the Company.</w:t>
      </w:r>
    </w:p>
    <w:p>
      <w:pPr>
        <w:pStyle w:val="ListParagraph"/>
        <w:numPr>
          <w:ilvl w:val="0"/>
          <w:numId w:val="2"/>
        </w:numPr>
        <w:spacing w:after="40" w:before="40"/>
      </w:pPr>
      <w:r>
        <w:rPr>
          <w:rFonts w:ascii="Arial" w:cs="Arial" w:eastAsia="Arial" w:hAnsi="Arial"/>
          <w:b/>
          <w:bCs/>
          <w:color w:val="375623"/>
          <w:sz w:val="19"/>
          <w:szCs w:val="19"/>
        </w:rPr>
        <w:t xml:space="preserve">[APPC – Appendix C, C-5 §101.2.3]  </w:t>
      </w:r>
      <w:r>
        <w:rPr>
          <w:rFonts w:ascii="Arial" w:cs="Arial" w:eastAsia="Arial" w:hAnsi="Arial"/>
          <w:color w:val="2D2D2D"/>
          <w:sz w:val="19"/>
          <w:szCs w:val="19"/>
        </w:rPr>
        <w:t xml:space="preserve">Require that all approaches by external stakeholders are captured in a register and communicated to the Company. The register must record the date, nature of approach, organisation or individual making contact, and the referral action taken.</w:t>
      </w:r>
    </w:p>
    <w:p>
      <w:pPr>
        <w:pStyle w:val="ListParagraph"/>
        <w:numPr>
          <w:ilvl w:val="0"/>
          <w:numId w:val="2"/>
        </w:numPr>
        <w:spacing w:after="40" w:before="40"/>
      </w:pPr>
      <w:r>
        <w:rPr>
          <w:rFonts w:ascii="Arial" w:cs="Arial" w:eastAsia="Arial" w:hAnsi="Arial"/>
          <w:b/>
          <w:bCs/>
          <w:color w:val="375623"/>
          <w:sz w:val="19"/>
          <w:szCs w:val="19"/>
        </w:rPr>
        <w:t xml:space="preserve">[APPC – Appendix C, C-5 §101.2.4]  </w:t>
      </w:r>
      <w:r>
        <w:rPr>
          <w:rFonts w:ascii="Arial" w:cs="Arial" w:eastAsia="Arial" w:hAnsi="Arial"/>
          <w:color w:val="2D2D2D"/>
          <w:sz w:val="19"/>
          <w:szCs w:val="19"/>
        </w:rPr>
        <w:t xml:space="preserve">Require that no verbal or written commitments, or implied commitments, are made to local communities or authorities without prior consultation with and approval from the Company.</w:t>
      </w:r>
    </w:p>
    <w:p>
      <w:pPr>
        <w:pStyle w:val="ListParagraph"/>
        <w:numPr>
          <w:ilvl w:val="0"/>
          <w:numId w:val="2"/>
        </w:numPr>
        <w:spacing w:after="40" w:before="40"/>
      </w:pPr>
      <w:r>
        <w:rPr>
          <w:rFonts w:ascii="Arial" w:cs="Arial" w:eastAsia="Arial" w:hAnsi="Arial"/>
          <w:b/>
          <w:bCs/>
          <w:color w:val="375623"/>
          <w:sz w:val="19"/>
          <w:szCs w:val="19"/>
        </w:rPr>
        <w:t xml:space="preserve">[APPC – Appendix C, C-5 §101.2.6]  </w:t>
      </w:r>
      <w:r>
        <w:rPr>
          <w:rFonts w:ascii="Arial" w:cs="Arial" w:eastAsia="Arial" w:hAnsi="Arial"/>
          <w:color w:val="2D2D2D"/>
          <w:sz w:val="19"/>
          <w:szCs w:val="19"/>
        </w:rPr>
        <w:t xml:space="preserve">Require a clear protocol on the use of social media that expressly forbids disclosure of sensitive or confidential project information by all Contractor personnel and subcontractors.</w:t>
      </w:r>
    </w:p>
    <w:p>
      <w:pPr>
        <w:pStyle w:val="Heading2Numbered_"/>
        <w:spacing w:after="40" w:before="200"/>
      </w:pPr>
      <w:r>
        <w:rPr>
          <w:rFonts w:ascii="Arial" w:cs="Arial" w:eastAsia="Arial" w:hAnsi="Arial"/>
          <w:b/>
          <w:sz w:val="20"/>
          <w:szCs w:val="20"/>
        </w:rPr>
        <w:t xml:space="preserve">Land Access</w:t>
      </w:r>
    </w:p>
    <w:p>
      <w:pPr>
        <w:pStyle w:val="ListParagraph"/>
        <w:numPr>
          <w:ilvl w:val="0"/>
          <w:numId w:val="2"/>
        </w:numPr>
        <w:spacing w:after="40" w:before="40"/>
      </w:pPr>
      <w:r>
        <w:rPr>
          <w:rFonts w:ascii="Arial" w:cs="Arial" w:eastAsia="Arial" w:hAnsi="Arial"/>
          <w:b/>
          <w:bCs/>
          <w:color w:val="375623"/>
          <w:sz w:val="19"/>
          <w:szCs w:val="19"/>
        </w:rPr>
        <w:t xml:space="preserve">[APPC – Appendix C, C-5 §101.3.1]  </w:t>
      </w:r>
      <w:r>
        <w:rPr>
          <w:rFonts w:ascii="Arial" w:cs="Arial" w:eastAsia="Arial" w:hAnsi="Arial"/>
          <w:color w:val="2D2D2D"/>
          <w:sz w:val="19"/>
          <w:szCs w:val="19"/>
        </w:rPr>
        <w:t xml:space="preserve">Require that all Works are limited to the project area that the Company has, in writing, authorised for Contractor use. Work outside authorised areas is prohibited.</w:t>
      </w:r>
    </w:p>
    <w:p>
      <w:pPr>
        <w:pStyle w:val="ListParagraph"/>
        <w:numPr>
          <w:ilvl w:val="0"/>
          <w:numId w:val="2"/>
        </w:numPr>
        <w:spacing w:after="40" w:before="40"/>
      </w:pPr>
      <w:r>
        <w:rPr>
          <w:rFonts w:ascii="Arial" w:cs="Arial" w:eastAsia="Arial" w:hAnsi="Arial"/>
          <w:b/>
          <w:bCs/>
          <w:color w:val="375623"/>
          <w:sz w:val="19"/>
          <w:szCs w:val="19"/>
        </w:rPr>
        <w:t xml:space="preserve">[APPC – Appendix C, C-5 §101.3.3]  </w:t>
      </w:r>
      <w:r>
        <w:rPr>
          <w:rFonts w:ascii="Arial" w:cs="Arial" w:eastAsia="Arial" w:hAnsi="Arial"/>
          <w:color w:val="2D2D2D"/>
          <w:sz w:val="19"/>
          <w:szCs w:val="19"/>
        </w:rPr>
        <w:t xml:space="preserve">Where access to land outside the project area becomes necessary, require a formal written request to the Company including a clear rationale, alternatives considered, and risks and impacts identified. Work outside the project area may not commence without written Company approval.</w:t>
      </w:r>
    </w:p>
    <w:p>
      <w:pPr>
        <w:pStyle w:val="ListParagraph"/>
        <w:numPr>
          <w:ilvl w:val="0"/>
          <w:numId w:val="2"/>
        </w:numPr>
        <w:spacing w:after="40" w:before="40"/>
      </w:pPr>
      <w:r>
        <w:rPr>
          <w:rFonts w:ascii="Arial" w:cs="Arial" w:eastAsia="Arial" w:hAnsi="Arial"/>
          <w:b/>
          <w:bCs/>
          <w:color w:val="375623"/>
          <w:sz w:val="19"/>
          <w:szCs w:val="19"/>
        </w:rPr>
        <w:t xml:space="preserve">[APPC – Appendix C, C-5 §101.3.5]  </w:t>
      </w:r>
      <w:r>
        <w:rPr>
          <w:rFonts w:ascii="Arial" w:cs="Arial" w:eastAsia="Arial" w:hAnsi="Arial"/>
          <w:color w:val="2D2D2D"/>
          <w:sz w:val="19"/>
          <w:szCs w:val="19"/>
        </w:rPr>
        <w:t xml:space="preserve">Require that no independent voluntary or compulsory land acquisition, compensation, or resettlement is undertaken by the Contractor without the written consent of the Company.</w:t>
      </w:r>
    </w:p>
    <w:p>
      <w:pPr>
        <w:pStyle w:val="ListParagraph"/>
        <w:numPr>
          <w:ilvl w:val="0"/>
          <w:numId w:val="2"/>
        </w:numPr>
        <w:spacing w:after="40" w:before="40"/>
      </w:pPr>
      <w:r>
        <w:rPr>
          <w:rFonts w:ascii="Arial" w:cs="Arial" w:eastAsia="Arial" w:hAnsi="Arial"/>
          <w:b/>
          <w:bCs/>
          <w:color w:val="375623"/>
          <w:sz w:val="19"/>
          <w:szCs w:val="19"/>
        </w:rPr>
        <w:t xml:space="preserve">[APPC – Appendix C, C-5 §101.3.7]  </w:t>
      </w:r>
      <w:r>
        <w:rPr>
          <w:rFonts w:ascii="Arial" w:cs="Arial" w:eastAsia="Arial" w:hAnsi="Arial"/>
          <w:color w:val="2D2D2D"/>
          <w:sz w:val="19"/>
          <w:szCs w:val="19"/>
        </w:rPr>
        <w:t xml:space="preserve">Require that communities retain safe access to their lands and assets during the Works. Any proposed loss of or change to community access must be approved by the Company and communicated to affected communities in advance of any change taking effect.</w:t>
      </w:r>
    </w:p>
    <w:p>
      <w:pPr>
        <w:pStyle w:val="Heading2Numbered_"/>
        <w:spacing w:after="40" w:before="200"/>
      </w:pPr>
      <w:r>
        <w:rPr>
          <w:rFonts w:ascii="Arial" w:cs="Arial" w:eastAsia="Arial" w:hAnsi="Arial"/>
          <w:b/>
          <w:sz w:val="20"/>
          <w:szCs w:val="20"/>
        </w:rPr>
        <w:t xml:space="preserve">Community Health, Safety, and Security</w:t>
      </w:r>
    </w:p>
    <w:p>
      <w:pPr>
        <w:pStyle w:val="ListParagraph"/>
        <w:numPr>
          <w:ilvl w:val="0"/>
          <w:numId w:val="2"/>
        </w:numPr>
        <w:spacing w:after="40" w:before="40"/>
      </w:pPr>
      <w:r>
        <w:rPr>
          <w:rFonts w:ascii="Arial" w:cs="Arial" w:eastAsia="Arial" w:hAnsi="Arial"/>
          <w:b/>
          <w:bCs/>
          <w:color w:val="375623"/>
          <w:sz w:val="19"/>
          <w:szCs w:val="19"/>
        </w:rPr>
        <w:t xml:space="preserve">[APPC – Appendix C, C-5 §101.4.2]  </w:t>
      </w:r>
      <w:r>
        <w:rPr>
          <w:rFonts w:ascii="Arial" w:cs="Arial" w:eastAsia="Arial" w:hAnsi="Arial"/>
          <w:color w:val="2D2D2D"/>
          <w:sz w:val="19"/>
          <w:szCs w:val="19"/>
        </w:rPr>
        <w:t xml:space="preserve">Require an assessment of potential community health, safety, and security risks arising from the Works. The assessment must consider: increased traffic or vehicle exposure in community areas; dust, noise, vibration, and light impacts on communities; access restrictions that affect community movements; and any activities that could create hazards for community members.</w:t>
      </w:r>
    </w:p>
    <w:p>
      <w:pPr>
        <w:pStyle w:val="ListParagraph"/>
        <w:numPr>
          <w:ilvl w:val="0"/>
          <w:numId w:val="2"/>
        </w:numPr>
        <w:spacing w:after="40" w:before="40"/>
      </w:pPr>
      <w:r>
        <w:rPr>
          <w:rFonts w:ascii="Arial" w:cs="Arial" w:eastAsia="Arial" w:hAnsi="Arial"/>
          <w:b/>
          <w:bCs/>
          <w:color w:val="375623"/>
          <w:sz w:val="19"/>
          <w:szCs w:val="19"/>
        </w:rPr>
        <w:t xml:space="preserve">[APPC – Appendix C, C-5 §101.4.4]  </w:t>
      </w:r>
      <w:r>
        <w:rPr>
          <w:rFonts w:ascii="Arial" w:cs="Arial" w:eastAsia="Arial" w:hAnsi="Arial"/>
          <w:color w:val="2D2D2D"/>
          <w:sz w:val="19"/>
          <w:szCs w:val="19"/>
        </w:rPr>
        <w:t xml:space="preserve">Require identification of emergency event scenarios that have the potential to impact host communities and emergency response planning in coordination with local disaster response entities. Community-impacting emergency scenarios must be incorporated into the project ERP — refer RTPR-HSE-PRO-0041.</w:t>
      </w:r>
    </w:p>
    <w:p>
      <w:pPr>
        <w:pStyle w:val="Heading2Numbered_"/>
        <w:spacing w:after="40" w:before="200"/>
      </w:pPr>
      <w:r>
        <w:rPr>
          <w:rFonts w:ascii="Arial" w:cs="Arial" w:eastAsia="Arial" w:hAnsi="Arial"/>
          <w:b/>
          <w:sz w:val="20"/>
          <w:szCs w:val="20"/>
        </w:rPr>
        <w:t xml:space="preserve">CSP Incidents and Complaints</w:t>
      </w:r>
    </w:p>
    <w:p>
      <w:pPr>
        <w:pStyle w:val="ListParagraph"/>
        <w:numPr>
          <w:ilvl w:val="0"/>
          <w:numId w:val="2"/>
        </w:numPr>
        <w:spacing w:after="40" w:before="40"/>
      </w:pPr>
      <w:r>
        <w:rPr>
          <w:rFonts w:ascii="Arial" w:cs="Arial" w:eastAsia="Arial" w:hAnsi="Arial"/>
          <w:b/>
          <w:bCs/>
          <w:color w:val="375623"/>
          <w:sz w:val="19"/>
          <w:szCs w:val="19"/>
        </w:rPr>
        <w:t xml:space="preserve">[APPC – Appendix C, C-5 §101.5.1]  </w:t>
      </w:r>
      <w:r>
        <w:rPr>
          <w:rFonts w:ascii="Arial" w:cs="Arial" w:eastAsia="Arial" w:hAnsi="Arial"/>
          <w:color w:val="2D2D2D"/>
          <w:sz w:val="19"/>
          <w:szCs w:val="19"/>
        </w:rPr>
        <w:t xml:space="preserve">Require immediate reporting to the Company of any unplanned social impacts or incidents arising from the Works, including dust or noise exceedances, disturbance to community land or heritage, and any conflict or grievance involving community members or project personnel.</w:t>
      </w:r>
    </w:p>
    <w:p>
      <w:pPr>
        <w:pStyle w:val="ListParagraph"/>
        <w:numPr>
          <w:ilvl w:val="0"/>
          <w:numId w:val="2"/>
        </w:numPr>
        <w:spacing w:after="40" w:before="40"/>
      </w:pPr>
      <w:r>
        <w:rPr>
          <w:rFonts w:ascii="Arial" w:cs="Arial" w:eastAsia="Arial" w:hAnsi="Arial"/>
          <w:b/>
          <w:bCs/>
          <w:color w:val="375623"/>
          <w:sz w:val="19"/>
          <w:szCs w:val="19"/>
        </w:rPr>
        <w:t xml:space="preserve">[APPC – Appendix C, C-5 §101.5.2]  </w:t>
      </w:r>
      <w:r>
        <w:rPr>
          <w:rFonts w:ascii="Arial" w:cs="Arial" w:eastAsia="Arial" w:hAnsi="Arial"/>
          <w:color w:val="2D2D2D"/>
          <w:sz w:val="19"/>
          <w:szCs w:val="19"/>
        </w:rPr>
        <w:t xml:space="preserve">Require reporting to the Company of all grievances received, in line with the timing requirements of RTPR-HSE-PRO-0009 and on approved Company templates for capture in the Company business solution. Grievance records must be retained and made available for review.</w:t>
      </w:r>
    </w:p>
    <w:p>
      <w:pPr>
        <w:pStyle w:val="Heading2Numbered_"/>
        <w:spacing w:after="40" w:before="200"/>
      </w:pPr>
      <w:r>
        <w:rPr>
          <w:rFonts w:ascii="Arial" w:cs="Arial" w:eastAsia="Arial" w:hAnsi="Arial"/>
          <w:b/>
          <w:sz w:val="20"/>
          <w:szCs w:val="20"/>
        </w:rPr>
        <w:t xml:space="preserve">Human Rights</w:t>
      </w:r>
    </w:p>
    <w:p>
      <w:pPr>
        <w:pStyle w:val="ListParagraph"/>
        <w:numPr>
          <w:ilvl w:val="0"/>
          <w:numId w:val="2"/>
        </w:numPr>
        <w:spacing w:after="40" w:before="40"/>
      </w:pPr>
      <w:r>
        <w:rPr>
          <w:rFonts w:ascii="Arial" w:cs="Arial" w:eastAsia="Arial" w:hAnsi="Arial"/>
          <w:b/>
          <w:bCs/>
          <w:color w:val="375623"/>
          <w:sz w:val="19"/>
          <w:szCs w:val="19"/>
        </w:rPr>
        <w:t xml:space="preserve">[APPC – Appendix C, C-5 §101.6.1]  </w:t>
      </w:r>
      <w:r>
        <w:rPr>
          <w:rFonts w:ascii="Arial" w:cs="Arial" w:eastAsia="Arial" w:hAnsi="Arial"/>
          <w:color w:val="2D2D2D"/>
          <w:sz w:val="19"/>
          <w:szCs w:val="19"/>
        </w:rPr>
        <w:t xml:space="preserve">Require compliance with the Company Supplier Code of Conduct and all applicable laws directed to criminalising, regulating, or preventing modern slavery. The Contractor must take active steps to identify and address modern slavery risks in its own operations and supply chain.</w:t>
      </w:r>
    </w:p>
    <w:p>
      <w:pPr>
        <w:pStyle w:val="ListParagraph"/>
        <w:numPr>
          <w:ilvl w:val="0"/>
          <w:numId w:val="2"/>
        </w:numPr>
        <w:spacing w:after="40" w:before="40"/>
      </w:pPr>
      <w:r>
        <w:rPr>
          <w:rFonts w:ascii="Arial" w:cs="Arial" w:eastAsia="Arial" w:hAnsi="Arial"/>
          <w:b/>
          <w:bCs/>
          <w:color w:val="375623"/>
          <w:sz w:val="19"/>
          <w:szCs w:val="19"/>
        </w:rPr>
        <w:t xml:space="preserve">[APPC – Appendix C, C-5 §101.6.2]  </w:t>
      </w:r>
      <w:r>
        <w:rPr>
          <w:rFonts w:ascii="Arial" w:cs="Arial" w:eastAsia="Arial" w:hAnsi="Arial"/>
          <w:color w:val="2D2D2D"/>
          <w:sz w:val="19"/>
          <w:szCs w:val="19"/>
        </w:rPr>
        <w:t xml:space="preserve">Require respect for human rights and reasonable steps to prevent and address involvement in abuses of internationally recognised human rights, including in accordance with the United Nations Guiding Principles on Business and Human Rights.</w:t>
      </w:r>
    </w:p>
    <w:p>
      <w:pPr>
        <w:pStyle w:val="ListParagraph"/>
        <w:numPr>
          <w:ilvl w:val="0"/>
          <w:numId w:val="2"/>
        </w:numPr>
        <w:spacing w:after="40" w:before="40"/>
      </w:pPr>
      <w:r>
        <w:rPr>
          <w:rFonts w:ascii="Arial" w:cs="Arial" w:eastAsia="Arial" w:hAnsi="Arial"/>
          <w:b/>
          <w:bCs/>
          <w:color w:val="375623"/>
          <w:sz w:val="19"/>
          <w:szCs w:val="19"/>
        </w:rPr>
        <w:t xml:space="preserve">[APPC – Appendix C, C-5 §101.6.4]  </w:t>
      </w:r>
      <w:r>
        <w:rPr>
          <w:rFonts w:ascii="Arial" w:cs="Arial" w:eastAsia="Arial" w:hAnsi="Arial"/>
          <w:color w:val="2D2D2D"/>
          <w:sz w:val="19"/>
          <w:szCs w:val="19"/>
        </w:rPr>
        <w:t xml:space="preserve">Require provision for, or cooperation in, remediation for any adverse human rights impacts the Contractor is deemed to have caused or contributed to, in line with the UN Guiding Principles on Business and Human Rights.</w:t>
      </w:r>
    </w:p>
    <w:p>
      <w:pPr>
        <w:pStyle w:val="Heading2Numbered_"/>
        <w:spacing w:after="40" w:before="200"/>
      </w:pPr>
      <w:r>
        <w:rPr>
          <w:rFonts w:ascii="Arial" w:cs="Arial" w:eastAsia="Arial" w:hAnsi="Arial"/>
          <w:b/>
          <w:sz w:val="20"/>
          <w:szCs w:val="20"/>
        </w:rPr>
        <w:t xml:space="preserve">Cultural Heritage Management</w:t>
      </w:r>
    </w:p>
    <w:p>
      <w:pPr>
        <w:pStyle w:val="ListParagraph"/>
        <w:numPr>
          <w:ilvl w:val="0"/>
          <w:numId w:val="2"/>
        </w:numPr>
        <w:spacing w:after="40" w:before="40"/>
      </w:pPr>
      <w:r>
        <w:rPr>
          <w:rFonts w:ascii="Arial" w:cs="Arial" w:eastAsia="Arial" w:hAnsi="Arial"/>
          <w:b/>
          <w:bCs/>
          <w:color w:val="375623"/>
          <w:sz w:val="19"/>
          <w:szCs w:val="19"/>
        </w:rPr>
        <w:t xml:space="preserve">[APPC – Appendix C, C-5 §101.7.1]  </w:t>
      </w:r>
      <w:r>
        <w:rPr>
          <w:rFonts w:ascii="Arial" w:cs="Arial" w:eastAsia="Arial" w:hAnsi="Arial"/>
          <w:color w:val="2D2D2D"/>
          <w:sz w:val="19"/>
          <w:szCs w:val="19"/>
        </w:rPr>
        <w:t xml:space="preserve">Require operation within the bounds of any cultural heritage management plans provided by the Company. Works must not proceed in areas of cultural heritage significance without written Company authorisation.</w:t>
      </w:r>
    </w:p>
    <w:p>
      <w:pPr>
        <w:pStyle w:val="ListParagraph"/>
        <w:numPr>
          <w:ilvl w:val="0"/>
          <w:numId w:val="2"/>
        </w:numPr>
        <w:spacing w:after="40" w:before="40"/>
      </w:pPr>
      <w:r>
        <w:rPr>
          <w:rFonts w:ascii="Arial" w:cs="Arial" w:eastAsia="Arial" w:hAnsi="Arial"/>
          <w:b/>
          <w:bCs/>
          <w:color w:val="375623"/>
          <w:sz w:val="19"/>
          <w:szCs w:val="19"/>
        </w:rPr>
        <w:t xml:space="preserve">[APPC – Appendix C, C-5 §101.7.3]  </w:t>
      </w:r>
      <w:r>
        <w:rPr>
          <w:rFonts w:ascii="Arial" w:cs="Arial" w:eastAsia="Arial" w:hAnsi="Arial"/>
          <w:color w:val="2D2D2D"/>
          <w:sz w:val="19"/>
          <w:szCs w:val="19"/>
        </w:rPr>
        <w:t xml:space="preserve">Require provision of relevant cultural heritage training to all personnel, subcontractors, and visitors to ensure the Works are managed in a culturally responsible manner, preventing harm to cultural values, heritage sites, and community relationships.</w:t>
      </w:r>
    </w:p>
    <w:p>
      <w:pPr>
        <w:pStyle w:val="ListParagraph"/>
        <w:numPr>
          <w:ilvl w:val="0"/>
          <w:numId w:val="2"/>
        </w:numPr>
        <w:spacing w:after="40" w:before="40"/>
      </w:pPr>
      <w:r>
        <w:rPr>
          <w:rFonts w:ascii="Arial" w:cs="Arial" w:eastAsia="Arial" w:hAnsi="Arial"/>
          <w:b/>
          <w:bCs/>
          <w:color w:val="375623"/>
          <w:sz w:val="19"/>
          <w:szCs w:val="19"/>
        </w:rPr>
        <w:t xml:space="preserve">[APPC – Appendix C, C-5 §101.7.6]  </w:t>
      </w:r>
      <w:r>
        <w:rPr>
          <w:rFonts w:ascii="Arial" w:cs="Arial" w:eastAsia="Arial" w:hAnsi="Arial"/>
          <w:color w:val="2D2D2D"/>
          <w:sz w:val="19"/>
          <w:szCs w:val="19"/>
        </w:rPr>
        <w:t xml:space="preserve">Require adherence to the Company Chance Find Procedure, including regular communication of the procedure to all personnel and subcontractors. All personnel must be trained in the Chance Find Procedure before commencing any ground disturbance activities.</w:t>
      </w:r>
    </w:p>
    <w:p>
      <w:pPr>
        <w:pStyle w:val="ListParagraph"/>
        <w:numPr>
          <w:ilvl w:val="0"/>
          <w:numId w:val="2"/>
        </w:numPr>
        <w:spacing w:after="40" w:before="40"/>
      </w:pPr>
      <w:r>
        <w:rPr>
          <w:rFonts w:ascii="Arial" w:cs="Arial" w:eastAsia="Arial" w:hAnsi="Arial"/>
          <w:b/>
          <w:bCs/>
          <w:color w:val="375623"/>
          <w:sz w:val="19"/>
          <w:szCs w:val="19"/>
        </w:rPr>
        <w:t xml:space="preserve">[APPC – Appendix C, C-5 §101.7.7]  </w:t>
      </w:r>
      <w:r>
        <w:rPr>
          <w:rFonts w:ascii="Arial" w:cs="Arial" w:eastAsia="Arial" w:hAnsi="Arial"/>
          <w:color w:val="2D2D2D"/>
          <w:sz w:val="19"/>
          <w:szCs w:val="19"/>
        </w:rPr>
        <w:t xml:space="preserve">Require that work stops and the Company is notified immediately upon locating any item of potential cultural significance including artefacts, fossils, objects of antiquity, or items of anthropological or archaeological interest — refer RTPR-HSE-PRO-0037 for ground disturbance requirements.</w:t>
      </w:r>
    </w:p>
    <w:p>
      <w:pPr>
        <w:pStyle w:val="Heading2Numbered_"/>
        <w:spacing w:after="40" w:before="200"/>
      </w:pPr>
      <w:r>
        <w:rPr>
          <w:rFonts w:ascii="Arial" w:cs="Arial" w:eastAsia="Arial" w:hAnsi="Arial"/>
          <w:b/>
          <w:sz w:val="20"/>
          <w:szCs w:val="20"/>
        </w:rPr>
        <w:t xml:space="preserve">Local and Indigenous Participation</w:t>
      </w:r>
    </w:p>
    <w:p>
      <w:pPr>
        <w:pStyle w:val="ListParagraph"/>
        <w:numPr>
          <w:ilvl w:val="0"/>
          <w:numId w:val="2"/>
        </w:numPr>
        <w:spacing w:after="40" w:before="40"/>
      </w:pPr>
      <w:r>
        <w:rPr>
          <w:rFonts w:ascii="Arial" w:cs="Arial" w:eastAsia="Arial" w:hAnsi="Arial"/>
          <w:b/>
          <w:bCs/>
          <w:color w:val="375623"/>
          <w:sz w:val="19"/>
          <w:szCs w:val="19"/>
        </w:rPr>
        <w:t xml:space="preserve">[APPC – Appendix C, C-5 §101.9.1]  </w:t>
      </w:r>
      <w:r>
        <w:rPr>
          <w:rFonts w:ascii="Arial" w:cs="Arial" w:eastAsia="Arial" w:hAnsi="Arial"/>
          <w:color w:val="2D2D2D"/>
          <w:sz w:val="19"/>
          <w:szCs w:val="19"/>
        </w:rPr>
        <w:t xml:space="preserve">Require development and implementation of a proactive policy for opportunities for local and Indigenous peoples in delivering the Works. Details of this policy must be included in the CSP Management Plan and submitted to the Company for review before project mobilisation.</w:t>
      </w:r>
    </w:p>
    <w:p>
      <w:pPr>
        <w:pStyle w:val="ListParagraph"/>
        <w:numPr>
          <w:ilvl w:val="0"/>
          <w:numId w:val="2"/>
        </w:numPr>
        <w:spacing w:after="40" w:before="40"/>
      </w:pPr>
      <w:r>
        <w:rPr>
          <w:rFonts w:ascii="Arial" w:cs="Arial" w:eastAsia="Arial" w:hAnsi="Arial"/>
          <w:b/>
          <w:bCs/>
          <w:color w:val="375623"/>
          <w:sz w:val="19"/>
          <w:szCs w:val="19"/>
        </w:rPr>
        <w:t xml:space="preserve">[APPC – Appendix C, C-5 §101.9.2]  </w:t>
      </w:r>
      <w:r>
        <w:rPr>
          <w:rFonts w:ascii="Arial" w:cs="Arial" w:eastAsia="Arial" w:hAnsi="Arial"/>
          <w:color w:val="2D2D2D"/>
          <w:sz w:val="19"/>
          <w:szCs w:val="19"/>
        </w:rPr>
        <w:t xml:space="preserve">Require setting of targets, in agreement with the Company and appropriate to the socio-economic context, for local and Indigenous participation in employment, training, and procurement opportunities. Targets must be measurable and reported on at agreed intervals.</w:t>
      </w:r>
    </w:p>
    <w:p>
      <w:pPr>
        <w:pStyle w:val="ListParagraph"/>
        <w:numPr>
          <w:ilvl w:val="0"/>
          <w:numId w:val="2"/>
        </w:numPr>
        <w:spacing w:after="40" w:before="40"/>
      </w:pPr>
      <w:r>
        <w:rPr>
          <w:rFonts w:ascii="Arial" w:cs="Arial" w:eastAsia="Arial" w:hAnsi="Arial"/>
          <w:b/>
          <w:bCs/>
          <w:color w:val="375623"/>
          <w:sz w:val="19"/>
          <w:szCs w:val="19"/>
        </w:rPr>
        <w:t xml:space="preserve">[APPC – Appendix C, C-5 §101.9.5]  </w:t>
      </w:r>
      <w:r>
        <w:rPr>
          <w:rFonts w:ascii="Arial" w:cs="Arial" w:eastAsia="Arial" w:hAnsi="Arial"/>
          <w:color w:val="2D2D2D"/>
          <w:sz w:val="19"/>
          <w:szCs w:val="19"/>
        </w:rPr>
        <w:t xml:space="preserve">Require tracking and reporting of participation performance data to the Company, including identification of any barriers to achieving targets or objectives and proposed remediation actions.</w:t>
      </w:r>
    </w:p>
    <w:p>
      <w:pPr>
        <w:pStyle w:val="ListParagraph"/>
        <w:numPr>
          <w:ilvl w:val="0"/>
          <w:numId w:val="2"/>
        </w:numPr>
        <w:spacing w:after="40" w:before="40"/>
      </w:pPr>
      <w:r>
        <w:rPr>
          <w:rFonts w:ascii="Arial" w:cs="Arial" w:eastAsia="Arial" w:hAnsi="Arial"/>
          <w:b/>
          <w:bCs/>
          <w:color w:val="375623"/>
          <w:sz w:val="19"/>
          <w:szCs w:val="19"/>
        </w:rPr>
        <w:t xml:space="preserve">[APPC – Appendix C, C-5 §101.10.1]  </w:t>
      </w:r>
      <w:r>
        <w:rPr>
          <w:rFonts w:ascii="Arial" w:cs="Arial" w:eastAsia="Arial" w:hAnsi="Arial"/>
          <w:color w:val="2D2D2D"/>
          <w:sz w:val="19"/>
          <w:szCs w:val="19"/>
        </w:rPr>
        <w:t xml:space="preserve">Require that no independent donations, sponsorships, projects, or programmes with host communities or local businesses are committed to or initiated without prior approval from the Company.</w:t>
      </w:r>
    </w:p>
    <w:p>
      <w:pPr>
        <w:pStyle w:val="Normal"/>
        <w:spacing w:after="40" w:before="120"/>
      </w:pPr>
      <w:r>
        <w:rPr>
          <w:b/>
          <w:color w:val="C55A11"/>
          <w:sz w:val="19"/>
        </w:rPr>
        <w:t xml:space="preserve">PROJECT COMPLETION GUIDANCE — </w:t>
      </w:r>
      <w:r>
        <w:rPr>
          <w:i/>
          <w:color w:val="C55A11"/>
          <w:sz w:val="19"/>
        </w:rPr>
        <w:t>Actions required to complete this procedure for your specific project</w:t>
      </w:r>
    </w:p>
    <w:p>
      <w:pPr>
        <w:pStyle w:val="Normal"/>
        <w:spacing w:after="20" w:before="0"/>
      </w:pPr>
      <w:r>
        <w:rPr>
          <w:i/>
          <w:color w:val="C55A11"/>
          <w:sz w:val="17"/>
        </w:rPr>
        <w:t>Each item below represents a decision, action, or piece of project-specific information that must be confirmed, documented, or inserted by the project team before this procedure is issued at 100%.</w:t>
      </w:r>
    </w:p>
    <w:p>
      <w:pPr>
        <w:pStyle w:val="ListParagraph"/>
        <w:numPr>
          <w:ilvl w:val="0"/>
          <w:numId w:val="3"/>
        </w:numPr>
        <w:spacing w:after="40" w:before="40"/>
      </w:pPr>
      <w:r>
        <w:rPr>
          <w:rFonts w:ascii="Arial" w:cs="Arial" w:eastAsia="Arial" w:hAnsi="Arial"/>
          <w:sz w:val="19"/>
          <w:szCs w:val="19"/>
        </w:rPr>
        <w:t xml:space="preserve">Define the CSP risk profile for this project based on the specific host community context, socio-economic environment, and presence of Indigenous or land-connected peoples. This assessment must be completed before mobilisation.</w:t>
      </w:r>
    </w:p>
    <w:p>
      <w:pPr>
        <w:pStyle w:val="ListParagraph"/>
        <w:numPr>
          <w:ilvl w:val="0"/>
          <w:numId w:val="3"/>
        </w:numPr>
        <w:spacing w:after="40" w:before="40"/>
      </w:pPr>
      <w:r>
        <w:rPr>
          <w:rFonts w:ascii="Arial" w:cs="Arial" w:eastAsia="Arial" w:hAnsi="Arial"/>
          <w:sz w:val="19"/>
          <w:szCs w:val="19"/>
        </w:rPr>
        <w:t xml:space="preserve">Appoint a trained and competent professional to manage CSP issues for this project, with the right level of authority and skills relevant to the socio-economic context and scope. Document the appointment in the project organisational chart.</w:t>
      </w:r>
    </w:p>
    <w:p>
      <w:pPr>
        <w:pStyle w:val="ListParagraph"/>
        <w:numPr>
          <w:ilvl w:val="0"/>
          <w:numId w:val="3"/>
        </w:numPr>
        <w:spacing w:after="40" w:before="40"/>
      </w:pPr>
      <w:r>
        <w:rPr>
          <w:rFonts w:ascii="Arial" w:cs="Arial" w:eastAsia="Arial" w:hAnsi="Arial"/>
          <w:sz w:val="19"/>
          <w:szCs w:val="19"/>
        </w:rPr>
        <w:t xml:space="preserve">Develop the CSP Management Plan for this project, covering all sub-elements of this procedure. Submit to the Company for review before project mobilisation.</w:t>
      </w:r>
    </w:p>
    <w:p>
      <w:pPr>
        <w:pStyle w:val="ListParagraph"/>
        <w:numPr>
          <w:ilvl w:val="0"/>
          <w:numId w:val="3"/>
        </w:numPr>
        <w:spacing w:after="40" w:before="40"/>
      </w:pPr>
      <w:r>
        <w:rPr>
          <w:rFonts w:ascii="Arial" w:cs="Arial" w:eastAsia="Arial" w:hAnsi="Arial"/>
          <w:sz w:val="19"/>
          <w:szCs w:val="19"/>
        </w:rPr>
        <w:t xml:space="preserve">Confirm the local and Indigenous participation targets for this project in agreement with the Company. Insert the agreed targets into this procedure and the CSP Management Plan.</w:t>
      </w:r>
    </w:p>
    <w:p>
      <w:pPr>
        <w:pStyle w:val="ListParagraph"/>
        <w:numPr>
          <w:ilvl w:val="0"/>
          <w:numId w:val="3"/>
        </w:numPr>
        <w:spacing w:after="40" w:before="40"/>
      </w:pPr>
      <w:r>
        <w:rPr>
          <w:rFonts w:ascii="Arial" w:cs="Arial" w:eastAsia="Arial" w:hAnsi="Arial"/>
          <w:sz w:val="19"/>
          <w:szCs w:val="19"/>
        </w:rPr>
        <w:t xml:space="preserve">Define the cultural heritage management approach for this project based on Company-provided cultural heritage clearances, heritage surveys, and any applicable heritage management plans. Insert or reference the project Chance Find Procedure here.</w:t>
      </w:r>
    </w:p>
    <w:p>
      <w:pPr>
        <w:pStyle w:val="Heading1Numbered_"/>
        <w:spacing w:after="80" w:before="360"/>
      </w:pPr>
      <w:r>
        <w:rPr>
          <w:rFonts w:ascii="Arial" w:cs="Arial" w:eastAsia="Arial" w:hAnsi="Arial"/>
          <w:b/>
          <w:sz w:val="24"/>
          <w:szCs w:val="24"/>
        </w:rPr>
        <w:t xml:space="preserve">Leadership Development Programme Procedure</w:t>
      </w:r>
    </w:p>
    <w:p>
      <w:pPr>
        <w:pStyle w:val="Normal"/>
        <w:spacing w:after="40" w:before="40"/>
      </w:pPr>
      <w:r>
        <w:rPr>
          <w:rFonts w:ascii="Arial" w:cs="Arial" w:eastAsia="Arial" w:hAnsi="Arial"/>
          <w:b/>
          <w:sz w:val="19"/>
          <w:szCs w:val="19"/>
        </w:rPr>
        <w:t xml:space="preserve">Management System Element: </w:t>
      </w:r>
      <w:r>
        <w:rPr>
          <w:rFonts w:ascii="Arial" w:cs="Arial" w:eastAsia="Arial" w:hAnsi="Arial"/>
          <w:sz w:val="19"/>
          <w:szCs w:val="19"/>
        </w:rPr>
        <w:t xml:space="preserve">05 – Organisational Resources, Responsibilities &amp; Accountabilities     |     Document ID: RTPR-HSE-PRO-0050</w:t>
      </w:r>
    </w:p>
    <w:p>
      <w:pPr>
        <w:pStyle w:val="Normal"/>
        <w:spacing w:after="20" w:before="80"/>
      </w:pPr>
      <w:r>
        <w:rPr>
          <w:b/>
          <w:color w:val="0059D1"/>
          <w:sz w:val="17"/>
        </w:rPr>
        <w:t>DOCUMENT RELATIONSHIPS</w:t>
      </w:r>
    </w:p>
    <w:p>
      <w:pPr>
        <w:pStyle w:val="Normal"/>
        <w:spacing w:after="10" w:before="10"/>
      </w:pPr>
      <w:r>
        <w:rPr>
          <w:b/>
          <w:sz w:val="16"/>
        </w:rPr>
        <w:t>THIS DOCUMENT OWNS (information defined here; do not duplicate elsewhere):</w:t>
      </w:r>
    </w:p>
    <w:p>
      <w:pPr>
        <w:pStyle w:val="ListParagraph"/>
        <w:numPr>
          <w:ilvl w:val="0"/>
          <w:numId w:val="1"/>
        </w:numPr>
        <w:spacing w:after="20" w:before="20"/>
      </w:pPr>
      <w:r>
        <w:rPr>
          <w:rFonts w:ascii="Arial" w:cs="Arial" w:eastAsia="Arial" w:hAnsi="Arial"/>
          <w:sz w:val="16"/>
          <w:szCs w:val="16"/>
        </w:rPr>
        <w:t xml:space="preserve">► Leadership Development Implementation Plan requirements</w:t>
      </w:r>
    </w:p>
    <w:p>
      <w:pPr>
        <w:pStyle w:val="ListParagraph"/>
        <w:numPr>
          <w:ilvl w:val="0"/>
          <w:numId w:val="1"/>
        </w:numPr>
        <w:spacing w:after="20" w:before="20"/>
      </w:pPr>
      <w:r>
        <w:rPr>
          <w:rFonts w:ascii="Arial" w:cs="Arial" w:eastAsia="Arial" w:hAnsi="Arial"/>
          <w:sz w:val="16"/>
          <w:szCs w:val="16"/>
        </w:rPr>
        <w:t xml:space="preserve">► Contractor Leadership Team charter requirements</w:t>
      </w:r>
    </w:p>
    <w:p>
      <w:pPr>
        <w:pStyle w:val="ListParagraph"/>
        <w:numPr>
          <w:ilvl w:val="0"/>
          <w:numId w:val="1"/>
        </w:numPr>
        <w:spacing w:after="20" w:before="20"/>
      </w:pPr>
      <w:r>
        <w:rPr>
          <w:rFonts w:ascii="Arial" w:cs="Arial" w:eastAsia="Arial" w:hAnsi="Arial"/>
          <w:sz w:val="16"/>
          <w:szCs w:val="16"/>
        </w:rPr>
        <w:t xml:space="preserve">► Cultural assessment tools and methodology</w:t>
      </w:r>
    </w:p>
    <w:p>
      <w:pPr>
        <w:pStyle w:val="ListParagraph"/>
        <w:numPr>
          <w:ilvl w:val="0"/>
          <w:numId w:val="1"/>
        </w:numPr>
        <w:spacing w:after="20" w:before="20"/>
      </w:pPr>
      <w:r>
        <w:rPr>
          <w:rFonts w:ascii="Arial" w:cs="Arial" w:eastAsia="Arial" w:hAnsi="Arial"/>
          <w:sz w:val="16"/>
          <w:szCs w:val="16"/>
        </w:rPr>
        <w:t xml:space="preserve">► Leadership development activities by project phase</w:t>
      </w:r>
    </w:p>
    <w:p>
      <w:pPr>
        <w:pStyle w:val="ListParagraph"/>
        <w:numPr>
          <w:ilvl w:val="0"/>
          <w:numId w:val="1"/>
        </w:numPr>
        <w:spacing w:after="20" w:before="20"/>
      </w:pPr>
      <w:r>
        <w:rPr>
          <w:rFonts w:ascii="Arial" w:cs="Arial" w:eastAsia="Arial" w:hAnsi="Arial"/>
          <w:sz w:val="16"/>
          <w:szCs w:val="16"/>
        </w:rPr>
        <w:t xml:space="preserve">► Internal coaching capability requirements</w:t>
      </w:r>
    </w:p>
    <w:p>
      <w:pPr>
        <w:pStyle w:val="ListParagraph"/>
        <w:numPr>
          <w:ilvl w:val="0"/>
          <w:numId w:val="1"/>
        </w:numPr>
        <w:spacing w:after="20" w:before="20"/>
      </w:pPr>
      <w:r>
        <w:rPr>
          <w:rFonts w:ascii="Arial" w:cs="Arial" w:eastAsia="Arial" w:hAnsi="Arial"/>
          <w:sz w:val="16"/>
          <w:szCs w:val="16"/>
        </w:rPr>
        <w:t xml:space="preserve">► Leadership programme budget and schedule</w:t>
      </w:r>
    </w:p>
    <w:p>
      <w:pPr>
        <w:pStyle w:val="Normal"/>
        <w:spacing w:after="10" w:before="10"/>
      </w:pPr>
      <w:r>
        <w:rPr>
          <w:b/>
          <w:sz w:val="16"/>
        </w:rPr>
        <w:t>THIS DOCUMENT REFERENCES (do not repeat this content — point here instead):</w:t>
      </w:r>
    </w:p>
    <w:p>
      <w:pPr>
        <w:pStyle w:val="ListParagraph"/>
        <w:numPr>
          <w:ilvl w:val="0"/>
          <w:numId w:val="1"/>
        </w:numPr>
        <w:spacing w:after="20" w:before="20"/>
      </w:pPr>
      <w:r>
        <w:rPr>
          <w:rFonts w:ascii="Arial" w:cs="Arial" w:eastAsia="Arial" w:hAnsi="Arial"/>
          <w:sz w:val="16"/>
          <w:szCs w:val="16"/>
        </w:rPr>
        <w:t xml:space="preserve">► RTPR-HSE-PRO-0003 – Organisational Resources (leadership team composition and governance)</w:t>
      </w:r>
    </w:p>
    <w:p>
      <w:pPr>
        <w:pStyle w:val="ListParagraph"/>
        <w:numPr>
          <w:ilvl w:val="0"/>
          <w:numId w:val="1"/>
        </w:numPr>
        <w:spacing w:after="20" w:before="20"/>
      </w:pPr>
      <w:r>
        <w:rPr>
          <w:rFonts w:ascii="Arial" w:cs="Arial" w:eastAsia="Arial" w:hAnsi="Arial"/>
          <w:sz w:val="16"/>
          <w:szCs w:val="16"/>
        </w:rPr>
        <w:t xml:space="preserve">► RTPR-HSE-PRO-0004 – Training (field supervisor development and LiF programme)</w:t>
      </w:r>
    </w:p>
    <w:p>
      <w:pPr>
        <w:pStyle w:val="ListParagraph"/>
        <w:numPr>
          <w:ilvl w:val="0"/>
          <w:numId w:val="1"/>
        </w:numPr>
        <w:spacing w:after="20" w:before="20"/>
      </w:pPr>
      <w:r>
        <w:rPr>
          <w:rFonts w:ascii="Arial" w:cs="Arial" w:eastAsia="Arial" w:hAnsi="Arial"/>
          <w:sz w:val="16"/>
          <w:szCs w:val="16"/>
        </w:rPr>
        <w:t xml:space="preserve">► RTPR-HSE-PRO-0011 – Communication (pre-start meetings and toolbox talks as leadership channels)</w:t>
      </w:r>
    </w:p>
    <w:p>
      <w:pPr>
        <w:pStyle w:val="Normal"/>
        <w:spacing w:after="10" w:before="10"/>
      </w:pPr>
      <w:r>
        <w:rPr>
          <w:b/>
          <w:sz w:val="16"/>
        </w:rPr>
        <w:t>THIS DOCUMENT IS REFERENCED BY:</w:t>
      </w:r>
    </w:p>
    <w:p>
      <w:pPr>
        <w:pStyle w:val="ListParagraph"/>
        <w:numPr>
          <w:ilvl w:val="0"/>
          <w:numId w:val="1"/>
        </w:numPr>
        <w:spacing w:after="20" w:before="20"/>
      </w:pPr>
      <w:r>
        <w:rPr>
          <w:rFonts w:ascii="Arial" w:cs="Arial" w:eastAsia="Arial" w:hAnsi="Arial"/>
          <w:sz w:val="16"/>
          <w:szCs w:val="16"/>
        </w:rPr>
        <w:t xml:space="preserve">► RTPR-HSE-PRO-0003 – Organisational Resources (references this procedure for leadership programme requirements)</w:t>
      </w:r>
    </w:p>
    <w:p>
      <w:pPr>
        <w:pStyle w:val="Normal"/>
        <w:spacing w:after="60" w:before="40"/>
      </w:pPr>
      <w:r>
        <w:rPr>
          <w:rFonts w:ascii="Arial" w:cs="Arial" w:eastAsia="Arial" w:hAnsi="Arial"/>
          <w:color w:val="2D2D2D"/>
          <w:sz w:val="19"/>
          <w:szCs w:val="19"/>
        </w:rPr>
        <w:t xml:space="preserve">This procedure defines requirements for developing, implementing, and sustaining a leadership culture across the owner-led project that aligns with the Company values of Care, Courage, and Curiosity. Leadership behaviours at all levels play a critical role in shaping safety culture and project outcomes. The Leadership Development Programme must be applied consistently across all project phases: planning, pre-mobilisation, mobilisation, execution, and demobilisation.</w:t>
      </w:r>
    </w:p>
    <w:p>
      <w:pPr>
        <w:pStyle w:val="Heading2Numbered_"/>
        <w:spacing w:after="40" w:before="200"/>
      </w:pPr>
      <w:r>
        <w:rPr>
          <w:rFonts w:ascii="Arial" w:cs="Arial" w:eastAsia="Arial" w:hAnsi="Arial"/>
          <w:b/>
          <w:sz w:val="20"/>
          <w:szCs w:val="20"/>
        </w:rPr>
        <w:t xml:space="preserve">Leadership Development Implementation Plan</w:t>
      </w:r>
    </w:p>
    <w:p>
      <w:pPr>
        <w:pStyle w:val="ListParagraph"/>
        <w:numPr>
          <w:ilvl w:val="0"/>
          <w:numId w:val="2"/>
        </w:numPr>
        <w:spacing w:after="40" w:before="40"/>
      </w:pPr>
      <w:r>
        <w:rPr>
          <w:rFonts w:ascii="Arial" w:cs="Arial" w:eastAsia="Arial" w:hAnsi="Arial"/>
          <w:b/>
          <w:bCs/>
          <w:color w:val="375623"/>
          <w:sz w:val="19"/>
          <w:szCs w:val="19"/>
        </w:rPr>
        <w:t xml:space="preserve">[APPC – Appendix C, C-6 §106.1.1]  </w:t>
      </w:r>
      <w:r>
        <w:rPr>
          <w:rFonts w:ascii="Arial" w:cs="Arial" w:eastAsia="Arial" w:hAnsi="Arial"/>
          <w:color w:val="2D2D2D"/>
          <w:sz w:val="19"/>
          <w:szCs w:val="19"/>
        </w:rPr>
        <w:t xml:space="preserve">Require development of a Leadership Development Implementation Plan covering all project phases. The plan must set objectives for leadership culture aligned with Company values, define key activities to measure, establish, develop, and sustain leadership at all levels, include a budget, and provide a schedule of activities by phase.</w:t>
      </w:r>
    </w:p>
    <w:p>
      <w:pPr>
        <w:pStyle w:val="ListParagraph"/>
        <w:numPr>
          <w:ilvl w:val="0"/>
          <w:numId w:val="2"/>
        </w:numPr>
        <w:spacing w:after="40" w:before="40"/>
      </w:pPr>
      <w:r>
        <w:rPr>
          <w:rFonts w:ascii="Arial" w:cs="Arial" w:eastAsia="Arial" w:hAnsi="Arial"/>
          <w:b/>
          <w:bCs/>
          <w:color w:val="375623"/>
          <w:sz w:val="19"/>
          <w:szCs w:val="19"/>
        </w:rPr>
        <w:t xml:space="preserve">[APPC – Appendix C, C-6 §106.1.2]  </w:t>
      </w:r>
      <w:r>
        <w:rPr>
          <w:rFonts w:ascii="Arial" w:cs="Arial" w:eastAsia="Arial" w:hAnsi="Arial"/>
          <w:color w:val="2D2D2D"/>
          <w:sz w:val="19"/>
          <w:szCs w:val="19"/>
        </w:rPr>
        <w:t xml:space="preserve">Require the plan to include: a meaningful purpose statement relating to leadership and culture; key activities mapped to each project phase; roles and responsibilities for plan delivery; resources required to deliver and participate in the plan; and a schedule of activities.</w:t>
      </w:r>
    </w:p>
    <w:p>
      <w:pPr>
        <w:pStyle w:val="ListParagraph"/>
        <w:numPr>
          <w:ilvl w:val="0"/>
          <w:numId w:val="2"/>
        </w:numPr>
        <w:spacing w:after="40" w:before="40"/>
      </w:pPr>
      <w:r>
        <w:rPr>
          <w:rFonts w:ascii="Arial" w:cs="Arial" w:eastAsia="Arial" w:hAnsi="Arial"/>
          <w:b/>
          <w:bCs/>
          <w:color w:val="375623"/>
          <w:sz w:val="19"/>
          <w:szCs w:val="19"/>
        </w:rPr>
        <w:t xml:space="preserve">[APPC – Appendix C, C-6 §106.1.3]  </w:t>
      </w:r>
      <w:r>
        <w:rPr>
          <w:rFonts w:ascii="Arial" w:cs="Arial" w:eastAsia="Arial" w:hAnsi="Arial"/>
          <w:color w:val="2D2D2D"/>
          <w:sz w:val="19"/>
          <w:szCs w:val="19"/>
        </w:rPr>
        <w:t xml:space="preserve">Require the plan to be reviewed and refined in collaboration with the Project Leadership Team to ensure alignment with broader project expectations. The plan must be a living document, updated at the start of each project phase.</w:t>
      </w:r>
    </w:p>
    <w:p>
      <w:pPr>
        <w:pStyle w:val="Heading2Numbered_"/>
        <w:spacing w:after="40" w:before="200"/>
      </w:pPr>
      <w:r>
        <w:rPr>
          <w:rFonts w:ascii="Arial" w:cs="Arial" w:eastAsia="Arial" w:hAnsi="Arial"/>
          <w:b/>
          <w:sz w:val="20"/>
          <w:szCs w:val="20"/>
        </w:rPr>
        <w:t xml:space="preserve">Project Phases</w:t>
      </w:r>
    </w:p>
    <w:p>
      <w:pPr>
        <w:pStyle w:val="ListParagraph"/>
        <w:numPr>
          <w:ilvl w:val="0"/>
          <w:numId w:val="2"/>
        </w:numPr>
        <w:spacing w:after="40" w:before="40"/>
      </w:pPr>
      <w:r>
        <w:rPr>
          <w:rFonts w:ascii="Arial" w:cs="Arial" w:eastAsia="Arial" w:hAnsi="Arial"/>
          <w:b/>
          <w:bCs/>
          <w:color w:val="375623"/>
          <w:sz w:val="19"/>
          <w:szCs w:val="19"/>
        </w:rPr>
        <w:t xml:space="preserve">[APPC – Appendix C, C-6 §106.2]  </w:t>
      </w:r>
      <w:r>
        <w:rPr>
          <w:rFonts w:ascii="Arial" w:cs="Arial" w:eastAsia="Arial" w:hAnsi="Arial"/>
          <w:color w:val="2D2D2D"/>
          <w:sz w:val="19"/>
          <w:szCs w:val="19"/>
        </w:rPr>
        <w:t xml:space="preserve">During the Pre-mobilisation Phase, require that the Project Leadership Team and key personnel fully understand the leadership and cultural expectations for the project. This includes a formal commitment from the Contractor senior leadership and workshops or briefings to communicate leadership and cultural expectations to key personnel before mobilisation.</w:t>
      </w:r>
    </w:p>
    <w:p>
      <w:pPr>
        <w:pStyle w:val="ListParagraph"/>
        <w:numPr>
          <w:ilvl w:val="0"/>
          <w:numId w:val="2"/>
        </w:numPr>
        <w:spacing w:after="40" w:before="40"/>
      </w:pPr>
      <w:r>
        <w:rPr>
          <w:rFonts w:ascii="Arial" w:cs="Arial" w:eastAsia="Arial" w:hAnsi="Arial"/>
          <w:b/>
          <w:bCs/>
          <w:color w:val="375623"/>
          <w:sz w:val="19"/>
          <w:szCs w:val="19"/>
        </w:rPr>
        <w:t xml:space="preserve">[APPC – Appendix C, C-6 §106.3.1]  </w:t>
      </w:r>
      <w:r>
        <w:rPr>
          <w:rFonts w:ascii="Arial" w:cs="Arial" w:eastAsia="Arial" w:hAnsi="Arial"/>
          <w:color w:val="2D2D2D"/>
          <w:sz w:val="19"/>
          <w:szCs w:val="19"/>
        </w:rPr>
        <w:t xml:space="preserve">During the Mobilisation Phase, require that all Contractor personnel are inducted into the project cultural expectations and understand their responsibilities in delivering leadership outcomes. Induction programmes for managers and frontline leaders must emphasise their role in leading by example and reinforcing cultural expectations.</w:t>
      </w:r>
    </w:p>
    <w:p>
      <w:pPr>
        <w:pStyle w:val="ListParagraph"/>
        <w:numPr>
          <w:ilvl w:val="0"/>
          <w:numId w:val="2"/>
        </w:numPr>
        <w:spacing w:after="40" w:before="40"/>
      </w:pPr>
      <w:r>
        <w:rPr>
          <w:rFonts w:ascii="Arial" w:cs="Arial" w:eastAsia="Arial" w:hAnsi="Arial"/>
          <w:b/>
          <w:bCs/>
          <w:color w:val="375623"/>
          <w:sz w:val="19"/>
          <w:szCs w:val="19"/>
        </w:rPr>
        <w:t xml:space="preserve">[APPC – Appendix C, C-6 §106.4.1]  </w:t>
      </w:r>
      <w:r>
        <w:rPr>
          <w:rFonts w:ascii="Arial" w:cs="Arial" w:eastAsia="Arial" w:hAnsi="Arial"/>
          <w:color w:val="2D2D2D"/>
          <w:sz w:val="19"/>
          <w:szCs w:val="19"/>
        </w:rPr>
        <w:t xml:space="preserve">During the Execution Phase, require demonstration that leadership culture is embedded in day-to-day activities and that all personnel exhibit the desired attitudes and behaviours. Activities must include regular leadership engagements at pre-start meetings and toolbox talks, ongoing coaching and mentoring for frontline leaders, and periodic Leadership Team reviews to assess cultural progress.</w:t>
      </w:r>
    </w:p>
    <w:p>
      <w:pPr>
        <w:pStyle w:val="ListParagraph"/>
        <w:numPr>
          <w:ilvl w:val="0"/>
          <w:numId w:val="2"/>
        </w:numPr>
        <w:spacing w:after="40" w:before="40"/>
      </w:pPr>
      <w:r>
        <w:rPr>
          <w:rFonts w:ascii="Arial" w:cs="Arial" w:eastAsia="Arial" w:hAnsi="Arial"/>
          <w:b/>
          <w:bCs/>
          <w:color w:val="375623"/>
          <w:sz w:val="19"/>
          <w:szCs w:val="19"/>
        </w:rPr>
        <w:t xml:space="preserve">[APPC – Appendix C, C-6 §106.5.1]  </w:t>
      </w:r>
      <w:r>
        <w:rPr>
          <w:rFonts w:ascii="Arial" w:cs="Arial" w:eastAsia="Arial" w:hAnsi="Arial"/>
          <w:color w:val="2D2D2D"/>
          <w:sz w:val="19"/>
          <w:szCs w:val="19"/>
        </w:rPr>
        <w:t xml:space="preserve">During the Demobilisation Phase, require that Contractor personnel continue to demonstrate desired cultural behaviours through the final stages of the project. Include exit interviews or surveys to capture effectiveness of the leadership culture, and final review workshops to identify lessons learned.</w:t>
      </w:r>
    </w:p>
    <w:p>
      <w:pPr>
        <w:pStyle w:val="Heading2Numbered_"/>
        <w:spacing w:after="40" w:before="200"/>
      </w:pPr>
      <w:r>
        <w:rPr>
          <w:rFonts w:ascii="Arial" w:cs="Arial" w:eastAsia="Arial" w:hAnsi="Arial"/>
          <w:b/>
          <w:sz w:val="20"/>
          <w:szCs w:val="20"/>
        </w:rPr>
        <w:t xml:space="preserve">Contractor Leadership Team</w:t>
      </w:r>
    </w:p>
    <w:p>
      <w:pPr>
        <w:pStyle w:val="ListParagraph"/>
        <w:numPr>
          <w:ilvl w:val="0"/>
          <w:numId w:val="2"/>
        </w:numPr>
        <w:spacing w:after="40" w:before="40"/>
      </w:pPr>
      <w:r>
        <w:rPr>
          <w:rFonts w:ascii="Arial" w:cs="Arial" w:eastAsia="Arial" w:hAnsi="Arial"/>
          <w:b/>
          <w:bCs/>
          <w:color w:val="375623"/>
          <w:sz w:val="19"/>
          <w:szCs w:val="19"/>
        </w:rPr>
        <w:t xml:space="preserve">[APPC – Appendix C, C-6 §108.0.1]  </w:t>
      </w:r>
      <w:r>
        <w:rPr>
          <w:rFonts w:ascii="Arial" w:cs="Arial" w:eastAsia="Arial" w:hAnsi="Arial"/>
          <w:color w:val="2D2D2D"/>
          <w:sz w:val="19"/>
          <w:szCs w:val="19"/>
        </w:rPr>
        <w:t xml:space="preserve">Require establishment of a Contractor Leadership Team for the project to drive the Contractor project culture. The Leadership Team must: align with the Project Leadership Team around expectations and priorities; periodically consider cultural challenges and develop action plans; conduct baseline and periodic cultural assessments; and provide professional development and coaching for managers, superintendents, and frontline leaders.</w:t>
      </w:r>
    </w:p>
    <w:p>
      <w:pPr>
        <w:pStyle w:val="ListParagraph"/>
        <w:numPr>
          <w:ilvl w:val="0"/>
          <w:numId w:val="2"/>
        </w:numPr>
        <w:spacing w:after="40" w:before="40"/>
      </w:pPr>
      <w:r>
        <w:rPr>
          <w:rFonts w:ascii="Arial" w:cs="Arial" w:eastAsia="Arial" w:hAnsi="Arial"/>
          <w:b/>
          <w:bCs/>
          <w:color w:val="375623"/>
          <w:sz w:val="19"/>
          <w:szCs w:val="19"/>
        </w:rPr>
        <w:t xml:space="preserve">[APPC – Appendix C, C-6 §110.3.2.2]  </w:t>
      </w:r>
      <w:r>
        <w:rPr>
          <w:rFonts w:ascii="Arial" w:cs="Arial" w:eastAsia="Arial" w:hAnsi="Arial"/>
          <w:color w:val="2D2D2D"/>
          <w:sz w:val="19"/>
          <w:szCs w:val="19"/>
        </w:rPr>
        <w:t xml:space="preserve">Require development of a collaborative Leadership Team Charter that defines the team purpose, membership, ways of working, and meeting schedule. The charter must include a meaningful purpose statement, confirmed membership representing all Contractor entities and functional areas, and a schedule for Leadership Team meetings and reviews.</w:t>
      </w:r>
    </w:p>
    <w:p>
      <w:pPr>
        <w:pStyle w:val="ListParagraph"/>
        <w:numPr>
          <w:ilvl w:val="0"/>
          <w:numId w:val="2"/>
        </w:numPr>
        <w:spacing w:after="40" w:before="40"/>
      </w:pPr>
      <w:r>
        <w:rPr>
          <w:rFonts w:ascii="Arial" w:cs="Arial" w:eastAsia="Arial" w:hAnsi="Arial"/>
          <w:b/>
          <w:bCs/>
          <w:color w:val="375623"/>
          <w:sz w:val="19"/>
          <w:szCs w:val="19"/>
        </w:rPr>
        <w:t xml:space="preserve">[APPC – Appendix C, C-6 §108.0.6]  </w:t>
      </w:r>
      <w:r>
        <w:rPr>
          <w:rFonts w:ascii="Arial" w:cs="Arial" w:eastAsia="Arial" w:hAnsi="Arial"/>
          <w:color w:val="2D2D2D"/>
          <w:sz w:val="19"/>
          <w:szCs w:val="19"/>
        </w:rPr>
        <w:t xml:space="preserve">Require that Contractor personnel are empowered to be accountable to deliver project outcomes in a way that demonstrates leadership cascading with impact down to individual task level.</w:t>
      </w:r>
    </w:p>
    <w:p>
      <w:pPr>
        <w:pStyle w:val="Heading2Numbered_"/>
        <w:spacing w:after="40" w:before="200"/>
      </w:pPr>
      <w:r>
        <w:rPr>
          <w:rFonts w:ascii="Arial" w:cs="Arial" w:eastAsia="Arial" w:hAnsi="Arial"/>
          <w:b/>
          <w:sz w:val="20"/>
          <w:szCs w:val="20"/>
        </w:rPr>
        <w:t xml:space="preserve">Cultural Assessment</w:t>
      </w:r>
    </w:p>
    <w:p>
      <w:pPr>
        <w:pStyle w:val="ListParagraph"/>
        <w:numPr>
          <w:ilvl w:val="0"/>
          <w:numId w:val="2"/>
        </w:numPr>
        <w:spacing w:after="40" w:before="40"/>
      </w:pPr>
      <w:r>
        <w:rPr>
          <w:rFonts w:ascii="Arial" w:cs="Arial" w:eastAsia="Arial" w:hAnsi="Arial"/>
          <w:b/>
          <w:bCs/>
          <w:color w:val="375623"/>
          <w:sz w:val="19"/>
          <w:szCs w:val="19"/>
        </w:rPr>
        <w:t xml:space="preserve">[APPC – Appendix C, C-6 §110.3.3.1]  </w:t>
      </w:r>
      <w:r>
        <w:rPr>
          <w:rFonts w:ascii="Arial" w:cs="Arial" w:eastAsia="Arial" w:hAnsi="Arial"/>
          <w:color w:val="2D2D2D"/>
          <w:sz w:val="19"/>
          <w:szCs w:val="19"/>
        </w:rPr>
        <w:t xml:space="preserve">Require inclusion of tools to measure the effectiveness of leadership, incorporating lead indicators of the health of the project culture. Tools must capture data to inform the Contractor Leadership Team in developing focus areas and action plans.</w:t>
      </w:r>
    </w:p>
    <w:p>
      <w:pPr>
        <w:pStyle w:val="ListParagraph"/>
        <w:numPr>
          <w:ilvl w:val="0"/>
          <w:numId w:val="2"/>
        </w:numPr>
        <w:spacing w:after="40" w:before="40"/>
      </w:pPr>
      <w:r>
        <w:rPr>
          <w:rFonts w:ascii="Arial" w:cs="Arial" w:eastAsia="Arial" w:hAnsi="Arial"/>
          <w:b/>
          <w:bCs/>
          <w:color w:val="375623"/>
          <w:sz w:val="19"/>
          <w:szCs w:val="19"/>
        </w:rPr>
        <w:t xml:space="preserve">[APPC – Appendix C, C-6 §108.0.4]  </w:t>
      </w:r>
      <w:r>
        <w:rPr>
          <w:rFonts w:ascii="Arial" w:cs="Arial" w:eastAsia="Arial" w:hAnsi="Arial"/>
          <w:color w:val="2D2D2D"/>
          <w:sz w:val="19"/>
          <w:szCs w:val="19"/>
        </w:rPr>
        <w:t xml:space="preserve">Require baseline and periodic assessment of the Contractor leadership culture at all levels to inform Leadership Team planning. Assessments must be conducted at the start of the project and at defined intervals throughout execution.</w:t>
      </w:r>
    </w:p>
    <w:p>
      <w:pPr>
        <w:pStyle w:val="Heading2Numbered_"/>
        <w:spacing w:after="40" w:before="200"/>
      </w:pPr>
      <w:r>
        <w:rPr>
          <w:rFonts w:ascii="Arial" w:cs="Arial" w:eastAsia="Arial" w:hAnsi="Arial"/>
          <w:b/>
          <w:sz w:val="20"/>
          <w:szCs w:val="20"/>
        </w:rPr>
        <w:t xml:space="preserve">Internal Coaching Capability</w:t>
      </w:r>
    </w:p>
    <w:p>
      <w:pPr>
        <w:pStyle w:val="ListParagraph"/>
        <w:numPr>
          <w:ilvl w:val="0"/>
          <w:numId w:val="2"/>
        </w:numPr>
        <w:spacing w:after="40" w:before="40"/>
      </w:pPr>
      <w:r>
        <w:rPr>
          <w:rFonts w:ascii="Arial" w:cs="Arial" w:eastAsia="Arial" w:hAnsi="Arial"/>
          <w:b/>
          <w:bCs/>
          <w:color w:val="375623"/>
          <w:sz w:val="19"/>
          <w:szCs w:val="19"/>
        </w:rPr>
        <w:t xml:space="preserve">[APPC – Appendix C, C-6 §110.3.4.1]  </w:t>
      </w:r>
      <w:r>
        <w:rPr>
          <w:rFonts w:ascii="Arial" w:cs="Arial" w:eastAsia="Arial" w:hAnsi="Arial"/>
          <w:color w:val="2D2D2D"/>
          <w:sz w:val="19"/>
          <w:szCs w:val="19"/>
        </w:rPr>
        <w:t xml:space="preserve">Require consideration of establishing an internal leadership coaching team focused on safety leadership and accountability. Coaches must have credibility with management through to the workforce, demonstrate personal commitment to safety culture, and be willing to try new initiatives.</w:t>
      </w:r>
    </w:p>
    <w:p>
      <w:pPr>
        <w:pStyle w:val="ListParagraph"/>
        <w:numPr>
          <w:ilvl w:val="0"/>
          <w:numId w:val="2"/>
        </w:numPr>
        <w:spacing w:after="40" w:before="40"/>
      </w:pPr>
      <w:r>
        <w:rPr>
          <w:rFonts w:ascii="Arial" w:cs="Arial" w:eastAsia="Arial" w:hAnsi="Arial"/>
          <w:b/>
          <w:bCs/>
          <w:color w:val="375623"/>
          <w:sz w:val="19"/>
          <w:szCs w:val="19"/>
        </w:rPr>
        <w:t xml:space="preserve">[APPC – Appendix C, C-6 §110.3.4.8]  </w:t>
      </w:r>
      <w:r>
        <w:rPr>
          <w:rFonts w:ascii="Arial" w:cs="Arial" w:eastAsia="Arial" w:hAnsi="Arial"/>
          <w:color w:val="2D2D2D"/>
          <w:sz w:val="19"/>
          <w:szCs w:val="19"/>
        </w:rPr>
        <w:t xml:space="preserve">Require that coaches receive initial and ongoing training and development in: facilitating discussions; presenting new ideas; and basic coaching techniques. Coaches must be used as a key resource to encourage team participation in JHA and Take 5 processes, promote active workforce participation in pre-starts, improve the quality of leadership in the field engagements, and normalise and role-model effective leadership.</w:t>
      </w:r>
    </w:p>
    <w:p>
      <w:pPr>
        <w:pStyle w:val="Normal"/>
        <w:spacing w:after="40" w:before="120"/>
      </w:pPr>
      <w:r>
        <w:rPr>
          <w:b/>
          <w:color w:val="C55A11"/>
          <w:sz w:val="19"/>
        </w:rPr>
        <w:t xml:space="preserve">PROJECT COMPLETION GUIDANCE — </w:t>
      </w:r>
      <w:r>
        <w:rPr>
          <w:i/>
          <w:color w:val="C55A11"/>
          <w:sz w:val="19"/>
        </w:rPr>
        <w:t>Actions required to complete this procedure for your specific project</w:t>
      </w:r>
    </w:p>
    <w:p>
      <w:pPr>
        <w:pStyle w:val="Normal"/>
        <w:spacing w:after="20" w:before="0"/>
      </w:pPr>
      <w:r>
        <w:rPr>
          <w:i/>
          <w:color w:val="C55A11"/>
          <w:sz w:val="17"/>
        </w:rPr>
        <w:t>Each item below represents a decision, action, or piece of project-specific information that must be confirmed, documented, or inserted by the project team before this procedure is issued at 100%.</w:t>
      </w:r>
    </w:p>
    <w:p>
      <w:pPr>
        <w:pStyle w:val="ListParagraph"/>
        <w:numPr>
          <w:ilvl w:val="0"/>
          <w:numId w:val="3"/>
        </w:numPr>
        <w:spacing w:after="40" w:before="40"/>
      </w:pPr>
      <w:r>
        <w:rPr>
          <w:rFonts w:ascii="Arial" w:cs="Arial" w:eastAsia="Arial" w:hAnsi="Arial"/>
          <w:sz w:val="19"/>
          <w:szCs w:val="19"/>
        </w:rPr>
        <w:t xml:space="preserve">Develop the Leadership Development Implementation Plan for this project covering all phases. The plan must include a budget and schedule. Submit to the Company for review before pre-mobilisation activities commence.</w:t>
      </w:r>
    </w:p>
    <w:p>
      <w:pPr>
        <w:pStyle w:val="ListParagraph"/>
        <w:numPr>
          <w:ilvl w:val="0"/>
          <w:numId w:val="3"/>
        </w:numPr>
        <w:spacing w:after="40" w:before="40"/>
      </w:pPr>
      <w:r>
        <w:rPr>
          <w:rFonts w:ascii="Arial" w:cs="Arial" w:eastAsia="Arial" w:hAnsi="Arial"/>
          <w:sz w:val="19"/>
          <w:szCs w:val="19"/>
        </w:rPr>
        <w:t xml:space="preserve">Establish the Contractor Leadership Team for this project and develop the team Charter. Confirm membership, purpose statement, meeting schedule, and ways of working before mobilisation.</w:t>
      </w:r>
    </w:p>
    <w:p>
      <w:pPr>
        <w:pStyle w:val="ListParagraph"/>
        <w:numPr>
          <w:ilvl w:val="0"/>
          <w:numId w:val="3"/>
        </w:numPr>
        <w:spacing w:after="40" w:before="40"/>
      </w:pPr>
      <w:r>
        <w:rPr>
          <w:rFonts w:ascii="Arial" w:cs="Arial" w:eastAsia="Arial" w:hAnsi="Arial"/>
          <w:sz w:val="19"/>
          <w:szCs w:val="19"/>
        </w:rPr>
        <w:t xml:space="preserve">Define the cultural assessment tool or methodology to be used for this project. Baseline assessment must be conducted within the first three months of execution.</w:t>
      </w:r>
    </w:p>
    <w:p>
      <w:pPr>
        <w:pStyle w:val="ListParagraph"/>
        <w:numPr>
          <w:ilvl w:val="0"/>
          <w:numId w:val="3"/>
        </w:numPr>
        <w:spacing w:after="40" w:before="40"/>
      </w:pPr>
      <w:r>
        <w:rPr>
          <w:rFonts w:ascii="Arial" w:cs="Arial" w:eastAsia="Arial" w:hAnsi="Arial"/>
          <w:sz w:val="19"/>
          <w:szCs w:val="19"/>
        </w:rPr>
        <w:t xml:space="preserve">Identify and appoint internal coaches for this project. Define their role, time allocation, training programme, and reporting relationship within the Leadership Team.</w:t>
      </w:r>
    </w:p>
    <w:p>
      <w:pPr>
        <w:pStyle w:val="ListParagraph"/>
        <w:numPr>
          <w:ilvl w:val="0"/>
          <w:numId w:val="3"/>
        </w:numPr>
        <w:spacing w:after="40" w:before="40"/>
      </w:pPr>
      <w:r>
        <w:rPr>
          <w:rFonts w:ascii="Arial" w:cs="Arial" w:eastAsia="Arial" w:hAnsi="Arial"/>
          <w:sz w:val="19"/>
          <w:szCs w:val="19"/>
        </w:rPr>
        <w:t xml:space="preserve">Define the submission evidence package demonstrating the Contractor capability to deliver the Leadership Development Programme. This must include examples of past programmes, outcomes, and lessons learned.</w:t>
      </w:r>
    </w:p>
    <w:p>
      <w:pPr>
        <w:pStyle w:val="Heading1Numbered_"/>
        <w:spacing w:after="80" w:before="360"/>
      </w:pPr>
      <w:r>
        <w:rPr>
          <w:rFonts w:ascii="Arial" w:cs="Arial" w:eastAsia="Arial" w:hAnsi="Arial"/>
          <w:b/>
          <w:sz w:val="24"/>
          <w:szCs w:val="24"/>
        </w:rPr>
        <w:t xml:space="preserve">Explosives Management Procedure</w:t>
      </w:r>
    </w:p>
    <w:p>
      <w:pPr>
        <w:pStyle w:val="Normal"/>
        <w:spacing w:after="40" w:before="40"/>
      </w:pPr>
      <w:r>
        <w:rPr>
          <w:rFonts w:ascii="Arial" w:cs="Arial" w:eastAsia="Arial" w:hAnsi="Arial"/>
          <w:b/>
          <w:sz w:val="19"/>
          <w:szCs w:val="19"/>
        </w:rPr>
        <w:t xml:space="preserve">Management System Element: </w:t>
      </w:r>
      <w:r>
        <w:rPr>
          <w:rFonts w:ascii="Arial" w:cs="Arial" w:eastAsia="Arial" w:hAnsi="Arial"/>
          <w:sz w:val="19"/>
          <w:szCs w:val="19"/>
        </w:rPr>
        <w:t xml:space="preserve">10 – Operational Control     |     Document ID: RTPR-HSE-PRO-0051</w:t>
      </w:r>
    </w:p>
    <w:p>
      <w:pPr>
        <w:pStyle w:val="Normal"/>
        <w:spacing w:after="20" w:before="80"/>
      </w:pPr>
      <w:r>
        <w:rPr>
          <w:b/>
          <w:color w:val="0059D1"/>
          <w:sz w:val="17"/>
        </w:rPr>
        <w:t>DOCUMENT RELATIONSHIPS</w:t>
      </w:r>
    </w:p>
    <w:p>
      <w:pPr>
        <w:pStyle w:val="Normal"/>
        <w:spacing w:after="10" w:before="10"/>
      </w:pPr>
      <w:r>
        <w:rPr>
          <w:b/>
          <w:sz w:val="16"/>
        </w:rPr>
        <w:t>THIS DOCUMENT OWNS (information defined here; do not duplicate elsewhere):</w:t>
      </w:r>
    </w:p>
    <w:p>
      <w:pPr>
        <w:pStyle w:val="ListParagraph"/>
        <w:numPr>
          <w:ilvl w:val="0"/>
          <w:numId w:val="1"/>
        </w:numPr>
        <w:spacing w:after="20" w:before="20"/>
      </w:pPr>
      <w:r>
        <w:rPr>
          <w:rFonts w:ascii="Arial" w:cs="Arial" w:eastAsia="Arial" w:hAnsi="Arial"/>
          <w:sz w:val="16"/>
          <w:szCs w:val="16"/>
        </w:rPr>
        <w:t xml:space="preserve">► Explosives management plan requirements</w:t>
      </w:r>
    </w:p>
    <w:p>
      <w:pPr>
        <w:pStyle w:val="ListParagraph"/>
        <w:numPr>
          <w:ilvl w:val="0"/>
          <w:numId w:val="1"/>
        </w:numPr>
        <w:spacing w:after="20" w:before="20"/>
      </w:pPr>
      <w:r>
        <w:rPr>
          <w:rFonts w:ascii="Arial" w:cs="Arial" w:eastAsia="Arial" w:hAnsi="Arial"/>
          <w:sz w:val="16"/>
          <w:szCs w:val="16"/>
        </w:rPr>
        <w:t xml:space="preserve">► Transport requirements (to site and on-site)</w:t>
      </w:r>
    </w:p>
    <w:p>
      <w:pPr>
        <w:pStyle w:val="ListParagraph"/>
        <w:numPr>
          <w:ilvl w:val="0"/>
          <w:numId w:val="1"/>
        </w:numPr>
        <w:spacing w:after="20" w:before="20"/>
      </w:pPr>
      <w:r>
        <w:rPr>
          <w:rFonts w:ascii="Arial" w:cs="Arial" w:eastAsia="Arial" w:hAnsi="Arial"/>
          <w:sz w:val="16"/>
          <w:szCs w:val="16"/>
        </w:rPr>
        <w:t xml:space="preserve">► On-site manufacture and mixing controls</w:t>
      </w:r>
    </w:p>
    <w:p>
      <w:pPr>
        <w:pStyle w:val="ListParagraph"/>
        <w:numPr>
          <w:ilvl w:val="0"/>
          <w:numId w:val="1"/>
        </w:numPr>
        <w:spacing w:after="20" w:before="20"/>
      </w:pPr>
      <w:r>
        <w:rPr>
          <w:rFonts w:ascii="Arial" w:cs="Arial" w:eastAsia="Arial" w:hAnsi="Arial"/>
          <w:sz w:val="16"/>
          <w:szCs w:val="16"/>
        </w:rPr>
        <w:t xml:space="preserve">► Misfire management process</w:t>
      </w:r>
    </w:p>
    <w:p>
      <w:pPr>
        <w:pStyle w:val="ListParagraph"/>
        <w:numPr>
          <w:ilvl w:val="0"/>
          <w:numId w:val="1"/>
        </w:numPr>
        <w:spacing w:after="20" w:before="20"/>
      </w:pPr>
      <w:r>
        <w:rPr>
          <w:rFonts w:ascii="Arial" w:cs="Arial" w:eastAsia="Arial" w:hAnsi="Arial"/>
          <w:sz w:val="16"/>
          <w:szCs w:val="16"/>
        </w:rPr>
        <w:t xml:space="preserve">► Emergency response plan for explosive incidents</w:t>
      </w:r>
    </w:p>
    <w:p>
      <w:pPr>
        <w:pStyle w:val="ListParagraph"/>
        <w:numPr>
          <w:ilvl w:val="0"/>
          <w:numId w:val="1"/>
        </w:numPr>
        <w:spacing w:after="20" w:before="20"/>
      </w:pPr>
      <w:r>
        <w:rPr>
          <w:rFonts w:ascii="Arial" w:cs="Arial" w:eastAsia="Arial" w:hAnsi="Arial"/>
          <w:sz w:val="16"/>
          <w:szCs w:val="16"/>
        </w:rPr>
        <w:t xml:space="preserve">► Reconciliation, transfer, and quality control requirements</w:t>
      </w:r>
    </w:p>
    <w:p>
      <w:pPr>
        <w:pStyle w:val="ListParagraph"/>
        <w:numPr>
          <w:ilvl w:val="0"/>
          <w:numId w:val="1"/>
        </w:numPr>
        <w:spacing w:after="20" w:before="20"/>
      </w:pPr>
      <w:r>
        <w:rPr>
          <w:rFonts w:ascii="Arial" w:cs="Arial" w:eastAsia="Arial" w:hAnsi="Arial"/>
          <w:sz w:val="16"/>
          <w:szCs w:val="16"/>
        </w:rPr>
        <w:t xml:space="preserve">► Explosives record-keeping requirements</w:t>
      </w:r>
    </w:p>
    <w:p>
      <w:pPr>
        <w:pStyle w:val="Normal"/>
        <w:spacing w:after="10" w:before="10"/>
      </w:pPr>
      <w:r>
        <w:rPr>
          <w:b/>
          <w:sz w:val="16"/>
        </w:rPr>
        <w:t>THIS DOCUMENT REFERENCES (do not repeat this content — point here instead):</w:t>
      </w:r>
    </w:p>
    <w:p>
      <w:pPr>
        <w:pStyle w:val="ListParagraph"/>
        <w:numPr>
          <w:ilvl w:val="0"/>
          <w:numId w:val="1"/>
        </w:numPr>
        <w:spacing w:after="20" w:before="20"/>
      </w:pPr>
      <w:r>
        <w:rPr>
          <w:rFonts w:ascii="Arial" w:cs="Arial" w:eastAsia="Arial" w:hAnsi="Arial"/>
          <w:sz w:val="16"/>
          <w:szCs w:val="16"/>
        </w:rPr>
        <w:t xml:space="preserve">► RTPR-HSE-PRO-0001 – Legal Requirements (explosives licences and regulatory approvals)</w:t>
      </w:r>
    </w:p>
    <w:p>
      <w:pPr>
        <w:pStyle w:val="ListParagraph"/>
        <w:numPr>
          <w:ilvl w:val="0"/>
          <w:numId w:val="1"/>
        </w:numPr>
        <w:spacing w:after="20" w:before="20"/>
      </w:pPr>
      <w:r>
        <w:rPr>
          <w:rFonts w:ascii="Arial" w:cs="Arial" w:eastAsia="Arial" w:hAnsi="Arial"/>
          <w:sz w:val="16"/>
          <w:szCs w:val="16"/>
        </w:rPr>
        <w:t xml:space="preserve">► RTPR-HSE-PRO-0002 – Risk Management (blast exclusion zone risk assessment)</w:t>
      </w:r>
    </w:p>
    <w:p>
      <w:pPr>
        <w:pStyle w:val="ListParagraph"/>
        <w:numPr>
          <w:ilvl w:val="0"/>
          <w:numId w:val="1"/>
        </w:numPr>
        <w:spacing w:after="20" w:before="20"/>
      </w:pPr>
      <w:r>
        <w:rPr>
          <w:rFonts w:ascii="Arial" w:cs="Arial" w:eastAsia="Arial" w:hAnsi="Arial"/>
          <w:sz w:val="16"/>
          <w:szCs w:val="16"/>
        </w:rPr>
        <w:t xml:space="preserve">► RTPR-HSE-PRO-0004 – Training (shot firer and explosives handler competency)</w:t>
      </w:r>
    </w:p>
    <w:p>
      <w:pPr>
        <w:pStyle w:val="ListParagraph"/>
        <w:numPr>
          <w:ilvl w:val="0"/>
          <w:numId w:val="1"/>
        </w:numPr>
        <w:spacing w:after="20" w:before="20"/>
      </w:pPr>
      <w:r>
        <w:rPr>
          <w:rFonts w:ascii="Arial" w:cs="Arial" w:eastAsia="Arial" w:hAnsi="Arial"/>
          <w:sz w:val="16"/>
          <w:szCs w:val="16"/>
        </w:rPr>
        <w:t xml:space="preserve">► RTPR-HSE-PRO-0009 – Incident Management (explosives incident reporting)</w:t>
      </w:r>
    </w:p>
    <w:p>
      <w:pPr>
        <w:pStyle w:val="ListParagraph"/>
        <w:numPr>
          <w:ilvl w:val="0"/>
          <w:numId w:val="1"/>
        </w:numPr>
        <w:spacing w:after="20" w:before="20"/>
      </w:pPr>
      <w:r>
        <w:rPr>
          <w:rFonts w:ascii="Arial" w:cs="Arial" w:eastAsia="Arial" w:hAnsi="Arial"/>
          <w:sz w:val="16"/>
          <w:szCs w:val="16"/>
        </w:rPr>
        <w:t xml:space="preserve">► RTPR-HSE-PRO-0021 – Permit to Work (blasting permit within PTW system)</w:t>
      </w:r>
    </w:p>
    <w:p>
      <w:pPr>
        <w:pStyle w:val="ListParagraph"/>
        <w:numPr>
          <w:ilvl w:val="0"/>
          <w:numId w:val="1"/>
        </w:numPr>
        <w:spacing w:after="20" w:before="20"/>
      </w:pPr>
      <w:r>
        <w:rPr>
          <w:rFonts w:ascii="Arial" w:cs="Arial" w:eastAsia="Arial" w:hAnsi="Arial"/>
          <w:sz w:val="16"/>
          <w:szCs w:val="16"/>
        </w:rPr>
        <w:t xml:space="preserve">► RTPR-HSE-PRO-0028 – Barricading (blast exclusion zone barricading)</w:t>
      </w:r>
    </w:p>
    <w:p>
      <w:pPr>
        <w:pStyle w:val="ListParagraph"/>
        <w:numPr>
          <w:ilvl w:val="0"/>
          <w:numId w:val="1"/>
        </w:numPr>
        <w:spacing w:after="20" w:before="20"/>
      </w:pPr>
      <w:r>
        <w:rPr>
          <w:rFonts w:ascii="Arial" w:cs="Arial" w:eastAsia="Arial" w:hAnsi="Arial"/>
          <w:sz w:val="16"/>
          <w:szCs w:val="16"/>
        </w:rPr>
        <w:t xml:space="preserve">► RTPR-HSE-PRO-0041 – Business Resilience (emergency response for explosive incidents)</w:t>
      </w:r>
    </w:p>
    <w:p>
      <w:pPr>
        <w:pStyle w:val="Normal"/>
        <w:spacing w:after="10" w:before="10"/>
      </w:pPr>
      <w:r>
        <w:rPr>
          <w:b/>
          <w:sz w:val="16"/>
        </w:rPr>
        <w:t>THIS DOCUMENT IS REFERENCED BY:</w:t>
      </w:r>
    </w:p>
    <w:p>
      <w:pPr>
        <w:pStyle w:val="ListParagraph"/>
        <w:numPr>
          <w:ilvl w:val="0"/>
          <w:numId w:val="1"/>
        </w:numPr>
        <w:spacing w:after="20" w:before="20"/>
      </w:pPr>
      <w:r>
        <w:rPr>
          <w:rFonts w:ascii="Arial" w:cs="Arial" w:eastAsia="Arial" w:hAnsi="Arial"/>
          <w:sz w:val="16"/>
          <w:szCs w:val="16"/>
        </w:rPr>
        <w:t xml:space="preserve">► RTPR-HSE-PRO-0028 – Barricading (blast exclusion zone requirements)</w:t>
      </w:r>
    </w:p>
    <w:p>
      <w:pPr>
        <w:pStyle w:val="ListParagraph"/>
        <w:numPr>
          <w:ilvl w:val="0"/>
          <w:numId w:val="1"/>
        </w:numPr>
        <w:spacing w:after="20" w:before="20"/>
      </w:pPr>
      <w:r>
        <w:rPr>
          <w:rFonts w:ascii="Arial" w:cs="Arial" w:eastAsia="Arial" w:hAnsi="Arial"/>
          <w:sz w:val="16"/>
          <w:szCs w:val="16"/>
        </w:rPr>
        <w:t xml:space="preserve">► RTPR-HSE-PRO-0039 – Hazardous Materials (explosives as dangerous goods)</w:t>
      </w:r>
    </w:p>
    <w:p>
      <w:pPr>
        <w:pStyle w:val="Normal"/>
        <w:spacing w:after="60" w:before="40"/>
      </w:pPr>
      <w:r>
        <w:rPr>
          <w:rFonts w:ascii="Arial" w:cs="Arial" w:eastAsia="Arial" w:hAnsi="Arial"/>
          <w:color w:val="2D2D2D"/>
          <w:sz w:val="19"/>
          <w:szCs w:val="19"/>
        </w:rPr>
        <w:t xml:space="preserve">This procedure defines requirements for the safe storage, transport, handling, use, and management of explosives and explosive-related materials on or for the owner-led project. All explosives-related work requires prior authorisation. The Contractor must comply with all local rules and regulations governing explosives, and all explosives activities must be conducted by competent and authorised personnel holding current statutory licences.</w:t>
      </w:r>
    </w:p>
    <w:p>
      <w:pPr>
        <w:pStyle w:val="Heading2Numbered_"/>
        <w:spacing w:after="40" w:before="200"/>
      </w:pPr>
      <w:r>
        <w:rPr>
          <w:rFonts w:ascii="Arial" w:cs="Arial" w:eastAsia="Arial" w:hAnsi="Arial"/>
          <w:b/>
          <w:sz w:val="20"/>
          <w:szCs w:val="20"/>
        </w:rPr>
        <w:t xml:space="preserve">Regulatory Compliance and Authorisation</w:t>
      </w:r>
    </w:p>
    <w:p>
      <w:pPr>
        <w:pStyle w:val="ListParagraph"/>
        <w:numPr>
          <w:ilvl w:val="0"/>
          <w:numId w:val="2"/>
        </w:numPr>
        <w:spacing w:after="40" w:before="40"/>
      </w:pPr>
      <w:r>
        <w:rPr>
          <w:rFonts w:ascii="Arial" w:cs="Arial" w:eastAsia="Arial" w:hAnsi="Arial"/>
          <w:b/>
          <w:bCs/>
          <w:color w:val="375623"/>
          <w:sz w:val="19"/>
          <w:szCs w:val="19"/>
        </w:rPr>
        <w:t xml:space="preserve">[APPC – Appendix C, C-2 §59.1.1]  </w:t>
      </w:r>
      <w:r>
        <w:rPr>
          <w:rFonts w:ascii="Arial" w:cs="Arial" w:eastAsia="Arial" w:hAnsi="Arial"/>
          <w:color w:val="2D2D2D"/>
          <w:sz w:val="19"/>
          <w:szCs w:val="19"/>
        </w:rPr>
        <w:t xml:space="preserve">Require that all explosives licences and regulatory approvals required by Applicable Laws are obtained before any explosives are transported to, stored on, or used at the project site. Copies of all licences must be held on site and provided to the Company upon request. Require compliance with all local rules and regulations governing explosives throughout the life of the project — refer RTPR-HSE-PRO-0001.</w:t>
      </w:r>
    </w:p>
    <w:p>
      <w:pPr>
        <w:pStyle w:val="ListParagraph"/>
        <w:numPr>
          <w:ilvl w:val="0"/>
          <w:numId w:val="2"/>
        </w:numPr>
        <w:spacing w:after="40" w:before="40"/>
      </w:pPr>
      <w:r>
        <w:rPr>
          <w:rFonts w:ascii="Arial" w:cs="Arial" w:eastAsia="Arial" w:hAnsi="Arial"/>
          <w:b/>
          <w:bCs/>
          <w:color w:val="375623"/>
          <w:sz w:val="19"/>
          <w:szCs w:val="19"/>
        </w:rPr>
        <w:t xml:space="preserve">[APPC – Appendix C, C-4 §92.5.3.1]  </w:t>
      </w:r>
      <w:r>
        <w:rPr>
          <w:rFonts w:ascii="Arial" w:cs="Arial" w:eastAsia="Arial" w:hAnsi="Arial"/>
          <w:color w:val="2D2D2D"/>
          <w:sz w:val="19"/>
          <w:szCs w:val="19"/>
        </w:rPr>
        <w:t xml:space="preserve">Require that all dangerous goods storage areas including explosives, ammonium nitrate, and detonators are assessed, approved, and appropriately licensed in accordance with Applicable Laws before use.</w:t>
      </w:r>
    </w:p>
    <w:p>
      <w:pPr>
        <w:pStyle w:val="Heading2Numbered_"/>
        <w:spacing w:after="40" w:before="200"/>
      </w:pPr>
      <w:r>
        <w:rPr>
          <w:rFonts w:ascii="Arial" w:cs="Arial" w:eastAsia="Arial" w:hAnsi="Arial"/>
          <w:b/>
          <w:sz w:val="20"/>
          <w:szCs w:val="20"/>
        </w:rPr>
        <w:t xml:space="preserve">Explosives Management Plan</w:t>
      </w:r>
    </w:p>
    <w:p>
      <w:pPr>
        <w:pStyle w:val="ListParagraph"/>
        <w:numPr>
          <w:ilvl w:val="0"/>
          <w:numId w:val="2"/>
        </w:numPr>
        <w:spacing w:after="40" w:before="40"/>
      </w:pPr>
      <w:r>
        <w:rPr>
          <w:rFonts w:ascii="Arial" w:cs="Arial" w:eastAsia="Arial" w:hAnsi="Arial"/>
          <w:b/>
          <w:bCs/>
          <w:color w:val="375623"/>
          <w:sz w:val="19"/>
          <w:szCs w:val="19"/>
        </w:rPr>
        <w:t xml:space="preserve">[APPC – Appendix C, C-2 §59.1]  </w:t>
      </w:r>
      <w:r>
        <w:rPr>
          <w:rFonts w:ascii="Arial" w:cs="Arial" w:eastAsia="Arial" w:hAnsi="Arial"/>
          <w:color w:val="2D2D2D"/>
          <w:sz w:val="19"/>
          <w:szCs w:val="19"/>
        </w:rPr>
        <w:t xml:space="preserve">Require development and maintenance of an Explosives Management Plan covering all phases of explosives activity on the project. The plan must address as a minimum: transport of explosives to site and on-site movement; storage of explosives and detonators; controlled access to explosive storage areas; on-site manufacture and mixing where applicable; handling and preparation for use; blast design and initiation; management of misfires; reconciliation, transfer of ownership, and quality control; record-keeping; and emergency response.</w:t>
      </w:r>
    </w:p>
    <w:p>
      <w:pPr>
        <w:pStyle w:val="Heading2Numbered_"/>
        <w:spacing w:after="40" w:before="200"/>
      </w:pPr>
      <w:r>
        <w:rPr>
          <w:rFonts w:ascii="Arial" w:cs="Arial" w:eastAsia="Arial" w:hAnsi="Arial"/>
          <w:b/>
          <w:sz w:val="20"/>
          <w:szCs w:val="20"/>
        </w:rPr>
        <w:t xml:space="preserve">Transport</w:t>
      </w:r>
    </w:p>
    <w:p>
      <w:pPr>
        <w:pStyle w:val="ListParagraph"/>
        <w:numPr>
          <w:ilvl w:val="0"/>
          <w:numId w:val="2"/>
        </w:numPr>
        <w:spacing w:after="40" w:before="40"/>
      </w:pPr>
      <w:r>
        <w:rPr>
          <w:rFonts w:ascii="Arial" w:cs="Arial" w:eastAsia="Arial" w:hAnsi="Arial"/>
          <w:b/>
          <w:bCs/>
          <w:color w:val="375623"/>
          <w:sz w:val="19"/>
          <w:szCs w:val="19"/>
        </w:rPr>
        <w:t xml:space="preserve">[APPC – Appendix C, C-2 §59.1.1]  </w:t>
      </w:r>
      <w:r>
        <w:rPr>
          <w:rFonts w:ascii="Arial" w:cs="Arial" w:eastAsia="Arial" w:hAnsi="Arial"/>
          <w:color w:val="2D2D2D"/>
          <w:sz w:val="19"/>
          <w:szCs w:val="19"/>
        </w:rPr>
        <w:t xml:space="preserve">Require that all transport of explosives to site and on-site movement complies with applicable dangerous goods transport regulations. Vehicles transporting explosives must be appropriate for the load, equipped with required safety equipment, operated by competent and licenced personnel, and covered by a documented transport risk assessment. Explosives and detonators must be transported separately in compliance with regulatory separation requirements.</w:t>
      </w:r>
    </w:p>
    <w:p>
      <w:pPr>
        <w:pStyle w:val="Heading2Numbered_"/>
        <w:spacing w:after="40" w:before="200"/>
      </w:pPr>
      <w:r>
        <w:rPr>
          <w:rFonts w:ascii="Arial" w:cs="Arial" w:eastAsia="Arial" w:hAnsi="Arial"/>
          <w:b/>
          <w:sz w:val="20"/>
          <w:szCs w:val="20"/>
        </w:rPr>
        <w:t xml:space="preserve">Storage</w:t>
      </w:r>
    </w:p>
    <w:p>
      <w:pPr>
        <w:pStyle w:val="ListParagraph"/>
        <w:numPr>
          <w:ilvl w:val="0"/>
          <w:numId w:val="2"/>
        </w:numPr>
        <w:spacing w:after="40" w:before="40"/>
      </w:pPr>
      <w:r>
        <w:rPr>
          <w:rFonts w:ascii="Arial" w:cs="Arial" w:eastAsia="Arial" w:hAnsi="Arial"/>
          <w:b/>
          <w:bCs/>
          <w:color w:val="375623"/>
          <w:sz w:val="19"/>
          <w:szCs w:val="19"/>
        </w:rPr>
        <w:t xml:space="preserve">[APPC – Appendix C, C-2 §59.1]  </w:t>
      </w:r>
      <w:r>
        <w:rPr>
          <w:rFonts w:ascii="Arial" w:cs="Arial" w:eastAsia="Arial" w:hAnsi="Arial"/>
          <w:color w:val="2D2D2D"/>
          <w:sz w:val="19"/>
          <w:szCs w:val="19"/>
        </w:rPr>
        <w:t xml:space="preserve">Require that all explosive magazines and storage areas are constructed, positioned, and operated in compliance with Applicable Laws. Access must be restricted to authorised personnel only. A daily stock reconciliation must be conducted, with any discrepancy reported immediately to the Company and relevant regulatory authority.</w:t>
      </w:r>
    </w:p>
    <w:p>
      <w:pPr>
        <w:pStyle w:val="Heading2Numbered_"/>
        <w:spacing w:after="40" w:before="200"/>
      </w:pPr>
      <w:r>
        <w:rPr>
          <w:rFonts w:ascii="Arial" w:cs="Arial" w:eastAsia="Arial" w:hAnsi="Arial"/>
          <w:b/>
          <w:sz w:val="20"/>
          <w:szCs w:val="20"/>
        </w:rPr>
        <w:t xml:space="preserve">On-Site Manufacture and Mixing</w:t>
      </w:r>
    </w:p>
    <w:p>
      <w:pPr>
        <w:pStyle w:val="ListParagraph"/>
        <w:numPr>
          <w:ilvl w:val="0"/>
          <w:numId w:val="2"/>
        </w:numPr>
        <w:spacing w:after="40" w:before="40"/>
      </w:pPr>
      <w:r>
        <w:rPr>
          <w:rFonts w:ascii="Arial" w:cs="Arial" w:eastAsia="Arial" w:hAnsi="Arial"/>
          <w:b/>
          <w:bCs/>
          <w:color w:val="375623"/>
          <w:sz w:val="19"/>
          <w:szCs w:val="19"/>
        </w:rPr>
        <w:t xml:space="preserve">[APPC – Appendix C, C-2 §59.1.4]  </w:t>
      </w:r>
      <w:r>
        <w:rPr>
          <w:rFonts w:ascii="Arial" w:cs="Arial" w:eastAsia="Arial" w:hAnsi="Arial"/>
          <w:color w:val="2D2D2D"/>
          <w:sz w:val="19"/>
          <w:szCs w:val="19"/>
        </w:rPr>
        <w:t xml:space="preserve">Where on-site manufacture or mixing of explosives is conducted, require a specific risk assessment and documented procedure approved by a competent person before commencement. On-site manufacture must comply with all applicable regulatory requirements and licencing conditions.</w:t>
      </w:r>
    </w:p>
    <w:p>
      <w:pPr>
        <w:pStyle w:val="Heading2Numbered_"/>
        <w:spacing w:after="40" w:before="200"/>
      </w:pPr>
      <w:r>
        <w:rPr>
          <w:rFonts w:ascii="Arial" w:cs="Arial" w:eastAsia="Arial" w:hAnsi="Arial"/>
          <w:b/>
          <w:sz w:val="20"/>
          <w:szCs w:val="20"/>
        </w:rPr>
        <w:t xml:space="preserve">Misfire Management</w:t>
      </w:r>
    </w:p>
    <w:p>
      <w:pPr>
        <w:pStyle w:val="ListParagraph"/>
        <w:numPr>
          <w:ilvl w:val="0"/>
          <w:numId w:val="2"/>
        </w:numPr>
        <w:spacing w:after="40" w:before="40"/>
      </w:pPr>
      <w:r>
        <w:rPr>
          <w:rFonts w:ascii="Arial" w:cs="Arial" w:eastAsia="Arial" w:hAnsi="Arial"/>
          <w:b/>
          <w:bCs/>
          <w:color w:val="375623"/>
          <w:sz w:val="19"/>
          <w:szCs w:val="19"/>
        </w:rPr>
        <w:t xml:space="preserve">[APPC – Appendix C, C-2 §59.1.6]  </w:t>
      </w:r>
      <w:r>
        <w:rPr>
          <w:rFonts w:ascii="Arial" w:cs="Arial" w:eastAsia="Arial" w:hAnsi="Arial"/>
          <w:color w:val="2D2D2D"/>
          <w:sz w:val="19"/>
          <w:szCs w:val="19"/>
        </w:rPr>
        <w:t xml:space="preserve">Require a documented misfire management procedure defining: the immediate response to a suspected or confirmed misfire; minimum waiting times before re-entry; the process for dealing with misfired holes; competency requirements for personnel managing misfires; and mandatory reporting to the Company and relevant regulatory authority.</w:t>
      </w:r>
    </w:p>
    <w:p>
      <w:pPr>
        <w:pStyle w:val="Heading2Numbered_"/>
        <w:spacing w:after="40" w:before="200"/>
      </w:pPr>
      <w:r>
        <w:rPr>
          <w:rFonts w:ascii="Arial" w:cs="Arial" w:eastAsia="Arial" w:hAnsi="Arial"/>
          <w:b/>
          <w:sz w:val="20"/>
          <w:szCs w:val="20"/>
        </w:rPr>
        <w:t xml:space="preserve">Reconciliation and Record-Keeping</w:t>
      </w:r>
    </w:p>
    <w:p>
      <w:pPr>
        <w:pStyle w:val="ListParagraph"/>
        <w:numPr>
          <w:ilvl w:val="0"/>
          <w:numId w:val="2"/>
        </w:numPr>
        <w:spacing w:after="40" w:before="40"/>
      </w:pPr>
      <w:r>
        <w:rPr>
          <w:rFonts w:ascii="Arial" w:cs="Arial" w:eastAsia="Arial" w:hAnsi="Arial"/>
          <w:b/>
          <w:bCs/>
          <w:color w:val="375623"/>
          <w:sz w:val="19"/>
          <w:szCs w:val="19"/>
        </w:rPr>
        <w:t xml:space="preserve">[APPC – Appendix C, C-2 §59.1.9]  </w:t>
      </w:r>
      <w:r>
        <w:rPr>
          <w:rFonts w:ascii="Arial" w:cs="Arial" w:eastAsia="Arial" w:hAnsi="Arial"/>
          <w:color w:val="2D2D2D"/>
          <w:sz w:val="19"/>
          <w:szCs w:val="19"/>
        </w:rPr>
        <w:t xml:space="preserve">Require daily reconciliation of all explosives and detonators: quantity received; quantity used; quantity remaining in storage. Transfer of ownership must be documented with signed records. Quality control records must be maintained for all products. All explosives records must be retained for a minimum of five years or as required by Applicable Laws.</w:t>
      </w:r>
    </w:p>
    <w:p>
      <w:pPr>
        <w:pStyle w:val="Heading2Numbered_"/>
        <w:spacing w:after="40" w:before="200"/>
      </w:pPr>
      <w:r>
        <w:rPr>
          <w:rFonts w:ascii="Arial" w:cs="Arial" w:eastAsia="Arial" w:hAnsi="Arial"/>
          <w:b/>
          <w:sz w:val="20"/>
          <w:szCs w:val="20"/>
        </w:rPr>
        <w:t xml:space="preserve">Incident Reporting</w:t>
      </w:r>
    </w:p>
    <w:p>
      <w:pPr>
        <w:pStyle w:val="ListParagraph"/>
        <w:numPr>
          <w:ilvl w:val="0"/>
          <w:numId w:val="2"/>
        </w:numPr>
        <w:spacing w:after="40" w:before="40"/>
      </w:pPr>
      <w:r>
        <w:rPr>
          <w:rFonts w:ascii="Arial" w:cs="Arial" w:eastAsia="Arial" w:hAnsi="Arial"/>
          <w:b/>
          <w:bCs/>
          <w:color w:val="375623"/>
          <w:sz w:val="19"/>
          <w:szCs w:val="19"/>
        </w:rPr>
        <w:t xml:space="preserve">[APPC – Appendix C, C-2 §59.2.1]  </w:t>
      </w:r>
      <w:r>
        <w:rPr>
          <w:rFonts w:ascii="Arial" w:cs="Arial" w:eastAsia="Arial" w:hAnsi="Arial"/>
          <w:color w:val="2D2D2D"/>
          <w:sz w:val="19"/>
          <w:szCs w:val="19"/>
        </w:rPr>
        <w:t xml:space="preserve">Require that all incidents or deviations from the approved explosives process are reported and investigated in line with Company requirements — refer RTPR-HSE-PRO-0009. Explosives-related incidents must also be reported to the relevant regulatory authority within the timeframes required by Applicable Laws.</w:t>
      </w:r>
    </w:p>
    <w:p>
      <w:pPr>
        <w:pStyle w:val="Heading2Numbered_"/>
        <w:spacing w:after="40" w:before="200"/>
      </w:pPr>
      <w:r>
        <w:rPr>
          <w:rFonts w:ascii="Arial" w:cs="Arial" w:eastAsia="Arial" w:hAnsi="Arial"/>
          <w:b/>
          <w:sz w:val="20"/>
          <w:szCs w:val="20"/>
        </w:rPr>
        <w:t xml:space="preserve">Emergency Response</w:t>
      </w:r>
    </w:p>
    <w:p>
      <w:pPr>
        <w:pStyle w:val="ListParagraph"/>
        <w:numPr>
          <w:ilvl w:val="0"/>
          <w:numId w:val="2"/>
        </w:numPr>
        <w:spacing w:after="40" w:before="40"/>
      </w:pPr>
      <w:r>
        <w:rPr>
          <w:rFonts w:ascii="Arial" w:cs="Arial" w:eastAsia="Arial" w:hAnsi="Arial"/>
          <w:b/>
          <w:bCs/>
          <w:color w:val="375623"/>
          <w:sz w:val="19"/>
          <w:szCs w:val="19"/>
        </w:rPr>
        <w:t xml:space="preserve">[APPC – Appendix C, C-2 §59.3.1]  </w:t>
      </w:r>
      <w:r>
        <w:rPr>
          <w:rFonts w:ascii="Arial" w:cs="Arial" w:eastAsia="Arial" w:hAnsi="Arial"/>
          <w:color w:val="2D2D2D"/>
          <w:sz w:val="19"/>
          <w:szCs w:val="19"/>
        </w:rPr>
        <w:t xml:space="preserve">Require a specific emergency response plan for potential explosive incident scenarios. Emergency scenarios must include as a minimum: unplanned detonation; misfire; explosives theft or loss; explosives vehicle accident; and fire in or near explosive storage. The emergency response plan must be tested before explosives are brought to site — refer RTPR-HSE-PRO-0041.</w:t>
      </w:r>
    </w:p>
    <w:p>
      <w:pPr>
        <w:pStyle w:val="Normal"/>
        <w:spacing w:after="40" w:before="120"/>
      </w:pPr>
      <w:r>
        <w:rPr>
          <w:b/>
          <w:color w:val="C55A11"/>
          <w:sz w:val="19"/>
        </w:rPr>
        <w:t xml:space="preserve">PROJECT COMPLETION GUIDANCE — </w:t>
      </w:r>
      <w:r>
        <w:rPr>
          <w:i/>
          <w:color w:val="C55A11"/>
          <w:sz w:val="19"/>
        </w:rPr>
        <w:t>Actions required to complete this procedure for your specific project</w:t>
      </w:r>
    </w:p>
    <w:p>
      <w:pPr>
        <w:pStyle w:val="Normal"/>
        <w:spacing w:after="20" w:before="0"/>
      </w:pPr>
      <w:r>
        <w:rPr>
          <w:i/>
          <w:color w:val="C55A11"/>
          <w:sz w:val="17"/>
        </w:rPr>
        <w:t>Each item below represents a decision, action, or piece of project-specific information that must be confirmed, documented, or inserted by the project team before this procedure is issued at 100%.</w:t>
      </w:r>
    </w:p>
    <w:p>
      <w:pPr>
        <w:pStyle w:val="ListParagraph"/>
        <w:numPr>
          <w:ilvl w:val="0"/>
          <w:numId w:val="3"/>
        </w:numPr>
        <w:spacing w:after="40" w:before="40"/>
      </w:pPr>
      <w:r>
        <w:rPr>
          <w:rFonts w:ascii="Arial" w:cs="Arial" w:eastAsia="Arial" w:hAnsi="Arial"/>
          <w:sz w:val="19"/>
          <w:szCs w:val="19"/>
        </w:rPr>
        <w:t xml:space="preserve">Confirm whether explosives are within scope for this project. If yes, identify all explosives activities planned, the types of explosives and detonators to be used, and the quantities. Insert into the Explosives Management Plan.</w:t>
      </w:r>
    </w:p>
    <w:p>
      <w:pPr>
        <w:pStyle w:val="ListParagraph"/>
        <w:numPr>
          <w:ilvl w:val="0"/>
          <w:numId w:val="3"/>
        </w:numPr>
        <w:spacing w:after="40" w:before="40"/>
      </w:pPr>
      <w:r>
        <w:rPr>
          <w:rFonts w:ascii="Arial" w:cs="Arial" w:eastAsia="Arial" w:hAnsi="Arial"/>
          <w:sz w:val="19"/>
          <w:szCs w:val="19"/>
        </w:rPr>
        <w:t xml:space="preserve">Identify and document all regulatory licences and approvals required for explosives activities in the project jurisdiction. Confirm that all licences are in place before any explosives are transported to site. Insert licence numbers and expiry dates into this procedure.</w:t>
      </w:r>
    </w:p>
    <w:p>
      <w:pPr>
        <w:pStyle w:val="ListParagraph"/>
        <w:numPr>
          <w:ilvl w:val="0"/>
          <w:numId w:val="3"/>
        </w:numPr>
        <w:spacing w:after="40" w:before="40"/>
      </w:pPr>
      <w:r>
        <w:rPr>
          <w:rFonts w:ascii="Arial" w:cs="Arial" w:eastAsia="Arial" w:hAnsi="Arial"/>
          <w:sz w:val="19"/>
          <w:szCs w:val="19"/>
        </w:rPr>
        <w:t xml:space="preserve">Develop the site-specific Explosives Management Plan for this project covering all sections required by this procedure. Submit to the Company for review before any explosives are brought to site.</w:t>
      </w:r>
    </w:p>
    <w:p>
      <w:pPr>
        <w:pStyle w:val="ListParagraph"/>
        <w:numPr>
          <w:ilvl w:val="0"/>
          <w:numId w:val="3"/>
        </w:numPr>
        <w:spacing w:after="40" w:before="40"/>
      </w:pPr>
      <w:r>
        <w:rPr>
          <w:rFonts w:ascii="Arial" w:cs="Arial" w:eastAsia="Arial" w:hAnsi="Arial"/>
          <w:sz w:val="19"/>
          <w:szCs w:val="19"/>
        </w:rPr>
        <w:t xml:space="preserve">Confirm the misfire management procedure for this project, including the competency requirements for personnel authorised to manage misfires in the specific regulatory jurisdiction.</w:t>
      </w:r>
    </w:p>
    <w:p>
      <w:pPr>
        <w:pStyle w:val="ListParagraph"/>
        <w:numPr>
          <w:ilvl w:val="0"/>
          <w:numId w:val="3"/>
        </w:numPr>
        <w:spacing w:after="40" w:before="40"/>
      </w:pPr>
      <w:r>
        <w:rPr>
          <w:rFonts w:ascii="Arial" w:cs="Arial" w:eastAsia="Arial" w:hAnsi="Arial"/>
          <w:sz w:val="19"/>
          <w:szCs w:val="19"/>
        </w:rPr>
        <w:t xml:space="preserve">Confirm the explosives emergency response scenarios and integrate them into the project ERP — refer RTPR-HSE-PRO-0041. Test the explosives emergency response before explosives arrive on site.</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60"/>
    </w:pPr>
    <w:r>
      <w:rPr>
        <w:rFonts w:ascii="Arial" w:cs="Arial" w:eastAsia="Arial" w:hAnsi="Arial"/>
        <w:color w:val="999999"/>
        <w:sz w:val="15"/>
        <w:szCs w:val="15"/>
      </w:rPr>
      <w:t xml:space="preserve">This document contains the proprietary system design for the RT Owner-Led HSESC Management System. Not for external distribution.     Page </w:t>
    </w:r>
    <w:r>
      <w:rPr>
        <w:rFonts w:ascii="Arial" w:cs="Arial" w:eastAsia="Arial" w:hAnsi="Arial"/>
        <w:color w:val="999999"/>
        <w:sz w:val="15"/>
        <w:szCs w:val="15"/>
      </w:rPr>
      <w:fldChar w:fldCharType="begin"/>
      <w:instrText xml:space="preserve">PAGE</w:instrText>
      <w:fldChar w:fldCharType="separate"/>
      <w:fldChar w:fldCharType="end"/>
    </w:r>
    <w:r>
      <w:rPr>
        <w:rFonts w:ascii="Arial" w:cs="Arial" w:eastAsia="Arial" w:hAnsi="Arial"/>
        <w:color w:val="999999"/>
        <w:sz w:val="15"/>
        <w:szCs w:val="15"/>
      </w:rPr>
      <w:t xml:space="preserve"> of </w:t>
    </w:r>
    <w:r>
      <w:rPr>
        <w:rFonts w:ascii="Arial" w:cs="Arial" w:eastAsia="Arial" w:hAnsi="Arial"/>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spacing w:after="60"/>
    </w:pPr>
    <w:r>
      <w:rPr>
        <w:rFonts w:ascii="Arial" w:cs="Arial" w:eastAsia="Arial" w:hAnsi="Arial"/>
        <w:color w:val="999999"/>
        <w:sz w:val="15"/>
        <w:szCs w:val="15"/>
      </w:rPr>
      <w:t xml:space="preserve">HSESC Management System  |  System Design Playbook  |  Owner-Led Projects — Rio Tinto Projects  |  CONTROLLED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20"/>
      </w:pPr>
    </w:lvl>
  </w:abstractNum>
  <w:abstractNum w:abstractNumId="3" w15:restartNumberingAfterBreak="0">
    <w:multiLevelType w:val="hybridMultilevel"/>
    <w:lvl w:ilvl="0" w15:tentative="1">
      <w:start w:val="1"/>
      <w:numFmt w:val="bullet"/>
      <w:lvlText w:val="•"/>
      <w:lvlJc w:val="left"/>
      <w:pPr>
        <w:ind w:left="540" w:hanging="32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560"/>
      <w:outlineLvl w:val="0"/>
    </w:pPr>
    <w:rPr>
      <w:rFonts w:ascii="Arial" w:cs="Arial" w:eastAsia="Arial" w:hAnsi="Arial"/>
      <w:b/>
      <w:bCs/>
      <w:color w:val="1F3864"/>
      <w:sz w:val="28"/>
      <w:szCs w:val="28"/>
    </w:rPr>
  </w:style>
  <w:style w:type="paragraph" w:styleId="Heading2">
    <w:name w:val="Heading 2"/>
    <w:basedOn w:val="Normal"/>
    <w:next w:val="Normal"/>
    <w:qFormat/>
    <w:pPr>
      <w:spacing w:after="60" w:before="240"/>
      <w:outlineLvl w:val="1"/>
    </w:pPr>
    <w:rPr>
      <w:rFonts w:ascii="Arial" w:cs="Arial" w:eastAsia="Arial" w:hAnsi="Arial"/>
      <w:b/>
      <w:bCs/>
      <w:color w:val="2E75B6"/>
      <w:sz w:val="22"/>
      <w:szCs w:val="22"/>
    </w:rPr>
  </w:style>
  <w:style w:type="paragraph" w:styleId="Heading3">
    <w:name w:val="Heading 3"/>
    <w:basedOn w:val="Normal"/>
    <w:next w:val="Normal"/>
    <w:qFormat/>
    <w:pPr>
      <w:spacing w:after="40" w:before="16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2026-06-15T09:11:36.219Z</dcterms:created>
  <dcterms:modified xsi:type="dcterms:W3CDTF">2026-06-15T09:11:36.232Z</dcterms:modified>
</cp:coreProperties>
</file>

<file path=docProps/custom.xml><?xml version="1.0" encoding="utf-8"?>
<Properties xmlns="http://schemas.openxmlformats.org/officeDocument/2006/custom-properties" xmlns:vt="http://schemas.openxmlformats.org/officeDocument/2006/docPropsVTypes"/>
</file>