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Chemical and Hazardous Substances</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Chemical and Hazardous Substances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applies to all chemicals and hazardous substances used, stored, or generated on the project site including dusts, fibres, mists, fumes, gases, vapours, dangerous goods, and regulated substances. It covers worker health protection, environmental spill prevention, and compliance with applicable dangerous goods legislation.</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chemical and hazardous substances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defines the purpose of this procedure, the hazardous substances management activities within scope, and the lifecycle phases to which it applies.</w:t>
      </w:r>
    </w:p>
    <w:p>
      <w:pPr>
        <w:pStyle w:val="Heading2Numbered"/>
      </w:pPr>
      <w:r>
        <w:t>3.1  Purpose of This Document</w:t>
      </w:r>
    </w:p>
    <w:p>
      <w:pPr>
        <w:pStyle w:val="NormalNumberedtext"/>
      </w:pPr>
      <w:r>
        <w:t>This section states the purpose of this procedure and the requirements it establishes for managing chemical and hazardous substances on the project.</w:t>
      </w:r>
    </w:p>
    <w:p>
      <w:pPr>
        <w:pStyle w:val="NormalNumberedtext"/>
      </w:pPr>
      <w:r>
        <w:t>This procedure meets the following purpose requirements:</w:t>
      </w:r>
    </w:p>
    <w:p>
      <w:pPr>
        <w:pStyle w:val="NormalNumberedtext"/>
      </w:pPr>
      <w:r>
        <w:t>This procedure establishes the minimum requirements for:</w:t>
      </w:r>
    </w:p>
    <w:p>
      <w:pPr>
        <w:pStyle w:val="NumberedBulletL1"/>
      </w:pPr>
      <w:r>
        <w:t>Maintaining a Hazardous Substances Register listing all approved substances for use on site.</w:t>
      </w:r>
    </w:p>
    <w:p>
      <w:pPr>
        <w:pStyle w:val="NumberedBulletL1"/>
      </w:pPr>
      <w:r>
        <w:t>Ensuring Safety Data Sheets are available before any hazardous substance is delivered or used.</w:t>
      </w:r>
    </w:p>
    <w:p>
      <w:pPr>
        <w:pStyle w:val="NumberedBulletL1"/>
      </w:pPr>
      <w:r>
        <w:t>Assessing and controlling risks from hazardous substances, including through substitution, engineering controls, and administrative controls.</w:t>
      </w:r>
    </w:p>
    <w:p>
      <w:pPr>
        <w:pStyle w:val="NumberedBulletL1"/>
      </w:pPr>
      <w:r>
        <w:t>Defining storage, containment, and spill prevention requirements for hazardous substances and dangerous goods.</w:t>
      </w:r>
    </w:p>
    <w:p>
      <w:pPr>
        <w:pStyle w:val="NumberedBulletL1"/>
      </w:pPr>
      <w:r>
        <w:t>Prohibiting PFAS-containing firefighting foams and managing the phase-out of any legacy systems that cannot be immediately removed.</w:t>
      </w:r>
    </w:p>
    <w:p>
      <w:pPr>
        <w:pStyle w:val="NumberedBulletL1"/>
      </w:pPr>
      <w:r>
        <w:t>Managing sewerage and wastewater to prevent contamination of the surrounding environment.</w:t>
      </w:r>
    </w:p>
    <w:p>
      <w:pPr>
        <w:pStyle w:val="NormalNumberedtext"/>
      </w:pPr>
      <w:r>
        <w:t>This procedure applies to all personnel on the project, including Rio Tinto staff and all contractor organisations, from project mobilisation through to site demobilisation and handover.</w:t>
      </w:r>
    </w:p>
    <w:p>
      <w:pPr>
        <w:pStyle w:val="Heading2Numbered"/>
      </w:pPr>
      <w:r>
        <w:t>3.2  Scope of This Document</w:t>
      </w:r>
    </w:p>
    <w:p>
      <w:pPr>
        <w:pStyle w:val="NormalNumberedtext"/>
      </w:pPr>
      <w:r>
        <w:t>This section defines which hazardous substances activities are governed by this document and how it connects to related project procedures.</w:t>
      </w:r>
    </w:p>
    <w:p>
      <w:pPr>
        <w:pStyle w:val="NormalNumberedtext"/>
      </w:pPr>
      <w:r>
        <w:t>This procedure governs the identification, approval, assessment, storage, handling, and spill response activities for all chemical and hazardous substances used on the project. It does not repeat the risk assessment framework, which is governed by RTPR-HSE-PRO-0002, the legal compliance obligations under dangerous goods legislation, which are governed by RTPR-HSE-PRO-0001, or chemical waste disposal requirements, which are governed by RTPR-HSE-PRO-0039.</w:t>
      </w:r>
    </w:p>
    <w:p>
      <w:pPr>
        <w:pStyle w:val="NormalNumberedtext"/>
      </w:pPr>
      <w:r>
        <w:t>Chemical-resistant PPE requirements referenced in this procedure are defined in RTPR-HSE-PRO-0027. Chemical spill incidents are reported per RTPR-HSE-PRO-0009. Spill prevention controls near waterways are coordinated with RTPR-HSE-PRO-0034.</w:t>
      </w:r>
    </w:p>
    <w:p>
      <w:pPr>
        <w:pStyle w:val="Heading1Numbered"/>
      </w:pPr>
      <w:r>
        <w:t>4  Hazardous Substances Register</w:t>
      </w:r>
    </w:p>
    <w:p>
      <w:pPr>
        <w:pStyle w:val="NormalNumberedtext"/>
      </w:pPr>
      <w:r>
        <w:t>This section defines the requirements for establishing, populating, and maintaining the project Hazardous Substances Register and for ensuring SDS availability to all workers.</w:t>
      </w:r>
    </w:p>
    <w:p>
      <w:pPr>
        <w:pStyle w:val="Heading2Numbered"/>
      </w:pPr>
      <w:r>
        <w:t>4.1  Register Requirements</w:t>
      </w:r>
    </w:p>
    <w:p>
      <w:pPr>
        <w:pStyle w:val="NormalNumberedtext"/>
      </w:pPr>
      <w:r>
        <w:t>This section defines the minimum content, approval process, and review frequency for the Hazardous Substances Register.</w:t>
      </w:r>
    </w:p>
    <w:p>
      <w:pPr>
        <w:pStyle w:val="NormalNumberedtext"/>
      </w:pPr>
      <w:r>
        <w:t>The project maintains a Hazardous Substances Register, RTPR-HSE-REG-0014, listing every substance approved for use on site. The register is a controlled document and is made available to workers, emergency responders, and regulators on request. No substance may be brought onto site unless it appears in the register as an approved substance.</w:t>
      </w:r>
    </w:p>
    <w:tbl>
      <w:tblPr>
        <w:tblStyle w:val="TableOption1"/>
        <w:tblW w:type="pct" w:w="5000"/>
      </w:tblPr>
      <w:tr>
        <w:tc>
          <w:tcPr>
            <w:shd w:val="clear" w:color="auto" w:fill="FFF2CC"/>
          </w:tcPr>
          <w:p>
            <w:pPr>
              <w:pStyle w:val="Instructions"/>
            </w:pPr>
            <w:r>
              <w:rPr>
                <w:b/>
                <w:bCs/>
                <w:color w:val="C55A11"/>
              </w:rPr>
              <w:t>Pre-mobilisation deliverable: Before mobilisation, populate the initial Hazardous Substances Register (RTPR-HSE-REG-0014) with all substances expected to be used on this project. [INSERT: confirm the register has been populated and the pre-mobilisation completion date].</w:t>
            </w:r>
          </w:p>
        </w:tc>
      </w:tr>
    </w:tbl>
    <w:p>
      <w:pPr>
        <w:pStyle w:val="Default"/>
      </w:pPr>
    </w:p>
    <w:p>
      <w:pPr>
        <w:pStyle w:val="NormalNumberedtext"/>
      </w:pPr>
      <w:r>
        <w:t>The register contains, at minimum, the following fields for each substance:</w:t>
      </w:r>
    </w:p>
    <w:p>
      <w:pPr>
        <w:pStyle w:val="NormalNumberedtext"/>
      </w:pPr>
      <w:r>
        <w:t>Table: Hazardous Substances Register — Minimum Required Fields</w:t>
      </w:r>
    </w:p>
    <w:tbl>
      <w:tblPr>
        <w:tblStyle w:val="TableOption2"/>
        <w:tblW w:type="pct" w:w="5000"/>
      </w:tblPr>
      <w:tr>
        <w:trPr>
          <w:tblHeader/>
        </w:trPr>
        <w:tc>
          <w:tcPr>
            <w:shd w:val="clear" w:color="auto" w:fill="1F3864"/>
          </w:tcPr>
          <w:p>
            <w:pPr>
              <w:pStyle w:val="TableContents"/>
            </w:pPr>
            <w:r>
              <w:rPr>
                <w:b/>
                <w:bCs/>
                <w:color w:val="FFFFFF"/>
              </w:rPr>
              <w:t>Field</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Example or Default</w:t>
            </w:r>
          </w:p>
        </w:tc>
      </w:tr>
      <w:tr>
        <w:tc>
          <w:tcPr/>
          <w:p>
            <w:pPr>
              <w:pStyle w:val="TableContents"/>
            </w:pPr>
            <w:r>
              <w:t>Substance name</w:t>
            </w:r>
          </w:p>
        </w:tc>
        <w:tc>
          <w:tcPr/>
          <w:p>
            <w:pPr>
              <w:pStyle w:val="TableContents"/>
            </w:pPr>
            <w:r>
              <w:t>Common name and chemical name as listed on SDS</w:t>
            </w:r>
          </w:p>
        </w:tc>
        <w:tc>
          <w:tcPr/>
          <w:p>
            <w:pPr>
              <w:pStyle w:val="TableContents"/>
            </w:pPr>
            <w:r>
              <w:t>Diesel fuel / Distillates (petroleum)</w:t>
            </w:r>
          </w:p>
        </w:tc>
      </w:tr>
      <w:tr>
        <w:tc>
          <w:tcPr/>
          <w:p>
            <w:pPr>
              <w:pStyle w:val="TableContents"/>
            </w:pPr>
            <w:r>
              <w:t>SDS reference</w:t>
            </w:r>
          </w:p>
        </w:tc>
        <w:tc>
          <w:tcPr/>
          <w:p>
            <w:pPr>
              <w:pStyle w:val="TableContents"/>
            </w:pPr>
            <w:r>
              <w:t>Document number or database reference for the current SDS</w:t>
            </w:r>
          </w:p>
        </w:tc>
        <w:tc>
          <w:tcPr/>
          <w:p>
            <w:pPr>
              <w:pStyle w:val="TableContents"/>
            </w:pPr>
            <w:r>
              <w:rPr>
                <w:b/>
                <w:bCs/>
                <w:color w:val="0059D1"/>
              </w:rPr>
              <w:t>[INSERT: SDS reference number or database ID]</w:t>
            </w:r>
          </w:p>
        </w:tc>
      </w:tr>
      <w:tr>
        <w:tc>
          <w:tcPr/>
          <w:p>
            <w:pPr>
              <w:pStyle w:val="TableContents"/>
            </w:pPr>
            <w:r>
              <w:t>Risk rating</w:t>
            </w:r>
          </w:p>
        </w:tc>
        <w:tc>
          <w:tcPr/>
          <w:p>
            <w:pPr>
              <w:pStyle w:val="TableContents"/>
            </w:pPr>
            <w:r>
              <w:t>Risk rating from the substance risk assessment</w:t>
            </w:r>
          </w:p>
        </w:tc>
        <w:tc>
          <w:tcPr/>
          <w:p>
            <w:pPr>
              <w:pStyle w:val="TableContents"/>
            </w:pPr>
            <w:r>
              <w:rPr>
                <w:b/>
                <w:bCs/>
                <w:color w:val="0059D1"/>
              </w:rPr>
              <w:t>[INSERT: Low / Medium / High / Extreme]</w:t>
            </w:r>
          </w:p>
        </w:tc>
      </w:tr>
      <w:tr>
        <w:tc>
          <w:tcPr/>
          <w:p>
            <w:pPr>
              <w:pStyle w:val="TableContents"/>
            </w:pPr>
            <w:r>
              <w:t>Approved uses</w:t>
            </w:r>
          </w:p>
        </w:tc>
        <w:tc>
          <w:tcPr/>
          <w:p>
            <w:pPr>
              <w:pStyle w:val="TableContents"/>
            </w:pPr>
            <w:r>
              <w:t>Specific tasks or activities for which the substance is approved</w:t>
            </w:r>
          </w:p>
        </w:tc>
        <w:tc>
          <w:tcPr/>
          <w:p>
            <w:pPr>
              <w:pStyle w:val="TableContents"/>
            </w:pPr>
            <w:r>
              <w:rPr>
                <w:b/>
                <w:bCs/>
                <w:color w:val="0059D1"/>
              </w:rPr>
              <w:t>[INSERT: approved use description]</w:t>
            </w:r>
          </w:p>
        </w:tc>
      </w:tr>
      <w:tr>
        <w:tc>
          <w:tcPr/>
          <w:p>
            <w:pPr>
              <w:pStyle w:val="TableContents"/>
            </w:pPr>
            <w:r>
              <w:t>Approved users</w:t>
            </w:r>
          </w:p>
        </w:tc>
        <w:tc>
          <w:tcPr/>
          <w:p>
            <w:pPr>
              <w:pStyle w:val="TableContents"/>
            </w:pPr>
            <w:r>
              <w:t>Roles or work groups authorised to handle the substance</w:t>
            </w:r>
          </w:p>
        </w:tc>
        <w:tc>
          <w:tcPr/>
          <w:p>
            <w:pPr>
              <w:pStyle w:val="TableContents"/>
            </w:pPr>
            <w:r>
              <w:rPr>
                <w:b/>
                <w:bCs/>
                <w:color w:val="0059D1"/>
              </w:rPr>
              <w:t>[INSERT: role names]</w:t>
            </w:r>
          </w:p>
        </w:tc>
      </w:tr>
      <w:tr>
        <w:tc>
          <w:tcPr/>
          <w:p>
            <w:pPr>
              <w:pStyle w:val="TableContents"/>
            </w:pPr>
            <w:r>
              <w:t>Storage requirements</w:t>
            </w:r>
          </w:p>
        </w:tc>
        <w:tc>
          <w:tcPr/>
          <w:p>
            <w:pPr>
              <w:pStyle w:val="TableContents"/>
            </w:pPr>
            <w:r>
              <w:t>Storage location, segregation class, and containment standard</w:t>
            </w:r>
          </w:p>
        </w:tc>
        <w:tc>
          <w:tcPr/>
          <w:p>
            <w:pPr>
              <w:pStyle w:val="TableContents"/>
            </w:pPr>
            <w:r>
              <w:rPr>
                <w:b/>
                <w:bCs/>
                <w:color w:val="0059D1"/>
              </w:rPr>
              <w:t>[INSERT: storage area reference]</w:t>
            </w:r>
          </w:p>
        </w:tc>
      </w:tr>
      <w:tr>
        <w:tc>
          <w:tcPr/>
          <w:p>
            <w:pPr>
              <w:pStyle w:val="TableContents"/>
            </w:pPr>
            <w:r>
              <w:t>Disposal requirements</w:t>
            </w:r>
          </w:p>
        </w:tc>
        <w:tc>
          <w:tcPr/>
          <w:p>
            <w:pPr>
              <w:pStyle w:val="TableContents"/>
            </w:pPr>
            <w:r>
              <w:t>Disposal classification and method, cross-reference RTPR-HSE-PRO-0039</w:t>
            </w:r>
          </w:p>
        </w:tc>
        <w:tc>
          <w:tcPr/>
          <w:p>
            <w:pPr>
              <w:pStyle w:val="TableContents"/>
            </w:pPr>
            <w:r>
              <w:rPr>
                <w:b/>
                <w:bCs/>
                <w:color w:val="0059D1"/>
              </w:rPr>
              <w:t>[INSERT: disposal method]</w:t>
            </w:r>
          </w:p>
        </w:tc>
      </w:tr>
    </w:tbl>
    <w:p>
      <w:pPr>
        <w:pStyle w:val="Default"/>
      </w:pPr>
    </w:p>
    <w:p>
      <w:pPr>
        <w:pStyle w:val="NormalNumberedtext"/>
      </w:pPr>
      <w:r>
        <w:t>The HSESC Manager conducts a formal review of the register at least annually and after any significant change to the project scope, substances used, or applicable legislation. The review confirms that all listed substances remain approved, risk ratings remain current, and all fields are accurate.</w:t>
      </w:r>
    </w:p>
    <w:p>
      <w:pPr>
        <w:pStyle w:val="NormalNumberedtext"/>
      </w:pPr>
      <w:r>
        <w:t>The substance approval process for additions to the register is defined as follows:</w:t>
      </w:r>
    </w:p>
    <w:p>
      <w:pPr>
        <w:pStyle w:val="NormalNumberedtext"/>
      </w:pPr>
      <w:r>
        <w:rPr>
          <w:b/>
          <w:bCs/>
          <w:color w:val="0059D1"/>
        </w:rPr>
        <w:t>[INSERT: substance_approval_process] — Define who has authority to approve a new substance for use, what documentation is required (e.g., SDS, risk assessment, substitution assessment), and the review period before approval is granted.</w:t>
      </w:r>
    </w:p>
    <w:p>
      <w:pPr>
        <w:pStyle w:val="Heading2Numbered"/>
      </w:pPr>
      <w:r>
        <w:t>4.2  Safety Data Sheet Availability</w:t>
      </w:r>
    </w:p>
    <w:p>
      <w:pPr>
        <w:pStyle w:val="NormalNumberedtext"/>
      </w:pPr>
      <w:r>
        <w:t>This section defines when an SDS must be in place and how workers with potential exposure access current SDS information.</w:t>
      </w:r>
    </w:p>
    <w:p>
      <w:pPr>
        <w:pStyle w:val="NormalNumberedtext"/>
      </w:pPr>
      <w:r>
        <w:t>A legally compliant Safety Data Sheet must be obtained and reviewed before any hazardous substance is delivered to or used on site. No substance is added to the Hazardous Substances Register without a current SDS held on file. SDSs must comply with applicable national model work health and safety legislation and must be no more than five years old unless the supplier confirms no changes have occurred.</w:t>
      </w:r>
    </w:p>
    <w:p>
      <w:pPr>
        <w:pStyle w:val="NormalNumberedtext"/>
      </w:pPr>
      <w:r>
        <w:t>SDSs are accessible to all workers with potential exposure to a substance at all times. The access method for this project is:</w:t>
      </w:r>
    </w:p>
    <w:p>
      <w:pPr>
        <w:pStyle w:val="NormalNumberedtext"/>
      </w:pPr>
      <w:r>
        <w:rPr>
          <w:b/>
          <w:bCs/>
          <w:color w:val="0059D1"/>
        </w:rPr>
        <w:t>[INSERT: sds_access_method] — Define the SDS storage and access method for this project — for example, a named digital SDS database platform, physical binder locations at specific work areas, or a combination. Include specific locations.</w:t>
      </w:r>
    </w:p>
    <w:p>
      <w:pPr>
        <w:pStyle w:val="NormalNumberedtext"/>
      </w:pPr>
      <w:r>
        <w:t>The HSESC Manager confirms the SDS access method is communicated to all workers during site induction and is included in the project emergency response information available to emergency responders and regulators.</w:t>
      </w:r>
    </w:p>
    <w:p>
      <w:pPr>
        <w:pStyle w:val="Heading1Numbered"/>
      </w:pPr>
      <w:r>
        <w:t>5  Risk Assessment and Controls</w:t>
      </w:r>
    </w:p>
    <w:p>
      <w:pPr>
        <w:pStyle w:val="NormalNumberedtext"/>
      </w:pPr>
      <w:r>
        <w:t>This section defines the hazardous substance risk assessment process, the control hierarchy, special controls for high-hazard agents, and the substitution and minimisation requirements.</w:t>
      </w:r>
    </w:p>
    <w:p>
      <w:pPr>
        <w:pStyle w:val="Heading2Numbered"/>
      </w:pPr>
      <w:r>
        <w:t>5.1  Hazardous Substance Risk Assessment</w:t>
      </w:r>
    </w:p>
    <w:p>
      <w:pPr>
        <w:pStyle w:val="NormalNumberedtext"/>
      </w:pPr>
      <w:r>
        <w:t>This section defines when a risk assessment is required for a hazardous substance and the minimum process to be followed.</w:t>
      </w:r>
    </w:p>
    <w:p>
      <w:pPr>
        <w:pStyle w:val="NormalNumberedtext"/>
      </w:pPr>
      <w:r>
        <w:t>A documented risk assessment is completed for every hazardous substance listed in the register before first use on site. Risk assessments use the project risk assessment framework defined in RTPR-HSE-PRO-0002 and account for the substance hazard classification, the nature and duration of worker exposure, and the potential for environmental release.</w:t>
      </w:r>
    </w:p>
    <w:p>
      <w:pPr>
        <w:pStyle w:val="NormalNumberedtext"/>
      </w:pPr>
      <w:r>
        <w:t>Risk assessments are reviewed when a new use is proposed, when the substance or formulation changes, when an incident or near miss involving the substance occurs, or when a legislative or SDS change is identified. All incidents and near misses involving hazardous substances are reported per project requirements, refer RTPR-HSE-PRO-0009.</w:t>
      </w:r>
    </w:p>
    <w:p>
      <w:pPr>
        <w:pStyle w:val="Heading2Numbered"/>
      </w:pPr>
      <w:r>
        <w:t>5.2  Control Hierarchy</w:t>
      </w:r>
    </w:p>
    <w:p>
      <w:pPr>
        <w:pStyle w:val="NormalNumberedtext"/>
      </w:pPr>
      <w:r>
        <w:t>This section defines the order in which controls are selected and applied to hazardous substance risks.</w:t>
      </w:r>
    </w:p>
    <w:p>
      <w:pPr>
        <w:pStyle w:val="NormalNumberedtext"/>
      </w:pPr>
      <w:r>
        <w:t>Controls are selected and applied in the following order, with higher-order controls preferred over lower-order controls:</w:t>
      </w:r>
    </w:p>
    <w:p>
      <w:pPr>
        <w:pStyle w:val="NormalNumberedtext"/>
      </w:pPr>
      <w:r>
        <w:t>The control hierarchy for hazardous substance risks is:</w:t>
      </w:r>
    </w:p>
    <w:p>
      <w:pPr>
        <w:pStyle w:val="NumberedBulletL1"/>
      </w:pPr>
      <w:r>
        <w:t>Substitution: replace the hazardous substance with a safer alternative that achieves the same function at lower risk.</w:t>
      </w:r>
    </w:p>
    <w:p>
      <w:pPr>
        <w:pStyle w:val="NumberedBulletL1"/>
      </w:pPr>
      <w:r>
        <w:t>Engineering controls: contain or eliminate exposure through enclosed systems, local exhaust ventilation, automated handling, or physical separation.</w:t>
      </w:r>
    </w:p>
    <w:p>
      <w:pPr>
        <w:pStyle w:val="NumberedBulletL1"/>
      </w:pPr>
      <w:r>
        <w:t>Administrative controls: restrict access, limit exposure duration, implement safe work procedures, and provide training.</w:t>
      </w:r>
    </w:p>
    <w:p>
      <w:pPr>
        <w:pStyle w:val="NumberedBulletL1"/>
      </w:pPr>
      <w:r>
        <w:t>Personal protective equipment: use chemical-resistant PPE as a last resort where residual risk cannot be adequately managed by higher-order controls, in accordance with RTPR-HSE-PRO-0027.</w:t>
      </w:r>
    </w:p>
    <w:p>
      <w:pPr>
        <w:pStyle w:val="NormalNumberedtext"/>
      </w:pPr>
      <w:r>
        <w:t>Engineering controls are the primary means of managing occupational exposure to hazardous substances. Reliance on PPE alone is not acceptable where an engineering control is reasonably practicable. The HSESC Manager confirms that control selections are documented in the risk assessment record and reviewed at least annually.</w:t>
      </w:r>
    </w:p>
    <w:p>
      <w:pPr>
        <w:pStyle w:val="Heading2Numbered"/>
      </w:pPr>
      <w:r>
        <w:t>5.3  Substitution and Minimisation</w:t>
      </w:r>
    </w:p>
    <w:p>
      <w:pPr>
        <w:pStyle w:val="NormalNumberedtext"/>
      </w:pPr>
      <w:r>
        <w:t>This section defines the requirement to actively reduce the number and volume of hazardous substances used on the project.</w:t>
      </w:r>
    </w:p>
    <w:p>
      <w:pPr>
        <w:pStyle w:val="NormalNumberedtext"/>
      </w:pPr>
      <w:r>
        <w:t>The project applies a process to assess and implement safer alternatives to hazardous substances. The HSESC Manager maintains a record of substitution assessments conducted, the outcomes, and the rationale where a safer alternative was not adopted. Substitution assessments are conducted before a new substance is added to the register and when a less hazardous alternative becomes commercially available.</w:t>
      </w:r>
    </w:p>
    <w:p>
      <w:pPr>
        <w:pStyle w:val="NormalNumberedtext"/>
      </w:pPr>
      <w:r>
        <w:t>The number and volume of hazardous substances held on site is reduced to the minimum necessary to support planned work activities. Storage quantities are reviewed at each register review cycle and excess quantities are removed from site in accordance with RTPR-HSE-PRO-0039.</w:t>
      </w:r>
    </w:p>
    <w:p>
      <w:pPr>
        <w:pStyle w:val="Heading2Numbered"/>
      </w:pPr>
      <w:r>
        <w:t>5.4  Special Controls for Carcinogens, Mutagens, and Reproductive Hazards</w:t>
      </w:r>
    </w:p>
    <w:p>
      <w:pPr>
        <w:pStyle w:val="NormalNumberedtext"/>
      </w:pPr>
      <w:r>
        <w:t>This section defines the additional controls required for substances classified as carcinogenic, mutagenic, or toxic to reproduction.</w:t>
      </w:r>
    </w:p>
    <w:p>
      <w:pPr>
        <w:pStyle w:val="NormalNumberedtext"/>
      </w:pPr>
      <w:r>
        <w:t>Substances classified as known or suspected carcinogens, substances capable of causing genetic DNA mutations, or substances known or suspected to cause reproductive harm require documented special controls in addition to the standard risk assessment controls. Special controls include exposure monitoring, health surveillance where required by legislation, restricted access, and mandatory engineering containment.</w:t>
      </w:r>
    </w:p>
    <w:p>
      <w:pPr>
        <w:pStyle w:val="NormalNumberedtext"/>
      </w:pPr>
      <w:r>
        <w:t>The HSESC Manager maintains an action plan for each substance in this category, reviewed at least annually, confirming the controls remain effective and substitution options have been reconsidered. The responsible role for the annual review is:</w:t>
      </w:r>
    </w:p>
    <w:p>
      <w:pPr>
        <w:pStyle w:val="NormalNumberedtext"/>
      </w:pPr>
      <w:r>
        <w:rPr>
          <w:b/>
          <w:bCs/>
          <w:color w:val="0059D1"/>
        </w:rPr>
        <w:t>[INSERT: cmr_review_responsible_role] — Identify the role responsible for the annual review of carcinogen, mutagen, and reproductive hazard action plans on this project — for example, HSESC Manager or Project Health Advisor.</w:t>
      </w:r>
    </w:p>
    <w:p>
      <w:pPr>
        <w:pStyle w:val="NormalNumberedtext"/>
      </w:pPr>
      <w:r>
        <w:t>Substances in this category that are expected to be present on this project are identified as follows:</w:t>
      </w:r>
    </w:p>
    <w:p>
      <w:pPr>
        <w:pStyle w:val="NormalNumberedtext"/>
      </w:pPr>
      <w:r>
        <w:rPr>
          <w:b/>
          <w:bCs/>
          <w:color w:val="0059D1"/>
        </w:rPr>
        <w:t>[INSERT: cmr_substance_list] — Identify any substances in the project scope that may fall into the carcinogen, mutagen, or reproductive hazard category — for example, silica dust, diesel exhaust particulates, specific chemical reagents. Confirm the annual review process and responsible role.</w:t>
      </w:r>
    </w:p>
    <w:p>
      <w:pPr>
        <w:pStyle w:val="Heading1Numbered"/>
      </w:pPr>
      <w:r>
        <w:t>6  Storage and Containment</w:t>
      </w:r>
    </w:p>
    <w:p>
      <w:pPr>
        <w:pStyle w:val="NormalNumberedtext"/>
      </w:pPr>
      <w:r>
        <w:t>This section defines the storage, containment, segregation, labelling, and ventilation requirements for all hazardous substances held on site.</w:t>
      </w:r>
    </w:p>
    <w:p>
      <w:pPr>
        <w:pStyle w:val="Heading2Numbered"/>
      </w:pPr>
      <w:r>
        <w:t>6.1  General Storage Requirements</w:t>
      </w:r>
    </w:p>
    <w:p>
      <w:pPr>
        <w:pStyle w:val="NormalNumberedtext"/>
      </w:pPr>
      <w:r>
        <w:t>This section defines the physical storage standards that apply to all hazardous substance storage areas on the project.</w:t>
      </w:r>
    </w:p>
    <w:p>
      <w:pPr>
        <w:pStyle w:val="NormalNumberedtext"/>
      </w:pPr>
      <w:r>
        <w:t>All hazardous substances are stored in designated, labelled storage areas that meet the requirements defined in this section and in the applicable Australian Standard for storage and handling of dangerous goods. Storage areas are identified in the Hazardous Substances Register, RTPR-HSE-REG-0014, and approved before first use.</w:t>
      </w:r>
    </w:p>
    <w:p>
      <w:pPr>
        <w:pStyle w:val="NormalNumberedtext"/>
      </w:pPr>
      <w:r>
        <w:t>The following minimum standards apply to all hazardous substance storage areas:</w:t>
      </w:r>
    </w:p>
    <w:p>
      <w:pPr>
        <w:pStyle w:val="NormalNumberedtext"/>
      </w:pPr>
      <w:r>
        <w:t>Storage areas must meet the following minimum requirements:</w:t>
      </w:r>
    </w:p>
    <w:p>
      <w:pPr>
        <w:pStyle w:val="NumberedBulletL1"/>
      </w:pPr>
      <w:r>
        <w:t>Containers are labelled with the substance name, hazard class, and SDS reference.</w:t>
      </w:r>
    </w:p>
    <w:p>
      <w:pPr>
        <w:pStyle w:val="NumberedBulletL1"/>
      </w:pPr>
      <w:r>
        <w:t>Incompatible substances are physically separated and stored in dedicated bays — fuels, acids, oxidisers, and organic materials are not stored in the same bunded area.</w:t>
      </w:r>
    </w:p>
    <w:p>
      <w:pPr>
        <w:pStyle w:val="NumberedBulletL1"/>
      </w:pPr>
      <w:r>
        <w:t>Adequate natural or mechanical ventilation is provided to prevent accumulation of vapours or gases above occupational exposure limits.</w:t>
      </w:r>
    </w:p>
    <w:p>
      <w:pPr>
        <w:pStyle w:val="NumberedBulletL1"/>
      </w:pPr>
      <w:r>
        <w:t>Storage areas are inspected at a frequency defined in the site inspection schedule.</w:t>
      </w:r>
    </w:p>
    <w:p>
      <w:pPr>
        <w:pStyle w:val="NumberedBulletL1"/>
      </w:pPr>
      <w:r>
        <w:rPr>
          <w:color w:val="C55A11"/>
        </w:rPr>
        <w:t>Storage areas are inspected weekly by the area supervisor, with records retained for the duration of the project.</w:t>
      </w:r>
    </w:p>
    <w:p>
      <w:pPr>
        <w:pStyle w:val="NormalNumberedtext"/>
      </w:pPr>
      <w:r>
        <w:t>The installation of new underground tanks or pipelines for hazardous or high-risk materials is prohibited on this project. All new bulk storage installations use above-ground systems with secondary containment.</w:t>
      </w:r>
    </w:p>
    <w:p>
      <w:pPr>
        <w:pStyle w:val="Heading2Numbered"/>
      </w:pPr>
      <w:r>
        <w:t>6.2  Secondary Containment</w:t>
      </w:r>
    </w:p>
    <w:p>
      <w:pPr>
        <w:pStyle w:val="NormalNumberedtext"/>
      </w:pPr>
      <w:r>
        <w:t>This section defines the secondary containment sizing standard and the specific containment requirements for bulk storage areas on this project.</w:t>
      </w:r>
    </w:p>
    <w:p>
      <w:pPr>
        <w:pStyle w:val="NormalNumberedtext"/>
      </w:pPr>
      <w:r>
        <w:t>Secondary containment is provided for all bulk storage of hazardous substances. Bunding and secondary containment systems are designed and constructed to hold the greater of 110% of the largest single container volume within the bunded area, or 25% of the total stored volume within the bunded area.</w:t>
      </w:r>
    </w:p>
    <w:p>
      <w:pPr>
        <w:pStyle w:val="NormalNumberedtext"/>
      </w:pPr>
      <w:r>
        <w:t>The secondary containment and bunding specifications for bulk storage areas on this project are defined as follows:</w:t>
      </w:r>
    </w:p>
    <w:p>
      <w:pPr>
        <w:pStyle w:val="NormalNumberedtext"/>
      </w:pPr>
      <w:r>
        <w:rPr>
          <w:b/>
          <w:bCs/>
          <w:color w:val="0059D1"/>
        </w:rPr>
        <w:t>[INSERT: secondary_containment_specifications] — Define the secondary containment and bunding specifications for each bulk storage area on this project, referencing the specific storage locations, materials stored, bund capacity calculations, and construction standard adopted.</w:t>
      </w:r>
    </w:p>
    <w:p>
      <w:pPr>
        <w:pStyle w:val="NormalNumberedtext"/>
      </w:pPr>
      <w:r>
        <w:t>Table: Bulk Storage Areas — Secondary Containment Requirements</w:t>
      </w:r>
    </w:p>
    <w:tbl>
      <w:tblPr>
        <w:tblStyle w:val="TableOption2"/>
        <w:tblW w:type="pct" w:w="5000"/>
      </w:tblPr>
      <w:tr>
        <w:trPr>
          <w:tblHeader/>
        </w:trPr>
        <w:tc>
          <w:tcPr>
            <w:shd w:val="clear" w:color="auto" w:fill="1F3864"/>
          </w:tcPr>
          <w:p>
            <w:pPr>
              <w:pStyle w:val="TableContents"/>
            </w:pPr>
            <w:r>
              <w:rPr>
                <w:b/>
                <w:bCs/>
                <w:color w:val="FFFFFF"/>
              </w:rPr>
              <w:t>Storage Area</w:t>
            </w:r>
          </w:p>
        </w:tc>
        <w:tc>
          <w:tcPr>
            <w:shd w:val="clear" w:color="auto" w:fill="1F3864"/>
          </w:tcPr>
          <w:p>
            <w:pPr>
              <w:pStyle w:val="TableContents"/>
            </w:pPr>
            <w:r>
              <w:rPr>
                <w:b/>
                <w:bCs/>
                <w:color w:val="FFFFFF"/>
              </w:rPr>
              <w:t>Substance(s) Stored</w:t>
            </w:r>
          </w:p>
        </w:tc>
        <w:tc>
          <w:tcPr>
            <w:shd w:val="clear" w:color="auto" w:fill="1F3864"/>
          </w:tcPr>
          <w:p>
            <w:pPr>
              <w:pStyle w:val="TableContents"/>
            </w:pPr>
            <w:r>
              <w:rPr>
                <w:b/>
                <w:bCs/>
                <w:color w:val="FFFFFF"/>
              </w:rPr>
              <w:t>Largest Single Container (L)</w:t>
            </w:r>
          </w:p>
        </w:tc>
        <w:tc>
          <w:tcPr>
            <w:shd w:val="clear" w:color="auto" w:fill="1F3864"/>
          </w:tcPr>
          <w:p>
            <w:pPr>
              <w:pStyle w:val="TableContents"/>
            </w:pPr>
            <w:r>
              <w:rPr>
                <w:b/>
                <w:bCs/>
                <w:color w:val="FFFFFF"/>
              </w:rPr>
              <w:t>Total Stored Volume (L)</w:t>
            </w:r>
          </w:p>
        </w:tc>
        <w:tc>
          <w:tcPr>
            <w:shd w:val="clear" w:color="auto" w:fill="1F3864"/>
          </w:tcPr>
          <w:p>
            <w:pPr>
              <w:pStyle w:val="TableContents"/>
            </w:pPr>
            <w:r>
              <w:rPr>
                <w:b/>
                <w:bCs/>
                <w:color w:val="FFFFFF"/>
              </w:rPr>
              <w:t>Required Bund Capacity (L)</w:t>
            </w:r>
          </w:p>
        </w:tc>
        <w:tc>
          <w:tcPr>
            <w:shd w:val="clear" w:color="auto" w:fill="1F3864"/>
          </w:tcPr>
          <w:p>
            <w:pPr>
              <w:pStyle w:val="TableContents"/>
            </w:pPr>
            <w:r>
              <w:rPr>
                <w:b/>
                <w:bCs/>
                <w:color w:val="FFFFFF"/>
              </w:rPr>
              <w:t>Containment Standard</w:t>
            </w:r>
          </w:p>
        </w:tc>
      </w:tr>
      <w:tr>
        <w:tc>
          <w:tcPr/>
          <w:p>
            <w:pPr>
              <w:pStyle w:val="TableContents"/>
            </w:pPr>
            <w:r>
              <w:rPr>
                <w:b/>
                <w:bCs/>
                <w:color w:val="0059D1"/>
              </w:rPr>
              <w:t>[INSERT: storage area name]</w:t>
            </w:r>
          </w:p>
        </w:tc>
        <w:tc>
          <w:tcPr/>
          <w:p>
            <w:pPr>
              <w:pStyle w:val="TableContents"/>
            </w:pPr>
            <w:r>
              <w:rPr>
                <w:b/>
                <w:bCs/>
                <w:color w:val="0059D1"/>
              </w:rPr>
              <w:t>[INSERT: substance name and hazard class]</w:t>
            </w:r>
          </w:p>
        </w:tc>
        <w:tc>
          <w:tcPr/>
          <w:p>
            <w:pPr>
              <w:pStyle w:val="TableContents"/>
            </w:pPr>
            <w:r>
              <w:rPr>
                <w:b/>
                <w:bCs/>
                <w:color w:val="0059D1"/>
              </w:rPr>
              <w:t>[INSERT: volume]</w:t>
            </w:r>
          </w:p>
        </w:tc>
        <w:tc>
          <w:tcPr/>
          <w:p>
            <w:pPr>
              <w:pStyle w:val="TableContents"/>
            </w:pPr>
            <w:r>
              <w:rPr>
                <w:b/>
                <w:bCs/>
                <w:color w:val="0059D1"/>
              </w:rPr>
              <w:t>[INSERT: volume]</w:t>
            </w:r>
          </w:p>
        </w:tc>
        <w:tc>
          <w:tcPr/>
          <w:p>
            <w:pPr>
              <w:pStyle w:val="TableContents"/>
            </w:pPr>
            <w:r>
              <w:rPr>
                <w:b/>
                <w:bCs/>
                <w:color w:val="0059D1"/>
              </w:rPr>
              <w:t>[INSERT: calculated capacity]</w:t>
            </w:r>
          </w:p>
        </w:tc>
        <w:tc>
          <w:tcPr/>
          <w:p>
            <w:pPr>
              <w:pStyle w:val="TableContents"/>
            </w:pPr>
            <w:r>
              <w:rPr>
                <w:b/>
                <w:bCs/>
                <w:color w:val="0059D1"/>
              </w:rPr>
              <w:t>[INSERT: standard reference]</w:t>
            </w:r>
          </w:p>
        </w:tc>
      </w:tr>
      <w:tr>
        <w:tc>
          <w:tcPr/>
          <w:p>
            <w:pPr>
              <w:pStyle w:val="TableContents"/>
            </w:pPr>
            <w:r>
              <w:rPr>
                <w:b/>
                <w:bCs/>
                <w:color w:val="0059D1"/>
              </w:rPr>
              <w:t>[INSERT: storage area name]</w:t>
            </w:r>
          </w:p>
        </w:tc>
        <w:tc>
          <w:tcPr/>
          <w:p>
            <w:pPr>
              <w:pStyle w:val="TableContents"/>
            </w:pPr>
            <w:r>
              <w:rPr>
                <w:b/>
                <w:bCs/>
                <w:color w:val="0059D1"/>
              </w:rPr>
              <w:t>[INSERT: substance name and hazard class]</w:t>
            </w:r>
          </w:p>
        </w:tc>
        <w:tc>
          <w:tcPr/>
          <w:p>
            <w:pPr>
              <w:pStyle w:val="TableContents"/>
            </w:pPr>
            <w:r>
              <w:rPr>
                <w:b/>
                <w:bCs/>
                <w:color w:val="0059D1"/>
              </w:rPr>
              <w:t>[INSERT: volume]</w:t>
            </w:r>
          </w:p>
        </w:tc>
        <w:tc>
          <w:tcPr/>
          <w:p>
            <w:pPr>
              <w:pStyle w:val="TableContents"/>
            </w:pPr>
            <w:r>
              <w:rPr>
                <w:b/>
                <w:bCs/>
                <w:color w:val="0059D1"/>
              </w:rPr>
              <w:t>[INSERT: volume]</w:t>
            </w:r>
          </w:p>
        </w:tc>
        <w:tc>
          <w:tcPr/>
          <w:p>
            <w:pPr>
              <w:pStyle w:val="TableContents"/>
            </w:pPr>
            <w:r>
              <w:rPr>
                <w:b/>
                <w:bCs/>
                <w:color w:val="0059D1"/>
              </w:rPr>
              <w:t>[INSERT: calculated capacity]</w:t>
            </w:r>
          </w:p>
        </w:tc>
        <w:tc>
          <w:tcPr/>
          <w:p>
            <w:pPr>
              <w:pStyle w:val="TableContents"/>
            </w:pPr>
            <w:r>
              <w:rPr>
                <w:b/>
                <w:bCs/>
                <w:color w:val="0059D1"/>
              </w:rPr>
              <w:t>[INSERT: standard reference]</w:t>
            </w:r>
          </w:p>
        </w:tc>
      </w:tr>
    </w:tbl>
    <w:p>
      <w:pPr>
        <w:pStyle w:val="Default"/>
      </w:pPr>
    </w:p>
    <w:p>
      <w:pPr>
        <w:pStyle w:val="NormalNumberedtext"/>
      </w:pPr>
      <w:r>
        <w:t>Bund integrity is inspected at each site inspection and after any spill, significant rainfall event, or damage to the containment structure. Defects are reported and remediated before the storage area is returned to service.</w:t>
      </w:r>
    </w:p>
    <w:p>
      <w:pPr>
        <w:pStyle w:val="Heading1Numbered"/>
      </w:pPr>
      <w:r>
        <w:t>7  Spill Prevention and Response</w:t>
      </w:r>
    </w:p>
    <w:p>
      <w:pPr>
        <w:pStyle w:val="NormalNumberedtext"/>
      </w:pPr>
      <w:r>
        <w:t>This section defines spill prevention controls, inspection requirements, spill response procedures, environmental notification thresholds, and response equipment and training requirements.</w:t>
      </w:r>
    </w:p>
    <w:p>
      <w:pPr>
        <w:pStyle w:val="Heading2Numbered"/>
      </w:pPr>
      <w:r>
        <w:t>7.1  Spill Prevention Controls</w:t>
      </w:r>
    </w:p>
    <w:p>
      <w:pPr>
        <w:pStyle w:val="NormalNumberedtext"/>
      </w:pPr>
      <w:r>
        <w:t>This section defines the engineering and procedural controls applied to prevent uncontrolled releases of hazardous substances.</w:t>
      </w:r>
    </w:p>
    <w:p>
      <w:pPr>
        <w:pStyle w:val="NormalNumberedtext"/>
      </w:pPr>
      <w:r>
        <w:t>Spill prevention controls are established for all areas where hazardous substances are stored, transferred, or used in quantity. Controls include secondary containment as defined in Section 4, regular inspection of bunding integrity, and emergency shutoffs on bulk transfer lines and storage tanks. The HSESC Manager confirms all spill prevention controls are in place before a storage area or transfer system is commissioned.</w:t>
      </w:r>
    </w:p>
    <w:p>
      <w:pPr>
        <w:pStyle w:val="NormalNumberedtext"/>
      </w:pPr>
      <w:r>
        <w:t>Spill prevention near waterways is coordinated with the project water quality controls defined in RTPR-HSE-PRO-0034. Any substance storage or use activity within the setback distance from a waterway requires prior review and approval from the HSESC Manager before commencement.</w:t>
      </w:r>
    </w:p>
    <w:p>
      <w:pPr>
        <w:pStyle w:val="Heading2Numbered"/>
      </w:pPr>
      <w:r>
        <w:t>7.2  Spill Response</w:t>
      </w:r>
    </w:p>
    <w:p>
      <w:pPr>
        <w:pStyle w:val="NormalNumberedtext"/>
      </w:pPr>
      <w:r>
        <w:t>This section defines the spill response process by spill size and substance type and the environmental notification thresholds that apply.</w:t>
      </w:r>
    </w:p>
    <w:p>
      <w:pPr>
        <w:pStyle w:val="NormalNumberedtext"/>
      </w:pPr>
      <w:r>
        <w:t>Spill response procedures are developed and maintained as part of the site emergency preparedness plan. Procedures define response actions by spill size and substance type, identify the roles responsible for initial response and escalation, and specify the environmental notification thresholds that require notification to the regulator or relevant authority.</w:t>
      </w:r>
    </w:p>
    <w:p>
      <w:pPr>
        <w:pStyle w:val="NormalNumberedtext"/>
      </w:pPr>
      <w:r>
        <w:t>Table: Spill Response Tiers</w:t>
      </w:r>
    </w:p>
    <w:tbl>
      <w:tblPr>
        <w:tblStyle w:val="TableOption2"/>
        <w:tblW w:type="pct" w:w="5000"/>
      </w:tblPr>
      <w:tr>
        <w:trPr>
          <w:tblHeader/>
        </w:trPr>
        <w:tc>
          <w:tcPr>
            <w:shd w:val="clear" w:color="auto" w:fill="1F3864"/>
          </w:tcPr>
          <w:p>
            <w:pPr>
              <w:pStyle w:val="TableContents"/>
            </w:pPr>
            <w:r>
              <w:rPr>
                <w:b/>
                <w:bCs/>
                <w:color w:val="FFFFFF"/>
              </w:rPr>
              <w:t>Spill Tier</w:t>
            </w:r>
          </w:p>
        </w:tc>
        <w:tc>
          <w:tcPr>
            <w:shd w:val="clear" w:color="auto" w:fill="1F3864"/>
          </w:tcPr>
          <w:p>
            <w:pPr>
              <w:pStyle w:val="TableContents"/>
            </w:pPr>
            <w:r>
              <w:rPr>
                <w:b/>
                <w:bCs/>
                <w:color w:val="FFFFFF"/>
              </w:rPr>
              <w:t>Spill Volume or Substance Type</w:t>
            </w:r>
          </w:p>
        </w:tc>
        <w:tc>
          <w:tcPr>
            <w:shd w:val="clear" w:color="auto" w:fill="1F3864"/>
          </w:tcPr>
          <w:p>
            <w:pPr>
              <w:pStyle w:val="TableContents"/>
            </w:pPr>
            <w:r>
              <w:rPr>
                <w:b/>
                <w:bCs/>
                <w:color w:val="FFFFFF"/>
              </w:rPr>
              <w:t>Initial Response Action</w:t>
            </w:r>
          </w:p>
        </w:tc>
        <w:tc>
          <w:tcPr>
            <w:shd w:val="clear" w:color="auto" w:fill="1F3864"/>
          </w:tcPr>
          <w:p>
            <w:pPr>
              <w:pStyle w:val="TableContents"/>
            </w:pPr>
            <w:r>
              <w:rPr>
                <w:b/>
                <w:bCs/>
                <w:color w:val="FFFFFF"/>
              </w:rPr>
              <w:t>Notification Requirement</w:t>
            </w:r>
          </w:p>
        </w:tc>
      </w:tr>
      <w:tr>
        <w:tc>
          <w:tcPr/>
          <w:p>
            <w:pPr>
              <w:pStyle w:val="TableContents"/>
            </w:pPr>
            <w:r>
              <w:t>Minor</w:t>
            </w:r>
          </w:p>
        </w:tc>
        <w:tc>
          <w:tcPr/>
          <w:p>
            <w:pPr>
              <w:pStyle w:val="TableContents"/>
            </w:pPr>
            <w:r>
              <w:t>Small volume, contained within bund, no environmental receptor at risk</w:t>
            </w:r>
          </w:p>
        </w:tc>
        <w:tc>
          <w:tcPr/>
          <w:p>
            <w:pPr>
              <w:pStyle w:val="TableContents"/>
            </w:pPr>
            <w:r>
              <w:t>Work group contains and cleans up using on-hand equipment; supervisor notified</w:t>
            </w:r>
          </w:p>
        </w:tc>
        <w:tc>
          <w:tcPr/>
          <w:p>
            <w:pPr>
              <w:pStyle w:val="TableContents"/>
            </w:pPr>
            <w:r>
              <w:t>Internal notification to HSESC Manager within same shift</w:t>
            </w:r>
          </w:p>
        </w:tc>
      </w:tr>
      <w:tr>
        <w:tc>
          <w:tcPr/>
          <w:p>
            <w:pPr>
              <w:pStyle w:val="TableContents"/>
            </w:pPr>
            <w:r>
              <w:t>Significant</w:t>
            </w:r>
          </w:p>
        </w:tc>
        <w:tc>
          <w:tcPr/>
          <w:p>
            <w:pPr>
              <w:pStyle w:val="TableContents"/>
            </w:pPr>
            <w:r>
              <w:t>Larger volume or substance with high environmental hazard, or release beyond bund</w:t>
            </w:r>
          </w:p>
        </w:tc>
        <w:tc>
          <w:tcPr/>
          <w:p>
            <w:pPr>
              <w:pStyle w:val="TableContents"/>
            </w:pPr>
            <w:r>
              <w:t>Work stops, area isolated, HSESC Manager and emergency response team notified</w:t>
            </w:r>
          </w:p>
        </w:tc>
        <w:tc>
          <w:tcPr/>
          <w:p>
            <w:pPr>
              <w:pStyle w:val="TableContents"/>
            </w:pPr>
            <w:r>
              <w:t>Internal notification immediate; assess regulatory notification threshold</w:t>
            </w:r>
          </w:p>
        </w:tc>
      </w:tr>
      <w:tr>
        <w:tc>
          <w:tcPr/>
          <w:p>
            <w:pPr>
              <w:pStyle w:val="TableContents"/>
            </w:pPr>
            <w:r>
              <w:t>Major</w:t>
            </w:r>
          </w:p>
        </w:tc>
        <w:tc>
          <w:tcPr/>
          <w:p>
            <w:pPr>
              <w:pStyle w:val="TableContents"/>
            </w:pPr>
            <w:r>
              <w:t>Release to environment, waterway, or community area; or substance classified as a priority pollutant</w:t>
            </w:r>
          </w:p>
        </w:tc>
        <w:tc>
          <w:tcPr/>
          <w:p>
            <w:pPr>
              <w:pStyle w:val="TableContents"/>
            </w:pPr>
            <w:r>
              <w:t>Site emergency response activated; HSESC Manager and Project Manager notified immediately</w:t>
            </w:r>
          </w:p>
        </w:tc>
        <w:tc>
          <w:tcPr/>
          <w:p>
            <w:pPr>
              <w:pStyle w:val="TableContents"/>
            </w:pPr>
            <w:r>
              <w:rPr>
                <w:b/>
                <w:bCs/>
                <w:color w:val="0059D1"/>
              </w:rPr>
              <w:t>[INSERT: define regulatory notification threshold and authority contact details]</w:t>
            </w:r>
          </w:p>
        </w:tc>
      </w:tr>
      <w:tr>
        <w:tc>
          <w:tcPr/>
          <w:p>
            <w:pPr>
              <w:pStyle w:val="TableContents"/>
            </w:pPr>
            <w:r>
              <w:rPr>
                <w:b/>
                <w:bCs/>
                <w:color w:val="0059D1"/>
              </w:rPr>
              <w:t>[INSERT: project-specific tier]</w:t>
            </w:r>
          </w:p>
        </w:tc>
        <w:tc>
          <w:tcPr/>
          <w:p>
            <w:pPr>
              <w:pStyle w:val="TableContents"/>
            </w:pPr>
            <w:r>
              <w:rPr>
                <w:b/>
                <w:bCs/>
                <w:color w:val="0059D1"/>
              </w:rPr>
              <w:t>[INSERT: substance type or volume threshold]</w:t>
            </w:r>
          </w:p>
        </w:tc>
        <w:tc>
          <w:tcPr/>
          <w:p>
            <w:pPr>
              <w:pStyle w:val="TableContents"/>
            </w:pPr>
            <w:r>
              <w:rPr>
                <w:b/>
                <w:bCs/>
                <w:color w:val="0059D1"/>
              </w:rPr>
              <w:t>[INSERT: response action]</w:t>
            </w:r>
          </w:p>
        </w:tc>
        <w:tc>
          <w:tcPr/>
          <w:p>
            <w:pPr>
              <w:pStyle w:val="TableContents"/>
            </w:pPr>
            <w:r>
              <w:rPr>
                <w:b/>
                <w:bCs/>
                <w:color w:val="0059D1"/>
              </w:rPr>
              <w:t>[INSERT: notification requirement]</w:t>
            </w:r>
          </w:p>
        </w:tc>
      </w:tr>
    </w:tbl>
    <w:p>
      <w:pPr>
        <w:pStyle w:val="Default"/>
      </w:pPr>
    </w:p>
    <w:p>
      <w:pPr>
        <w:pStyle w:val="NormalNumberedtext"/>
      </w:pPr>
      <w:r>
        <w:t>All spill events are reported per project requirements, refer RTPR-HSE-PRO-0009. Spills with potential environmental impact are also managed in accordance with RTPR-HSE-PRO-0034.</w:t>
      </w:r>
    </w:p>
    <w:p>
      <w:pPr>
        <w:pStyle w:val="NormalNumberedtext"/>
      </w:pPr>
      <w:r>
        <w:t>Spill response procedures are tested at least annually through a tabletop or field exercise. The HSESC Manager confirms that spill response equipment is inspected monthly, is available at all storage and transfer locations, and that all personnel with spill response responsibilities are trained before commencing those duties.</w:t>
      </w:r>
    </w:p>
    <w:p>
      <w:pPr>
        <w:pStyle w:val="NormalNumberedtext"/>
      </w:pPr>
      <w:r>
        <w:t>Spill response equipment maintained on site includes, at minimum:</w:t>
      </w:r>
    </w:p>
    <w:p>
      <w:pPr>
        <w:pStyle w:val="NumberedBulletL1"/>
      </w:pPr>
      <w:r>
        <w:t>Absorbent materials appropriate to the substance classes stored on site.</w:t>
      </w:r>
    </w:p>
    <w:p>
      <w:pPr>
        <w:pStyle w:val="NumberedBulletL1"/>
      </w:pPr>
      <w:r>
        <w:t>Containment booms and drain covers for use in preventing migration to stormwater or surface water.</w:t>
      </w:r>
    </w:p>
    <w:p>
      <w:pPr>
        <w:pStyle w:val="NumberedBulletL1"/>
      </w:pPr>
      <w:r>
        <w:t>Personal protective equipment for spill response consistent with RTPR-HSE-PRO-0027.</w:t>
      </w:r>
    </w:p>
    <w:p>
      <w:pPr>
        <w:pStyle w:val="NumberedBulletL1"/>
      </w:pPr>
      <w:r>
        <w:rPr>
          <w:color w:val="C55A11"/>
        </w:rPr>
        <w:t>A minimum of two spill kits rated for 200 L each, located at the primary fuel storage area and the chemical storage area.</w:t>
      </w:r>
    </w:p>
    <w:p>
      <w:pPr>
        <w:pStyle w:val="NumberedBulletL1"/>
      </w:pPr>
      <w:r>
        <w:rPr>
          <w:b/>
          <w:bCs/>
          <w:color w:val="0059D1"/>
        </w:rPr>
        <w:t>[INSERT: additional_spill_equipment]</w:t>
      </w:r>
    </w:p>
    <w:p>
      <w:pPr>
        <w:pStyle w:val="Heading1Numbered"/>
      </w:pPr>
      <w:r>
        <w:t>8  Firefighting Foams — PFAS Prohibition and Phase-Out</w:t>
      </w:r>
    </w:p>
    <w:p>
      <w:pPr>
        <w:pStyle w:val="NormalNumberedtext"/>
      </w:pPr>
      <w:r>
        <w:t>This section defines the requirement for fluorine-free firefighting foams and the controls that apply where legacy PFAS-containing systems are temporarily retained.</w:t>
      </w:r>
    </w:p>
    <w:p>
      <w:pPr>
        <w:pStyle w:val="Heading2Numbered"/>
      </w:pPr>
      <w:r>
        <w:t>8.1  PFAS Prohibition</w:t>
      </w:r>
    </w:p>
    <w:p>
      <w:pPr>
        <w:pStyle w:val="NormalNumberedtext"/>
      </w:pPr>
      <w:r>
        <w:t>This section defines the prohibition on PFAS-containing firefighting foams and the approval process for any temporary retention of legacy systems.</w:t>
      </w:r>
    </w:p>
    <w:p>
      <w:pPr>
        <w:pStyle w:val="NormalNumberedtext"/>
      </w:pPr>
      <w:r>
        <w:t>Only fluorine-free firefighting foams are purchased and used on this project. The procurement of any firefighting foam product containing per- and polyfluoroalkyl substances is prohibited. This requirement applies from project mobilisation and is included in the procurement specifications for fire suppression equipment and consumables.</w:t>
      </w:r>
    </w:p>
    <w:p>
      <w:pPr>
        <w:pStyle w:val="NormalNumberedtext"/>
      </w:pPr>
      <w:r>
        <w:t>Where a legacy PFAS-containing fixed suppression or portable system is temporarily retained on site due to emergency response requirements or limited disposal options, the following requirements apply before the system is retained in service:</w:t>
      </w:r>
    </w:p>
    <w:p>
      <w:pPr>
        <w:pStyle w:val="NormalNumberedtext"/>
      </w:pPr>
      <w:r>
        <w:t>Legacy PFAS system retention requires all of the following:</w:t>
      </w:r>
    </w:p>
    <w:p>
      <w:pPr>
        <w:pStyle w:val="NumberedBulletL1"/>
      </w:pPr>
      <w:r>
        <w:t>Documented justification approved by the Project Manager and HSESC Manager, recording the specific reason fluorine-free substitution cannot be immediately achieved.</w:t>
      </w:r>
    </w:p>
    <w:p>
      <w:pPr>
        <w:pStyle w:val="NumberedBulletL1"/>
      </w:pPr>
      <w:r>
        <w:t>Documented controls to prevent any release of PFAS-containing foam to the environment during the retention period, including physical isolation of discharge points, inspection records, and bunding.</w:t>
      </w:r>
    </w:p>
    <w:p>
      <w:pPr>
        <w:pStyle w:val="NumberedBulletL1"/>
      </w:pPr>
      <w:r>
        <w:t>A defined phase-out plan with a target completion date and interim milestones, reviewed at each annual register review.</w:t>
      </w:r>
    </w:p>
    <w:p>
      <w:pPr>
        <w:pStyle w:val="NumberedBulletL1"/>
      </w:pPr>
      <w:r>
        <w:rPr>
          <w:color w:val="C55A11"/>
        </w:rPr>
        <w:t>Phase-out to be completed within 12 months of the retention justification being approved, unless a specific technical or regulatory barrier prevents earlier completion.</w:t>
      </w:r>
    </w:p>
    <w:p>
      <w:pPr>
        <w:pStyle w:val="NormalNumberedtext"/>
      </w:pPr>
      <w:r>
        <w:t>The HSESC Manager maintains the record of all legacy PFAS system justifications and phase-out plans and reports progress at each monthly HSESC management review.</w:t>
      </w:r>
    </w:p>
    <w:p>
      <w:pPr>
        <w:pStyle w:val="Heading1Numbered"/>
      </w:pPr>
      <w:r>
        <w:t>9  Sewerage and Wastewater</w:t>
      </w:r>
    </w:p>
    <w:p>
      <w:pPr>
        <w:pStyle w:val="NormalNumberedtext"/>
      </w:pPr>
      <w:r>
        <w:t>This section defines the sewerage and wastewater treatment, discharge, and monitoring requirements that apply to the project.</w:t>
      </w:r>
    </w:p>
    <w:p>
      <w:pPr>
        <w:pStyle w:val="Heading2Numbered"/>
      </w:pPr>
      <w:r>
        <w:t>9.1  Treatment and Discharge Standards</w:t>
      </w:r>
    </w:p>
    <w:p>
      <w:pPr>
        <w:pStyle w:val="NormalNumberedtext"/>
      </w:pPr>
      <w:r>
        <w:t>This section defines the treatment standards, discharge licence compliance requirements, and monitoring obligations for project wastewater.</w:t>
      </w:r>
    </w:p>
    <w:p>
      <w:pPr>
        <w:pStyle w:val="NormalNumberedtext"/>
      </w:pPr>
      <w:r>
        <w:t>All sewerage and wastewater generated on site is managed to prevent contamination of surface water, groundwater, and soils. Treatment systems are selected based on the wastewater type, volume, and the characteristics of the receiving environment. Discharge standards comply with all applicable licence conditions and regulatory limits. The legal compliance obligations for wastewater discharge are governed by RTPR-HSE-PRO-0001.</w:t>
      </w:r>
    </w:p>
    <w:p>
      <w:pPr>
        <w:pStyle w:val="NormalNumberedtext"/>
      </w:pPr>
      <w:r>
        <w:t>The HSESC Manager confirms that monitoring of wastewater discharges is conducted at the frequency and for the parameters required by the applicable discharge licence. Monitoring records are retained for the duration of the project and for the post-project period required by the licence conditions.</w:t>
      </w:r>
    </w:p>
    <w:p>
      <w:pPr>
        <w:pStyle w:val="NormalNumberedtext"/>
      </w:pPr>
      <w:r>
        <w:t>Table: Wastewater Discharge Points and Monitoring Requirements</w:t>
      </w:r>
    </w:p>
    <w:tbl>
      <w:tblPr>
        <w:tblStyle w:val="TableOption2"/>
        <w:tblW w:type="pct" w:w="5000"/>
      </w:tblPr>
      <w:tr>
        <w:trPr>
          <w:tblHeader/>
        </w:trPr>
        <w:tc>
          <w:tcPr>
            <w:shd w:val="clear" w:color="auto" w:fill="1F3864"/>
          </w:tcPr>
          <w:p>
            <w:pPr>
              <w:pStyle w:val="TableContents"/>
            </w:pPr>
            <w:r>
              <w:rPr>
                <w:b/>
                <w:bCs/>
                <w:color w:val="FFFFFF"/>
              </w:rPr>
              <w:t>Discharge Point</w:t>
            </w:r>
          </w:p>
        </w:tc>
        <w:tc>
          <w:tcPr>
            <w:shd w:val="clear" w:color="auto" w:fill="1F3864"/>
          </w:tcPr>
          <w:p>
            <w:pPr>
              <w:pStyle w:val="TableContents"/>
            </w:pPr>
            <w:r>
              <w:rPr>
                <w:b/>
                <w:bCs/>
                <w:color w:val="FFFFFF"/>
              </w:rPr>
              <w:t>Wastewater Type</w:t>
            </w:r>
          </w:p>
        </w:tc>
        <w:tc>
          <w:tcPr>
            <w:shd w:val="clear" w:color="auto" w:fill="1F3864"/>
          </w:tcPr>
          <w:p>
            <w:pPr>
              <w:pStyle w:val="TableContents"/>
            </w:pPr>
            <w:r>
              <w:rPr>
                <w:b/>
                <w:bCs/>
                <w:color w:val="FFFFFF"/>
              </w:rPr>
              <w:t>Treatment Method</w:t>
            </w:r>
          </w:p>
        </w:tc>
        <w:tc>
          <w:tcPr>
            <w:shd w:val="clear" w:color="auto" w:fill="1F3864"/>
          </w:tcPr>
          <w:p>
            <w:pPr>
              <w:pStyle w:val="TableContents"/>
            </w:pPr>
            <w:r>
              <w:rPr>
                <w:b/>
                <w:bCs/>
                <w:color w:val="FFFFFF"/>
              </w:rPr>
              <w:t>Discharge Standard</w:t>
            </w:r>
          </w:p>
        </w:tc>
        <w:tc>
          <w:tcPr>
            <w:shd w:val="clear" w:color="auto" w:fill="1F3864"/>
          </w:tcPr>
          <w:p>
            <w:pPr>
              <w:pStyle w:val="TableContents"/>
            </w:pPr>
            <w:r>
              <w:rPr>
                <w:b/>
                <w:bCs/>
                <w:color w:val="FFFFFF"/>
              </w:rPr>
              <w:t>Monitoring Parameter</w:t>
            </w:r>
          </w:p>
        </w:tc>
        <w:tc>
          <w:tcPr>
            <w:shd w:val="clear" w:color="auto" w:fill="1F3864"/>
          </w:tcPr>
          <w:p>
            <w:pPr>
              <w:pStyle w:val="TableContents"/>
            </w:pPr>
            <w:r>
              <w:rPr>
                <w:b/>
                <w:bCs/>
                <w:color w:val="FFFFFF"/>
              </w:rPr>
              <w:t>Monitoring Frequency</w:t>
            </w:r>
          </w:p>
        </w:tc>
      </w:tr>
      <w:tr>
        <w:tc>
          <w:tcPr/>
          <w:p>
            <w:pPr>
              <w:pStyle w:val="TableContents"/>
            </w:pPr>
            <w:r>
              <w:rPr>
                <w:b/>
                <w:bCs/>
                <w:color w:val="0059D1"/>
              </w:rPr>
              <w:t>[INSERT: discharge point ID]</w:t>
            </w:r>
          </w:p>
        </w:tc>
        <w:tc>
          <w:tcPr/>
          <w:p>
            <w:pPr>
              <w:pStyle w:val="TableContents"/>
            </w:pPr>
            <w:r>
              <w:rPr>
                <w:b/>
                <w:bCs/>
                <w:color w:val="0059D1"/>
              </w:rPr>
              <w:t>[INSERT: wastewater type, e.g., site runoff, amenities]</w:t>
            </w:r>
          </w:p>
        </w:tc>
        <w:tc>
          <w:tcPr/>
          <w:p>
            <w:pPr>
              <w:pStyle w:val="TableContents"/>
            </w:pPr>
            <w:r>
              <w:rPr>
                <w:b/>
                <w:bCs/>
                <w:color w:val="0059D1"/>
              </w:rPr>
              <w:t>[INSERT: treatment method, e.g., sediment pond, oil-water separator]</w:t>
            </w:r>
          </w:p>
        </w:tc>
        <w:tc>
          <w:tcPr/>
          <w:p>
            <w:pPr>
              <w:pStyle w:val="TableContents"/>
            </w:pPr>
            <w:r>
              <w:rPr>
                <w:b/>
                <w:bCs/>
                <w:color w:val="0059D1"/>
              </w:rPr>
              <w:t>[INSERT: licence limit or applicable standard]</w:t>
            </w:r>
          </w:p>
        </w:tc>
        <w:tc>
          <w:tcPr/>
          <w:p>
            <w:pPr>
              <w:pStyle w:val="TableContents"/>
            </w:pPr>
            <w:r>
              <w:rPr>
                <w:b/>
                <w:bCs/>
                <w:color w:val="0059D1"/>
              </w:rPr>
              <w:t>[INSERT: parameters, e.g., pH, TSS, hydrocarbons]</w:t>
            </w:r>
          </w:p>
        </w:tc>
        <w:tc>
          <w:tcPr/>
          <w:p>
            <w:pPr>
              <w:pStyle w:val="TableContents"/>
            </w:pPr>
            <w:r>
              <w:rPr>
                <w:b/>
                <w:bCs/>
                <w:color w:val="0059D1"/>
              </w:rPr>
              <w:t>[INSERT: frequency, e.g., monthly, after rainfall events]</w:t>
            </w:r>
          </w:p>
        </w:tc>
      </w:tr>
      <w:tr>
        <w:tc>
          <w:tcPr/>
          <w:p>
            <w:pPr>
              <w:pStyle w:val="TableContents"/>
            </w:pPr>
            <w:r>
              <w:rPr>
                <w:b/>
                <w:bCs/>
                <w:color w:val="0059D1"/>
              </w:rPr>
              <w:t>[INSERT: discharge point ID]</w:t>
            </w:r>
          </w:p>
        </w:tc>
        <w:tc>
          <w:tcPr/>
          <w:p>
            <w:pPr>
              <w:pStyle w:val="TableContents"/>
            </w:pPr>
            <w:r>
              <w:rPr>
                <w:b/>
                <w:bCs/>
                <w:color w:val="0059D1"/>
              </w:rPr>
              <w:t>[INSERT: wastewater type]</w:t>
            </w:r>
          </w:p>
        </w:tc>
        <w:tc>
          <w:tcPr/>
          <w:p>
            <w:pPr>
              <w:pStyle w:val="TableContents"/>
            </w:pPr>
            <w:r>
              <w:rPr>
                <w:b/>
                <w:bCs/>
                <w:color w:val="0059D1"/>
              </w:rPr>
              <w:t>[INSERT: treatment method]</w:t>
            </w:r>
          </w:p>
        </w:tc>
        <w:tc>
          <w:tcPr/>
          <w:p>
            <w:pPr>
              <w:pStyle w:val="TableContents"/>
            </w:pPr>
            <w:r>
              <w:rPr>
                <w:b/>
                <w:bCs/>
                <w:color w:val="0059D1"/>
              </w:rPr>
              <w:t>[INSERT: licence limit or applicable standard]</w:t>
            </w:r>
          </w:p>
        </w:tc>
        <w:tc>
          <w:tcPr/>
          <w:p>
            <w:pPr>
              <w:pStyle w:val="TableContents"/>
            </w:pPr>
            <w:r>
              <w:rPr>
                <w:b/>
                <w:bCs/>
                <w:color w:val="0059D1"/>
              </w:rPr>
              <w:t>[INSERT: parameters]</w:t>
            </w:r>
          </w:p>
        </w:tc>
        <w:tc>
          <w:tcPr/>
          <w:p>
            <w:pPr>
              <w:pStyle w:val="TableContents"/>
            </w:pPr>
            <w:r>
              <w:rPr>
                <w:b/>
                <w:bCs/>
                <w:color w:val="0059D1"/>
              </w:rPr>
              <w:t>[INSERT: frequency]</w:t>
            </w:r>
          </w:p>
        </w:tc>
      </w:tr>
    </w:tbl>
    <w:p>
      <w:pPr>
        <w:pStyle w:val="Default"/>
      </w:pPr>
    </w:p>
    <w:p>
      <w:pPr>
        <w:pStyle w:val="NormalNumberedtext"/>
      </w:pPr>
      <w:r>
        <w:t>Any exceedance of a discharge licence limit is treated as an environmental incident and reported per project requirements, refer RTPR-HSE-PRO-0009, and managed in coordination with RTPR-HSE-PRO-0034.</w:t>
      </w:r>
    </w:p>
    <w:p>
      <w:pPr>
        <w:pStyle w:val="Heading1Numbered"/>
      </w:pPr>
      <w:r>
        <w:t>10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and Social Compliance — the integrated management framework governing occupational health, safety, environmental protection and social responsibility obligations on Rio Tinto owner-led projects.</w:t>
            </w:r>
          </w:p>
        </w:tc>
      </w:tr>
      <w:tr>
        <w:tc>
          <w:tcPr/>
          <w:p>
            <w:pPr>
              <w:pStyle w:val="TableContents"/>
            </w:pPr>
            <w:r>
              <w:t>SDS</w:t>
            </w:r>
          </w:p>
        </w:tc>
        <w:tc>
          <w:tcPr/>
          <w:p>
            <w:pPr>
              <w:pStyle w:val="TableContents"/>
            </w:pPr>
            <w:r>
              <w:t>Safety Data Sheet — a standardised document prepared by a chemical manufacturer or supplier that provides detailed information about a substance's hazards, composition, safe handling, storage, emergency response and disposal requirements, as required under the Globally Harmonised System of Classification and Labelling of Chemicals.</w:t>
            </w:r>
          </w:p>
        </w:tc>
      </w:tr>
      <w:tr>
        <w:tc>
          <w:tcPr/>
          <w:p>
            <w:pPr>
              <w:pStyle w:val="TableContents"/>
            </w:pPr>
            <w:r>
              <w:t>GHS</w:t>
            </w:r>
          </w:p>
        </w:tc>
        <w:tc>
          <w:tcPr/>
          <w:p>
            <w:pPr>
              <w:pStyle w:val="TableContents"/>
            </w:pPr>
            <w:r>
              <w:t>Globally Harmonised System of Classification and Labelling of Chemicals — the United Nations international system for standardising hazard classification criteria and communication elements, including labels and Safety Data Sheets, for chemical substances and mixtures.</w:t>
            </w:r>
          </w:p>
        </w:tc>
      </w:tr>
      <w:tr>
        <w:tc>
          <w:tcPr/>
          <w:p>
            <w:pPr>
              <w:pStyle w:val="TableContents"/>
            </w:pPr>
            <w:r>
              <w:t>HSR</w:t>
            </w:r>
          </w:p>
        </w:tc>
        <w:tc>
          <w:tcPr/>
          <w:p>
            <w:pPr>
              <w:pStyle w:val="TableContents"/>
            </w:pPr>
            <w:r>
              <w:t>Hazardous Substances Register — a project-level controlled document that records all chemical and hazardous substances present on site, including identity, classification, quantities, storage locations and associated Safety Data Sheets.</w:t>
            </w:r>
          </w:p>
        </w:tc>
      </w:tr>
      <w:tr>
        <w:tc>
          <w:tcPr/>
          <w:p>
            <w:pPr>
              <w:pStyle w:val="TableContents"/>
            </w:pPr>
            <w:r>
              <w:t>PPE</w:t>
            </w:r>
          </w:p>
        </w:tc>
        <w:tc>
          <w:tcPr/>
          <w:p>
            <w:pPr>
              <w:pStyle w:val="TableContents"/>
            </w:pPr>
            <w:r>
              <w:t>Personal Protective Equipment — any device or apparel worn by an individual to minimise exposure to workplace hazards, including chemical-resistant gloves, aprons, goggles, face shields and respiratory protection selected in accordance with the hierarchy of controls and the requirements of RTPR-HSE-PRO-0027.</w:t>
            </w:r>
          </w:p>
        </w:tc>
      </w:tr>
      <w:tr>
        <w:tc>
          <w:tcPr/>
          <w:p>
            <w:pPr>
              <w:pStyle w:val="TableContents"/>
            </w:pPr>
            <w:r>
              <w:t>PFAS</w:t>
            </w:r>
          </w:p>
        </w:tc>
        <w:tc>
          <w:tcPr/>
          <w:p>
            <w:pPr>
              <w:pStyle w:val="TableContents"/>
            </w:pPr>
            <w:r>
              <w:t>Per- and Polyfluoroalkyl Substances — a group of synthetic fluorinated chemicals, including perfluorooctane sulfonate (PFOS) and perfluorooctanoic acid (PFOA), that are highly persistent in the environment and the human body. PFAS are found in certain classes of aqueous film-forming foam (AFFF) and are subject to prohibition and phase-out requirements under this procedure.</w:t>
            </w:r>
          </w:p>
        </w:tc>
      </w:tr>
      <w:tr>
        <w:tc>
          <w:tcPr/>
          <w:p>
            <w:pPr>
              <w:pStyle w:val="TableContents"/>
            </w:pPr>
            <w:r>
              <w:t>AFFF</w:t>
            </w:r>
          </w:p>
        </w:tc>
        <w:tc>
          <w:tcPr/>
          <w:p>
            <w:pPr>
              <w:pStyle w:val="TableContents"/>
            </w:pPr>
            <w:r>
              <w:t>Aqueous Film-Forming Foam — a type of firefighting foam concentrate historically containing PFAS compounds, used to suppress hydrocarbon fuel fires. The use of AFFF containing PFAS is prohibited on Rio Tinto owner-led projects under this procedure.</w:t>
            </w:r>
          </w:p>
        </w:tc>
      </w:tr>
      <w:tr>
        <w:tc>
          <w:tcPr/>
          <w:p>
            <w:pPr>
              <w:pStyle w:val="TableContents"/>
            </w:pPr>
            <w:r>
              <w:t>PFOS</w:t>
            </w:r>
          </w:p>
        </w:tc>
        <w:tc>
          <w:tcPr/>
          <w:p>
            <w:pPr>
              <w:pStyle w:val="TableContents"/>
            </w:pPr>
            <w:r>
              <w:t>Perfluorooctane Sulfonate — a specific long-chain PFAS compound classified as a persistent organic pollutant under the Stockholm Convention, commonly present in legacy AFFF firefighting foam formulations and subject to prohibition under applicable dangerous goods and environmental legislation.</w:t>
            </w:r>
          </w:p>
        </w:tc>
      </w:tr>
      <w:tr>
        <w:tc>
          <w:tcPr/>
          <w:p>
            <w:pPr>
              <w:pStyle w:val="TableContents"/>
            </w:pPr>
            <w:r>
              <w:t>PFOA</w:t>
            </w:r>
          </w:p>
        </w:tc>
        <w:tc>
          <w:tcPr/>
          <w:p>
            <w:pPr>
              <w:pStyle w:val="TableContents"/>
            </w:pPr>
            <w:r>
              <w:t>Perfluorooctanoic Acid — a specific long-chain PFAS compound listed under the Stockholm Convention as a persistent organic pollutant, found in certain AFFF formulations and other industrial products, and subject to prohibition and phase-out requirements under this procedure.</w:t>
            </w:r>
          </w:p>
        </w:tc>
      </w:tr>
      <w:tr>
        <w:tc>
          <w:tcPr/>
          <w:p>
            <w:pPr>
              <w:pStyle w:val="TableContents"/>
            </w:pPr>
            <w:r>
              <w:t>DG</w:t>
            </w:r>
          </w:p>
        </w:tc>
        <w:tc>
          <w:tcPr/>
          <w:p>
            <w:pPr>
              <w:pStyle w:val="TableContents"/>
            </w:pPr>
            <w:r>
              <w:t>Dangerous Goods — substances or articles classified in accordance with the Australian Dangerous Goods Code or applicable national legislation as presenting a risk to people, property or the environment due to their flammable, explosive, toxic, corrosive, oxidising or otherwise hazardous properties during transport, storage or handling.</w:t>
            </w:r>
          </w:p>
        </w:tc>
      </w:tr>
      <w:tr>
        <w:tc>
          <w:tcPr/>
          <w:p>
            <w:pPr>
              <w:pStyle w:val="TableContents"/>
            </w:pPr>
            <w:r>
              <w:t>ADG</w:t>
            </w:r>
          </w:p>
        </w:tc>
        <w:tc>
          <w:tcPr/>
          <w:p>
            <w:pPr>
              <w:pStyle w:val="TableContents"/>
            </w:pPr>
            <w:r>
              <w:t>Australian Dangerous Goods Code — the national regulatory code governing the classification, packaging, labelling and transport of dangerous goods by road and rail within Australia, referenced under RTPR-HSE-PRO-0001 for compliance with dangerous goods legislation.</w:t>
            </w:r>
          </w:p>
        </w:tc>
      </w:tr>
      <w:tr>
        <w:tc>
          <w:tcPr/>
          <w:p>
            <w:pPr>
              <w:pStyle w:val="TableContents"/>
            </w:pPr>
            <w:r>
              <w:t>HAZCHEM</w:t>
            </w:r>
          </w:p>
        </w:tc>
        <w:tc>
          <w:tcPr/>
          <w:p>
            <w:pPr>
              <w:pStyle w:val="TableContents"/>
            </w:pPr>
            <w:r>
              <w:t>Hazardous Chemical — a term used in Australian work health and safety legislation to describe a substance, mixture or article that satisfies the criteria for a hazard class under the GHS and is therefore subject to specific labelling, SDS, risk management and register requirements under the model Work Health and Safety Regulations.</w:t>
            </w:r>
          </w:p>
        </w:tc>
      </w:tr>
      <w:tr>
        <w:tc>
          <w:tcPr/>
          <w:p>
            <w:pPr>
              <w:pStyle w:val="TableContents"/>
            </w:pPr>
            <w:r>
              <w:t>WHS</w:t>
            </w:r>
          </w:p>
        </w:tc>
        <w:tc>
          <w:tcPr/>
          <w:p>
            <w:pPr>
              <w:pStyle w:val="TableContents"/>
            </w:pPr>
            <w:r>
              <w:t>Work Health and Safety — the legislative and regulatory framework governing the prevention of work-related injury, illness and death in Australia, including obligations applicable to hazardous chemical management under the model Work Health and Safety Act and Regulations.</w:t>
            </w:r>
          </w:p>
        </w:tc>
      </w:tr>
      <w:tr>
        <w:tc>
          <w:tcPr/>
          <w:p>
            <w:pPr>
              <w:pStyle w:val="TableContents"/>
            </w:pPr>
            <w:r>
              <w:t>EPA</w:t>
            </w:r>
          </w:p>
        </w:tc>
        <w:tc>
          <w:tcPr/>
          <w:p>
            <w:pPr>
              <w:pStyle w:val="TableContents"/>
            </w:pPr>
            <w:r>
              <w:t>Environment Protection Authority — the relevant state or territory statutory body responsible for administering environmental protection legislation, including regulations governing chemical storage, spill notification, wastewater discharge and contaminated site management.</w:t>
            </w:r>
          </w:p>
        </w:tc>
      </w:tr>
      <w:tr>
        <w:tc>
          <w:tcPr/>
          <w:p>
            <w:pPr>
              <w:pStyle w:val="TableContents"/>
            </w:pPr>
            <w:r>
              <w:t>MSDS</w:t>
            </w:r>
          </w:p>
        </w:tc>
        <w:tc>
          <w:tcPr/>
          <w:p>
            <w:pPr>
              <w:pStyle w:val="TableContents"/>
            </w:pPr>
            <w:r>
              <w:t>Material Safety Data Sheet — the former terminology for a Safety Data Sheet (SDS) used prior to the adoption of the GHS in Australia. Legacy MSDS documents must be replaced with GHS-compliant SDS under current regulatory requirements.</w:t>
            </w:r>
          </w:p>
        </w:tc>
      </w:tr>
      <w:tr>
        <w:tc>
          <w:tcPr/>
          <w:p>
            <w:pPr>
              <w:pStyle w:val="TableContents"/>
            </w:pPr>
            <w:r>
              <w:t>SWP</w:t>
            </w:r>
          </w:p>
        </w:tc>
        <w:tc>
          <w:tcPr/>
          <w:p>
            <w:pPr>
              <w:pStyle w:val="TableContents"/>
            </w:pPr>
            <w:r>
              <w:t>Safe Work Procedure — a documented, step-by-step instruction that specifies the safest and most efficient method for performing a task involving hazardous chemicals or substances, incorporating identified controls from the risk assessment process.</w:t>
            </w:r>
          </w:p>
        </w:tc>
      </w:tr>
      <w:tr>
        <w:tc>
          <w:tcPr/>
          <w:p>
            <w:pPr>
              <w:pStyle w:val="TableContents"/>
            </w:pPr>
            <w:r>
              <w:t>JHA</w:t>
            </w:r>
          </w:p>
        </w:tc>
        <w:tc>
          <w:tcPr/>
          <w:p>
            <w:pPr>
              <w:pStyle w:val="TableContents"/>
            </w:pPr>
            <w:r>
              <w:t>Job Hazard Analysis — a systematic process of identifying the hazards associated with each step of a specific job or task involving chemical or hazardous substances, and specifying the control measures required to eliminate or minimise risk, consistent with the risk assessment framework in RTPR-HSE-PRO-0002.</w:t>
            </w:r>
          </w:p>
        </w:tc>
      </w:tr>
      <w:tr>
        <w:tc>
          <w:tcPr/>
          <w:p>
            <w:pPr>
              <w:pStyle w:val="TableContents"/>
            </w:pPr>
            <w:r>
              <w:t>JSEA</w:t>
            </w:r>
          </w:p>
        </w:tc>
        <w:tc>
          <w:tcPr/>
          <w:p>
            <w:pPr>
              <w:pStyle w:val="TableContents"/>
            </w:pPr>
            <w:r>
              <w:t>Job Safety and Environment Analysis — a pre-task risk assessment tool used on Rio Tinto owner-led projects to identify hazards, assess risks and document controls for work activities involving chemical and hazardous substances prior to commencement.</w:t>
            </w:r>
          </w:p>
        </w:tc>
      </w:tr>
      <w:tr>
        <w:tc>
          <w:tcPr/>
          <w:p>
            <w:pPr>
              <w:pStyle w:val="TableContents"/>
            </w:pPr>
            <w:r>
              <w:t>RT</w:t>
            </w:r>
          </w:p>
        </w:tc>
        <w:tc>
          <w:tcPr/>
          <w:p>
            <w:pPr>
              <w:pStyle w:val="TableContents"/>
            </w:pPr>
            <w:r>
              <w:t>Rio Tinto — the global mining and metals group that owns and operates the projects governed by this HSESC management system, whose standards, frameworks and requirements take precedence over project-level procedures where applicable.</w:t>
            </w:r>
          </w:p>
        </w:tc>
      </w:tr>
      <w:tr>
        <w:tc>
          <w:tcPr/>
          <w:p>
            <w:pPr>
              <w:pStyle w:val="TableContents"/>
            </w:pPr>
            <w:r>
              <w:t>RTPR</w:t>
            </w:r>
          </w:p>
        </w:tc>
        <w:tc>
          <w:tcPr/>
          <w:p>
            <w:pPr>
              <w:pStyle w:val="TableContents"/>
            </w:pPr>
            <w:r>
              <w:t>Rio Tinto Project Requirements — the series of project-specific Health, Safety and Environment procedures issued under the Rio Tinto owner-led project HSESC management system, designated by the RTPR-HSE-PRO numbering convention.</w:t>
            </w:r>
          </w:p>
        </w:tc>
      </w:tr>
      <w:tr>
        <w:tc>
          <w:tcPr/>
          <w:p>
            <w:pPr>
              <w:pStyle w:val="TableContents"/>
            </w:pPr>
            <w:r>
              <w:t>TWA</w:t>
            </w:r>
          </w:p>
        </w:tc>
        <w:tc>
          <w:tcPr/>
          <w:p>
            <w:pPr>
              <w:pStyle w:val="TableContents"/>
            </w:pPr>
            <w:r>
              <w:t>Time-Weighted Average — the average airborne concentration of a hazardous substance to which a worker may be exposed over a standard eight-hour working day and forty-hour working week without adverse health effects, as defined in the Safe Work Australia Workplace Exposure Standards for Airborne Contaminants.</w:t>
            </w:r>
          </w:p>
        </w:tc>
      </w:tr>
      <w:tr>
        <w:tc>
          <w:tcPr/>
          <w:p>
            <w:pPr>
              <w:pStyle w:val="TableContents"/>
            </w:pPr>
            <w:r>
              <w:t>WES</w:t>
            </w:r>
          </w:p>
        </w:tc>
        <w:tc>
          <w:tcPr/>
          <w:p>
            <w:pPr>
              <w:pStyle w:val="TableContents"/>
            </w:pPr>
            <w:r>
              <w:t>Workplace Exposure Standard — the maximum airborne concentration of a hazardous substance permissible in the workplace breathing zone, expressed as a TWA, short-term exposure limit (STEL) or ceiling value, as published by Safe Work Australia and referenced in risk assessments under this procedure.</w:t>
            </w:r>
          </w:p>
        </w:tc>
      </w:tr>
      <w:tr>
        <w:tc>
          <w:tcPr/>
          <w:p>
            <w:pPr>
              <w:pStyle w:val="TableContents"/>
            </w:pPr>
            <w:r>
              <w:t>STEL</w:t>
            </w:r>
          </w:p>
        </w:tc>
        <w:tc>
          <w:tcPr/>
          <w:p>
            <w:pPr>
              <w:pStyle w:val="TableContents"/>
            </w:pPr>
            <w:r>
              <w:t>Short-Term Exposure Limit — the maximum average airborne concentration of a hazardous substance to which a worker may be exposed over a continuous fifteen-minute period without suffering adverse health effects, as defined in the Safe Work Australia Workplace Exposure Standards.</w:t>
            </w:r>
          </w:p>
        </w:tc>
      </w:tr>
      <w:tr>
        <w:tc>
          <w:tcPr/>
          <w:p>
            <w:pPr>
              <w:pStyle w:val="TableContents"/>
            </w:pPr>
            <w:r>
              <w:t>IBC</w:t>
            </w:r>
          </w:p>
        </w:tc>
        <w:tc>
          <w:tcPr/>
          <w:p>
            <w:pPr>
              <w:pStyle w:val="TableContents"/>
            </w:pPr>
            <w:r>
              <w:t>Intermediate Bulk Container — a rigid or flexible industrial container used for the storage and transport of liquid or solid hazardous substances in quantities typically between 500 and 3000 litres, which must comply with applicable Australian Standards and dangerous goods storage requirements.</w:t>
            </w:r>
          </w:p>
        </w:tc>
      </w:tr>
      <w:tr>
        <w:tc>
          <w:tcPr/>
          <w:p>
            <w:pPr>
              <w:pStyle w:val="TableContents"/>
            </w:pPr>
            <w:r>
              <w:t>SPCC</w:t>
            </w:r>
          </w:p>
        </w:tc>
        <w:tc>
          <w:tcPr/>
          <w:p>
            <w:pPr>
              <w:pStyle w:val="TableContents"/>
            </w:pPr>
            <w:r>
              <w:t>Spill Prevention, Control and Countermeasure — a site-level plan or set of controls designed to prevent the uncontrolled release of hazardous chemicals or petroleum products and to specify the immediate response actions, containment measures and notification requirements in the event of a spill.</w:t>
            </w:r>
          </w:p>
        </w:tc>
      </w:tr>
      <w:tr>
        <w:tc>
          <w:tcPr/>
          <w:p>
            <w:pPr>
              <w:pStyle w:val="TableContents"/>
            </w:pPr>
            <w:r>
              <w:t>ERP</w:t>
            </w:r>
          </w:p>
        </w:tc>
        <w:tc>
          <w:tcPr/>
          <w:p>
            <w:pPr>
              <w:pStyle w:val="TableContents"/>
            </w:pPr>
            <w:r>
              <w:t>Emergency Response Plan — a documented plan that specifies procedures, responsibilities and resources for responding to emergency events on site, including chemical spills, hazardous substance releases and firefighting foam incidents, consistent with incident management requirements under RTPR-HSE-PRO-0009.</w:t>
            </w:r>
          </w:p>
        </w:tc>
      </w:tr>
      <w:tr>
        <w:tc>
          <w:tcPr/>
          <w:p>
            <w:pPr>
              <w:pStyle w:val="TableContents"/>
            </w:pPr>
            <w:r>
              <w:t>WWTP</w:t>
            </w:r>
          </w:p>
        </w:tc>
        <w:tc>
          <w:tcPr/>
          <w:p>
            <w:pPr>
              <w:pStyle w:val="TableContents"/>
            </w:pPr>
            <w:r>
              <w:t>Wastewater Treatment Plant — a facility or system installed on site to treat and manage process water, stormwater, chemical-contaminated water or sewage effluent before discharge to receiving environments, in compliance with EPA licence conditions and RTPR-HSE-PRO-0034.</w:t>
            </w:r>
          </w:p>
        </w:tc>
      </w:tr>
      <w:tr>
        <w:tc>
          <w:tcPr/>
          <w:p>
            <w:pPr>
              <w:pStyle w:val="TableContents"/>
            </w:pPr>
            <w:r>
              <w:t>AS</w:t>
            </w:r>
          </w:p>
        </w:tc>
        <w:tc>
          <w:tcPr/>
          <w:p>
            <w:pPr>
              <w:pStyle w:val="TableContents"/>
            </w:pPr>
            <w:r>
              <w:t>Australian Standard — a technical standard published by Standards Australia that provides specifications, guidelines or requirements applicable to the safe storage, handling, design or management of hazardous chemicals, dangerous goods and associated infrastructure.</w:t>
            </w:r>
          </w:p>
        </w:tc>
      </w:tr>
      <w:tr>
        <w:tc>
          <w:tcPr/>
          <w:p>
            <w:pPr>
              <w:pStyle w:val="TableContents"/>
            </w:pPr>
            <w:r>
              <w:t>COSHH</w:t>
            </w:r>
          </w:p>
        </w:tc>
        <w:tc>
          <w:tcPr/>
          <w:p>
            <w:pPr>
              <w:pStyle w:val="TableContents"/>
            </w:pPr>
            <w:r>
              <w:t>Control of Substances Hazardous to Health — a risk management approach, derived from UK regulatory origins but applied as a general principle within Rio Tinto's global framework, that requires employers to assess and control exposure to substances hazardous to health through the application of the hierarchy of controls.</w:t>
            </w:r>
          </w:p>
        </w:tc>
      </w:tr>
      <w:tr>
        <w:tc>
          <w:tcPr/>
          <w:p>
            <w:pPr>
              <w:pStyle w:val="TableContents"/>
            </w:pPr>
            <w:r>
              <w:t>LEV</w:t>
            </w:r>
          </w:p>
        </w:tc>
        <w:tc>
          <w:tcPr/>
          <w:p>
            <w:pPr>
              <w:pStyle w:val="TableContents"/>
            </w:pPr>
            <w:r>
              <w:t>Local Exhaust Ventilation — a system of extraction hoods, ducting and fans designed to capture hazardous chemical vapours, dusts or fumes at or near their point of generation, preventing their release into the workplace breathing zone as an engineering control measure.</w:t>
            </w:r>
          </w:p>
        </w:tc>
      </w:tr>
      <w:tr>
        <w:tc>
          <w:tcPr/>
          <w:p>
            <w:pPr>
              <w:pStyle w:val="TableContents"/>
            </w:pPr>
            <w:r>
              <w:t>RPE</w:t>
            </w:r>
          </w:p>
        </w:tc>
        <w:tc>
          <w:tcPr/>
          <w:p>
            <w:pPr>
              <w:pStyle w:val="TableContents"/>
            </w:pPr>
            <w:r>
              <w:t>Respiratory Protective Equipment — a subset of PPE designed to protect the wearer from inhaling hazardous airborne substances including gases, vapours, dusts and mists, selected in accordance with the substance's WES, SDS requirements and the hierarchy of controls.</w:t>
            </w:r>
          </w:p>
        </w:tc>
      </w:tr>
      <w:tr>
        <w:tc>
          <w:tcPr/>
          <w:p>
            <w:pPr>
              <w:pStyle w:val="TableContents"/>
            </w:pPr>
            <w:r>
              <w:t>POPs</w:t>
            </w:r>
          </w:p>
        </w:tc>
        <w:tc>
          <w:tcPr/>
          <w:p>
            <w:pPr>
              <w:pStyle w:val="TableContents"/>
            </w:pPr>
            <w:r>
              <w:t>Persistent Organic Pollutants — chemical substances that persist in the environment, bioaccumulate through the food chain and pose risks to human health and the environment, including PFOS and PFOA, which are listed under the Stockholm Convention on Persistent Organic Pollutants and subject to international elimination obligations.</w:t>
            </w:r>
          </w:p>
        </w:tc>
      </w:tr>
      <w:tr>
        <w:tc>
          <w:tcPr/>
          <w:p>
            <w:pPr>
              <w:pStyle w:val="TableContents"/>
            </w:pPr>
            <w:r>
              <w:t>HDPE</w:t>
            </w:r>
          </w:p>
        </w:tc>
        <w:tc>
          <w:tcPr/>
          <w:p>
            <w:pPr>
              <w:pStyle w:val="TableContents"/>
            </w:pPr>
            <w:r>
              <w:t>High-Density Polyethylene — a chemical-resistant thermoplastic material commonly used in the construction of secondary containment bunding, chemical storage tanks, pipework and spill pallets where resistance to corrosive or reactive hazardous substances is required.</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11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Legal Requirements Procedure</w:t>
            </w:r>
          </w:p>
        </w:tc>
        <w:tc>
          <w:tcPr/>
          <w:p>
            <w:pPr>
              <w:pStyle w:val="TableContents"/>
            </w:pPr>
            <w:r>
              <w:t>RTPR-HSE-PRO-0001</w:t>
            </w:r>
          </w:p>
        </w:tc>
        <w:tc>
          <w:tcPr/>
          <w:p>
            <w:pPr>
              <w:pStyle w:val="TableContents"/>
            </w:pPr>
            <w:r>
              <w:t>Internal procedure</w:t>
            </w:r>
          </w:p>
        </w:tc>
      </w:tr>
      <w:tr>
        <w:tc>
          <w:tcPr/>
          <w:p>
            <w:pPr>
              <w:pStyle w:val="TableContents"/>
            </w:pPr>
            <w:r>
              <w:t>Personal Protective Equipment Procedure</w:t>
            </w:r>
          </w:p>
        </w:tc>
        <w:tc>
          <w:tcPr/>
          <w:p>
            <w:pPr>
              <w:pStyle w:val="TableContents"/>
            </w:pPr>
            <w:r>
              <w:t>RTPR-HSE-PRO-0027</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Waste Control Procedure</w:t>
            </w:r>
          </w:p>
        </w:tc>
        <w:tc>
          <w:tcPr/>
          <w:p>
            <w:pPr>
              <w:pStyle w:val="TableContents"/>
            </w:pPr>
            <w:r>
              <w:t>RTPR-HSE-PRO-0039</w:t>
            </w:r>
          </w:p>
        </w:tc>
        <w:tc>
          <w:tcPr/>
          <w:p>
            <w:pPr>
              <w:pStyle w:val="TableContents"/>
            </w:pPr>
            <w:r>
              <w:t>Internal procedure</w:t>
            </w:r>
          </w:p>
        </w:tc>
      </w:tr>
      <w:tr>
        <w:tc>
          <w:tcPr/>
          <w:p>
            <w:pPr>
              <w:pStyle w:val="TableContents"/>
            </w:pPr>
            <w:r>
              <w:t>Water Quality Procedure</w:t>
            </w:r>
          </w:p>
        </w:tc>
        <w:tc>
          <w:tcPr/>
          <w:p>
            <w:pPr>
              <w:pStyle w:val="TableContents"/>
            </w:pPr>
            <w:r>
              <w:t>RTPR-HSE-PRO-0034</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Hazard and Risk Classification Requirements</w:t>
            </w:r>
          </w:p>
        </w:tc>
        <w:tc>
          <w:tcPr/>
          <w:p>
            <w:pPr>
              <w:pStyle w:val="TableContents"/>
            </w:pPr>
            <w:r>
              <w:t>RT Risk Management Standard Appendix C C-1</w:t>
            </w:r>
          </w:p>
        </w:tc>
        <w:tc>
          <w:tcPr/>
          <w:p>
            <w:pPr>
              <w:pStyle w:val="TableContents"/>
            </w:pPr>
            <w:r>
              <w:t>External RT</w:t>
            </w:r>
          </w:p>
        </w:tc>
      </w:tr>
      <w:tr>
        <w:tc>
          <w:tcPr/>
          <w:p>
            <w:pPr>
              <w:pStyle w:val="TableContents"/>
            </w:pPr>
            <w:r>
              <w:t>Rio Tinto Health, Safety and Environment Standard</w:t>
            </w:r>
          </w:p>
        </w:tc>
        <w:tc>
          <w:tcPr/>
          <w:p>
            <w:pPr>
              <w:pStyle w:val="TableContents"/>
            </w:pPr>
            <w:r>
              <w:t>RT HSE Standard</w:t>
            </w:r>
          </w:p>
        </w:tc>
        <w:tc>
          <w:tcPr/>
          <w:p>
            <w:pPr>
              <w:pStyle w:val="TableContents"/>
            </w:pPr>
            <w:r>
              <w:t>External RT</w:t>
            </w:r>
          </w:p>
        </w:tc>
      </w:tr>
      <w:tr>
        <w:tc>
          <w:tcPr/>
          <w:p>
            <w:pPr>
              <w:pStyle w:val="TableContents"/>
            </w:pPr>
            <w:r>
              <w:t>Rio Tinto Dangerous Goods and Hazardous Substances Standard</w:t>
            </w:r>
          </w:p>
        </w:tc>
        <w:tc>
          <w:tcPr/>
          <w:p>
            <w:pPr>
              <w:pStyle w:val="TableContents"/>
            </w:pPr>
            <w:r>
              <w:t>RT DG and Hazardous Substances Standard</w:t>
            </w:r>
          </w:p>
        </w:tc>
        <w:tc>
          <w:tcPr/>
          <w:p>
            <w:pPr>
              <w:pStyle w:val="TableContents"/>
            </w:pPr>
            <w:r>
              <w:t>External RT</w:t>
            </w:r>
          </w:p>
        </w:tc>
      </w:tr>
      <w:tr>
        <w:tc>
          <w:tcPr/>
          <w:p>
            <w:pPr>
              <w:pStyle w:val="TableContents"/>
            </w:pPr>
            <w:r>
              <w:t>Rio Tinto PFAS Management Standard</w:t>
            </w:r>
          </w:p>
        </w:tc>
        <w:tc>
          <w:tcPr/>
          <w:p>
            <w:pPr>
              <w:pStyle w:val="TableContents"/>
            </w:pPr>
            <w:r>
              <w:t>RT PFAS Management Standard</w:t>
            </w:r>
          </w:p>
        </w:tc>
        <w:tc>
          <w:tcPr/>
          <w:p>
            <w:pPr>
              <w:pStyle w:val="TableContents"/>
            </w:pPr>
            <w:r>
              <w:t>External RT</w:t>
            </w:r>
          </w:p>
        </w:tc>
      </w:tr>
      <w:tr>
        <w:tc>
          <w:tcPr/>
          <w:p>
            <w:pPr>
              <w:pStyle w:val="TableContents"/>
            </w:pPr>
            <w:r>
              <w:t>Model Work Health and Safety Act 2011</w:t>
            </w:r>
          </w:p>
        </w:tc>
        <w:tc>
          <w:tcPr/>
          <w:p>
            <w:pPr>
              <w:pStyle w:val="TableContents"/>
            </w:pPr>
            <w:r>
              <w:t>Model WHS Act 2011</w:t>
            </w:r>
          </w:p>
        </w:tc>
        <w:tc>
          <w:tcPr/>
          <w:p>
            <w:pPr>
              <w:pStyle w:val="TableContents"/>
            </w:pPr>
            <w:r>
              <w:t>External framework</w:t>
            </w:r>
          </w:p>
        </w:tc>
      </w:tr>
      <w:tr>
        <w:tc>
          <w:tcPr/>
          <w:p>
            <w:pPr>
              <w:pStyle w:val="TableContents"/>
            </w:pPr>
            <w:r>
              <w:t>Model Work Health and Safety Regulations 2017 — Chapter 7: Hazardous Chemicals</w:t>
            </w:r>
          </w:p>
        </w:tc>
        <w:tc>
          <w:tcPr/>
          <w:p>
            <w:pPr>
              <w:pStyle w:val="TableContents"/>
            </w:pPr>
            <w:r>
              <w:t>Model WHS Regulations 2017 Ch.7</w:t>
            </w:r>
          </w:p>
        </w:tc>
        <w:tc>
          <w:tcPr/>
          <w:p>
            <w:pPr>
              <w:pStyle w:val="TableContents"/>
            </w:pPr>
            <w:r>
              <w:t>External framework</w:t>
            </w:r>
          </w:p>
        </w:tc>
      </w:tr>
      <w:tr>
        <w:tc>
          <w:tcPr/>
          <w:p>
            <w:pPr>
              <w:pStyle w:val="TableContents"/>
            </w:pPr>
            <w:r>
              <w:t>Safe Work Australia — Workplace Exposure Standards for Airborne Contaminants</w:t>
            </w:r>
          </w:p>
        </w:tc>
        <w:tc>
          <w:tcPr/>
          <w:p>
            <w:pPr>
              <w:pStyle w:val="TableContents"/>
            </w:pPr>
            <w:r>
              <w:t>SWA WES 2021</w:t>
            </w:r>
          </w:p>
        </w:tc>
        <w:tc>
          <w:tcPr/>
          <w:p>
            <w:pPr>
              <w:pStyle w:val="TableContents"/>
            </w:pPr>
            <w:r>
              <w:t>External framework</w:t>
            </w:r>
          </w:p>
        </w:tc>
      </w:tr>
      <w:tr>
        <w:tc>
          <w:tcPr/>
          <w:p>
            <w:pPr>
              <w:pStyle w:val="TableContents"/>
            </w:pPr>
            <w:r>
              <w:t>Safe Work Australia — Code of Practice: Managing Risks of Hazardous Chemicals in the Workplace</w:t>
            </w:r>
          </w:p>
        </w:tc>
        <w:tc>
          <w:tcPr/>
          <w:p>
            <w:pPr>
              <w:pStyle w:val="TableContents"/>
            </w:pPr>
            <w:r>
              <w:t>SWA COP Hazardous Chemicals</w:t>
            </w:r>
          </w:p>
        </w:tc>
        <w:tc>
          <w:tcPr/>
          <w:p>
            <w:pPr>
              <w:pStyle w:val="TableContents"/>
            </w:pPr>
            <w:r>
              <w:t>External framework</w:t>
            </w:r>
          </w:p>
        </w:tc>
      </w:tr>
      <w:tr>
        <w:tc>
          <w:tcPr/>
          <w:p>
            <w:pPr>
              <w:pStyle w:val="TableContents"/>
            </w:pPr>
            <w:r>
              <w:t>Safe Work Australia — Code of Practice: Labelling of Workplace Hazardous Chemicals</w:t>
            </w:r>
          </w:p>
        </w:tc>
        <w:tc>
          <w:tcPr/>
          <w:p>
            <w:pPr>
              <w:pStyle w:val="TableContents"/>
            </w:pPr>
            <w:r>
              <w:t>SWA COP Labelling</w:t>
            </w:r>
          </w:p>
        </w:tc>
        <w:tc>
          <w:tcPr/>
          <w:p>
            <w:pPr>
              <w:pStyle w:val="TableContents"/>
            </w:pPr>
            <w:r>
              <w:t>External framework</w:t>
            </w:r>
          </w:p>
        </w:tc>
      </w:tr>
      <w:tr>
        <w:tc>
          <w:tcPr/>
          <w:p>
            <w:pPr>
              <w:pStyle w:val="TableContents"/>
            </w:pPr>
            <w:r>
              <w:t>Safe Work Australia — Code of Practice: Preparation of Safety Data Sheets for Hazardous Chemicals</w:t>
            </w:r>
          </w:p>
        </w:tc>
        <w:tc>
          <w:tcPr/>
          <w:p>
            <w:pPr>
              <w:pStyle w:val="TableContents"/>
            </w:pPr>
            <w:r>
              <w:t>SWA COP SDS Preparation</w:t>
            </w:r>
          </w:p>
        </w:tc>
        <w:tc>
          <w:tcPr/>
          <w:p>
            <w:pPr>
              <w:pStyle w:val="TableContents"/>
            </w:pPr>
            <w:r>
              <w:t>External framework</w:t>
            </w:r>
          </w:p>
        </w:tc>
      </w:tr>
      <w:tr>
        <w:tc>
          <w:tcPr/>
          <w:p>
            <w:pPr>
              <w:pStyle w:val="TableContents"/>
            </w:pPr>
            <w:r>
              <w:t>Australian Code for the Transport of Dangerous Goods by Road and Rail (ADG Code), 7th Edition</w:t>
            </w:r>
          </w:p>
        </w:tc>
        <w:tc>
          <w:tcPr/>
          <w:p>
            <w:pPr>
              <w:pStyle w:val="TableContents"/>
            </w:pPr>
            <w:r>
              <w:t>ADG Code 7th Ed.</w:t>
            </w:r>
          </w:p>
        </w:tc>
        <w:tc>
          <w:tcPr/>
          <w:p>
            <w:pPr>
              <w:pStyle w:val="TableContents"/>
            </w:pPr>
            <w:r>
              <w:t>External framework</w:t>
            </w:r>
          </w:p>
        </w:tc>
      </w:tr>
      <w:tr>
        <w:tc>
          <w:tcPr/>
          <w:p>
            <w:pPr>
              <w:pStyle w:val="TableContents"/>
            </w:pPr>
            <w:r>
              <w:t>Australian Standard AS 1940:2017 — The Storage and Handling of Flammable and Combustible Liquids</w:t>
            </w:r>
          </w:p>
        </w:tc>
        <w:tc>
          <w:tcPr/>
          <w:p>
            <w:pPr>
              <w:pStyle w:val="TableContents"/>
            </w:pPr>
            <w:r>
              <w:t>AS 1940:2017</w:t>
            </w:r>
          </w:p>
        </w:tc>
        <w:tc>
          <w:tcPr/>
          <w:p>
            <w:pPr>
              <w:pStyle w:val="TableContents"/>
            </w:pPr>
            <w:r>
              <w:t>External framework</w:t>
            </w:r>
          </w:p>
        </w:tc>
      </w:tr>
      <w:tr>
        <w:tc>
          <w:tcPr/>
          <w:p>
            <w:pPr>
              <w:pStyle w:val="TableContents"/>
            </w:pPr>
            <w:r>
              <w:t>Australian Standard AS 3780:2008 — The Storage and Handling of Corrosive Substances</w:t>
            </w:r>
          </w:p>
        </w:tc>
        <w:tc>
          <w:tcPr/>
          <w:p>
            <w:pPr>
              <w:pStyle w:val="TableContents"/>
            </w:pPr>
            <w:r>
              <w:t>AS 3780:2008</w:t>
            </w:r>
          </w:p>
        </w:tc>
        <w:tc>
          <w:tcPr/>
          <w:p>
            <w:pPr>
              <w:pStyle w:val="TableContents"/>
            </w:pPr>
            <w:r>
              <w:t>External framework</w:t>
            </w:r>
          </w:p>
        </w:tc>
      </w:tr>
      <w:tr>
        <w:tc>
          <w:tcPr/>
          <w:p>
            <w:pPr>
              <w:pStyle w:val="TableContents"/>
            </w:pPr>
            <w:r>
              <w:t>Australian Standard AS 4452:1997 — The Storage and Handling of Toxic Substances</w:t>
            </w:r>
          </w:p>
        </w:tc>
        <w:tc>
          <w:tcPr/>
          <w:p>
            <w:pPr>
              <w:pStyle w:val="TableContents"/>
            </w:pPr>
            <w:r>
              <w:t>AS 4452:1997</w:t>
            </w:r>
          </w:p>
        </w:tc>
        <w:tc>
          <w:tcPr/>
          <w:p>
            <w:pPr>
              <w:pStyle w:val="TableContents"/>
            </w:pPr>
            <w:r>
              <w:t>External framework</w:t>
            </w:r>
          </w:p>
        </w:tc>
      </w:tr>
      <w:tr>
        <w:tc>
          <w:tcPr/>
          <w:p>
            <w:pPr>
              <w:pStyle w:val="TableContents"/>
            </w:pPr>
            <w:r>
              <w:t>Australian Standard AS/NZS 3833:2007 — The Storage and Handling of Mixed Classes of Dangerous Goods in Packages and Intermediate Bulk Containers</w:t>
            </w:r>
          </w:p>
        </w:tc>
        <w:tc>
          <w:tcPr/>
          <w:p>
            <w:pPr>
              <w:pStyle w:val="TableContents"/>
            </w:pPr>
            <w:r>
              <w:t>AS/NZS 3833:2007</w:t>
            </w:r>
          </w:p>
        </w:tc>
        <w:tc>
          <w:tcPr/>
          <w:p>
            <w:pPr>
              <w:pStyle w:val="TableContents"/>
            </w:pPr>
            <w:r>
              <w:t>External framework</w:t>
            </w:r>
          </w:p>
        </w:tc>
      </w:tr>
      <w:tr>
        <w:tc>
          <w:tcPr/>
          <w:p>
            <w:pPr>
              <w:pStyle w:val="TableContents"/>
            </w:pPr>
            <w:r>
              <w:t>United Nations Globally Harmonised System of Classification and Labelling of Chemicals (GHS), 9th Revised Edition</w:t>
            </w:r>
          </w:p>
        </w:tc>
        <w:tc>
          <w:tcPr/>
          <w:p>
            <w:pPr>
              <w:pStyle w:val="TableContents"/>
            </w:pPr>
            <w:r>
              <w:t>UN GHS Rev.9</w:t>
            </w:r>
          </w:p>
        </w:tc>
        <w:tc>
          <w:tcPr/>
          <w:p>
            <w:pPr>
              <w:pStyle w:val="TableContents"/>
            </w:pPr>
            <w:r>
              <w:t>External framework</w:t>
            </w:r>
          </w:p>
        </w:tc>
      </w:tr>
      <w:tr>
        <w:tc>
          <w:tcPr/>
          <w:p>
            <w:pPr>
              <w:pStyle w:val="TableContents"/>
            </w:pPr>
            <w:r>
              <w:t>Stockholm Convention on Persistent Organic Pollutants</w:t>
            </w:r>
          </w:p>
        </w:tc>
        <w:tc>
          <w:tcPr/>
          <w:p>
            <w:pPr>
              <w:pStyle w:val="TableContents"/>
            </w:pPr>
            <w:r>
              <w:t>Stockholm Convention (2001, as amended)</w:t>
            </w:r>
          </w:p>
        </w:tc>
        <w:tc>
          <w:tcPr/>
          <w:p>
            <w:pPr>
              <w:pStyle w:val="TableContents"/>
            </w:pPr>
            <w:r>
              <w:t>External framework</w:t>
            </w:r>
          </w:p>
        </w:tc>
      </w:tr>
      <w:tr>
        <w:tc>
          <w:tcPr/>
          <w:p>
            <w:pPr>
              <w:pStyle w:val="TableContents"/>
            </w:pPr>
            <w:r>
              <w:t>National Environment Protection (Assessment of Site Contamination) Measure 1999 (as amended 2013)</w:t>
            </w:r>
          </w:p>
        </w:tc>
        <w:tc>
          <w:tcPr/>
          <w:p>
            <w:pPr>
              <w:pStyle w:val="TableContents"/>
            </w:pPr>
            <w:r>
              <w:t>NEPM ASC 2013</w:t>
            </w:r>
          </w:p>
        </w:tc>
        <w:tc>
          <w:tcPr/>
          <w:p>
            <w:pPr>
              <w:pStyle w:val="TableContents"/>
            </w:pPr>
            <w:r>
              <w:t>External framework</w:t>
            </w:r>
          </w:p>
        </w:tc>
      </w:tr>
      <w:tr>
        <w:tc>
          <w:tcPr/>
          <w:p>
            <w:pPr>
              <w:pStyle w:val="TableContents"/>
            </w:pPr>
            <w:r>
              <w:t>Australian and New Zealand Guidelines for Fresh and Marine Water Quality (ANZG 2018)</w:t>
            </w:r>
          </w:p>
        </w:tc>
        <w:tc>
          <w:tcPr/>
          <w:p>
            <w:pPr>
              <w:pStyle w:val="TableContents"/>
            </w:pPr>
            <w:r>
              <w:t>ANZG Water Quality Guidelines 2018</w:t>
            </w:r>
          </w:p>
        </w:tc>
        <w:tc>
          <w:tcPr/>
          <w:p>
            <w:pPr>
              <w:pStyle w:val="TableContents"/>
            </w:pPr>
            <w:r>
              <w:t>External framework</w:t>
            </w:r>
          </w:p>
        </w:tc>
      </w:tr>
      <w:tr>
        <w:tc>
          <w:tcPr/>
          <w:p>
            <w:pPr>
              <w:pStyle w:val="TableContents"/>
            </w:pPr>
            <w:r>
              <w:t>Safe Work Australia — Code of Practice: Storage and Handling of Workplace Dangerous Goods</w:t>
            </w:r>
          </w:p>
        </w:tc>
        <w:tc>
          <w:tcPr/>
          <w:p>
            <w:pPr>
              <w:pStyle w:val="TableContents"/>
            </w:pPr>
            <w:r>
              <w:t>SWA COP DG Storage and Handling</w:t>
            </w:r>
          </w:p>
        </w:tc>
        <w:tc>
          <w:tcPr/>
          <w:p>
            <w:pPr>
              <w:pStyle w:val="TableContents"/>
            </w:pPr>
            <w:r>
              <w:t>External framework</w:t>
            </w:r>
          </w:p>
        </w:tc>
      </w:tr>
      <w:tr>
        <w:tc>
          <w:tcPr/>
          <w:p>
            <w:pPr>
              <w:pStyle w:val="TableContents"/>
            </w:pPr>
            <w:r>
              <w:t>Safe Work Australia — Interpretive Guideline: Model Work Health and Safety Act — The Meaning of 'Person Conducting a Business or Undertaking'</w:t>
            </w:r>
          </w:p>
        </w:tc>
        <w:tc>
          <w:tcPr/>
          <w:p>
            <w:pPr>
              <w:pStyle w:val="TableContents"/>
            </w:pPr>
            <w:r>
              <w:t>SWA Interpretive Guideline PCBU</w:t>
            </w:r>
          </w:p>
        </w:tc>
        <w:tc>
          <w:tcPr/>
          <w:p>
            <w:pPr>
              <w:pStyle w:val="TableContents"/>
            </w:pPr>
            <w:r>
              <w:t>External framework</w:t>
            </w:r>
          </w:p>
        </w:tc>
      </w:tr>
      <w:tr>
        <w:tc>
          <w:tcPr/>
          <w:p>
            <w:pPr>
              <w:pStyle w:val="TableContents"/>
            </w:pPr>
            <w:r>
              <w:t>National Industrial Chemicals Notification and Assessment Scheme (NICNAS) — Industrial Chemicals Act 2019</w:t>
            </w:r>
          </w:p>
        </w:tc>
        <w:tc>
          <w:tcPr/>
          <w:p>
            <w:pPr>
              <w:pStyle w:val="TableContents"/>
            </w:pPr>
            <w:r>
              <w:t>Industrial Chemicals Act 2019 (Cth)</w:t>
            </w:r>
          </w:p>
        </w:tc>
        <w:tc>
          <w:tcPr/>
          <w:p>
            <w:pPr>
              <w:pStyle w:val="TableContents"/>
            </w:pPr>
            <w:r>
              <w:t>External framework</w:t>
            </w:r>
          </w:p>
        </w:tc>
      </w:tr>
      <w:tr>
        <w:tc>
          <w:tcPr/>
          <w:p>
            <w:pPr>
              <w:pStyle w:val="TableContents"/>
            </w:pPr>
            <w:r>
              <w:t>Australian Standard AS 1596:2014 — The Storage and Handling of LP Gas</w:t>
            </w:r>
          </w:p>
        </w:tc>
        <w:tc>
          <w:tcPr/>
          <w:p>
            <w:pPr>
              <w:pStyle w:val="TableContents"/>
            </w:pPr>
            <w:r>
              <w:t>AS 1596:2014</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12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13  Source Requirements Traceability (DELETE BEFORE ISSUE)</w:t>
      </w:r>
    </w:p>
    <w:p>
      <w:pPr>
        <w:pStyle w:val="Heading2Numbered"/>
      </w:pPr>
      <w:r>
        <w:t>13.1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C-2 §66</w:t>
            </w:r>
          </w:p>
        </w:tc>
        <w:tc>
          <w:tcPr/>
          <w:p>
            <w:pPr>
              <w:pStyle w:val="TableContents"/>
            </w:pPr>
            <w:r>
              <w:t>Requires a Hazardous Substances Register of approved substances with minimum content including SDS references, risk ratings, and disposal requirements, reviewed annually, with legally compliant SDSs available before delivery and use of any hazardous substance, and special controls for carcinogens, mutagens, and reproductive hazards reviewed at least annually, and a process to reduce the number and volume of hazardous substances to the minimum necessary.</w:t>
            </w:r>
          </w:p>
        </w:tc>
        <w:tc>
          <w:tcPr/>
          <w:p>
            <w:pPr>
              <w:pStyle w:val="TableContents"/>
            </w:pPr>
            <w:r>
              <w:t>Full</w:t>
            </w:r>
          </w:p>
        </w:tc>
      </w:tr>
      <w:tr>
        <w:tc>
          <w:tcPr/>
          <w:p>
            <w:pPr>
              <w:pStyle w:val="TableContents"/>
            </w:pPr>
            <w:r>
              <w:rPr>
                <w:b/>
                <w:bCs/>
                <w:color w:val="0059D1"/>
              </w:rPr>
              <w:t>[INSERT: section]</w:t>
            </w:r>
          </w:p>
        </w:tc>
        <w:tc>
          <w:tcPr/>
          <w:p>
            <w:pPr>
              <w:pStyle w:val="TableContents"/>
            </w:pPr>
            <w:r>
              <w:t>Appendix C C-4 §92.5.6</w:t>
            </w:r>
          </w:p>
        </w:tc>
        <w:tc>
          <w:tcPr/>
          <w:p>
            <w:pPr>
              <w:pStyle w:val="TableContents"/>
            </w:pPr>
            <w:r>
              <w:t>Requires spill prevention controls including secondary containment, bunding integrity inspection, and emergency shutoffs, and defines the spill response process by spill size and substance type including environmental notification thresholds.</w:t>
            </w:r>
          </w:p>
        </w:tc>
        <w:tc>
          <w:tcPr/>
          <w:p>
            <w:pPr>
              <w:pStyle w:val="TableContents"/>
            </w:pPr>
            <w:r>
              <w:t>Full</w:t>
            </w:r>
          </w:p>
        </w:tc>
      </w:tr>
      <w:tr>
        <w:tc>
          <w:tcPr/>
          <w:p>
            <w:pPr>
              <w:pStyle w:val="TableContents"/>
            </w:pPr>
            <w:r>
              <w:rPr>
                <w:b/>
                <w:bCs/>
                <w:color w:val="0059D1"/>
              </w:rPr>
              <w:t>[INSERT: section]</w:t>
            </w:r>
          </w:p>
        </w:tc>
        <w:tc>
          <w:tcPr/>
          <w:p>
            <w:pPr>
              <w:pStyle w:val="TableContents"/>
            </w:pPr>
            <w:r>
              <w:t>Appendix C C-4 §92.5.5</w:t>
            </w:r>
          </w:p>
        </w:tc>
        <w:tc>
          <w:tcPr/>
          <w:p>
            <w:pPr>
              <w:pStyle w:val="TableContents"/>
            </w:pPr>
            <w:r>
              <w:t>Requires sewerage and wastewater treatment, discharge standards, and monitoring requirements in compliance with applicable discharge licence conditions.</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§1.2</w:t>
            </w:r>
          </w:p>
        </w:tc>
        <w:tc>
          <w:tcPr/>
          <w:p>
            <w:pPr>
              <w:pStyle w:val="TableContents"/>
            </w:pPr>
            <w:r>
              <w:t>Requires identification and documentation of all hazardous materials on site in a materials inventory available to workers, emergency responders, and regulators, and management of hazardous materials to avoid environmental releases and protect worker health using engineering controls as the primary means of managing occupational exposure.</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§1.5</w:t>
            </w:r>
          </w:p>
        </w:tc>
        <w:tc>
          <w:tcPr/>
          <w:p>
            <w:pPr>
              <w:pStyle w:val="TableContents"/>
            </w:pPr>
            <w:r>
              <w:t>Requires storage facilities to have secondary containment sized to hold 110% of the largest single container or 25% of total stored volume, whichever is greater.</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§1.3</w:t>
            </w:r>
          </w:p>
        </w:tc>
        <w:tc>
          <w:tcPr/>
          <w:p>
            <w:pPr>
              <w:pStyle w:val="TableContents"/>
            </w:pPr>
            <w:r>
              <w:t>Requires management of wastewater to avoid contamination of surface water, groundwater, and soils using treatment appropriate to the waste type and discharge receiving environment.</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§3.7</w:t>
            </w:r>
          </w:p>
        </w:tc>
        <w:tc>
          <w:tcPr/>
          <w:p>
            <w:pPr>
              <w:pStyle w:val="TableContents"/>
            </w:pPr>
            <w:r>
              <w:t>Requires spill response procedures to be developed and tested as part of the site emergency preparedness plan, with response equipment available and personnel trained.</w:t>
            </w:r>
          </w:p>
        </w:tc>
        <w:tc>
          <w:tcPr/>
          <w:p>
            <w:pPr>
              <w:pStyle w:val="TableContents"/>
            </w:pPr>
            <w:r>
              <w:t>Full</w:t>
            </w:r>
          </w:p>
        </w:tc>
      </w:tr>
      <w:tr>
        <w:tc>
          <w:tcPr/>
          <w:p>
            <w:pPr>
              <w:pStyle w:val="TableContents"/>
            </w:pPr>
            <w:r>
              <w:rPr>
                <w:b/>
                <w:bCs/>
                <w:color w:val="0059D1"/>
              </w:rPr>
              <w:t>[INSERT: section]</w:t>
            </w:r>
          </w:p>
        </w:tc>
        <w:tc>
          <w:tcPr/>
          <w:p>
            <w:pPr>
              <w:pStyle w:val="TableContents"/>
            </w:pPr>
            <w:r>
              <w:t>IFC PS3 §4</w:t>
            </w:r>
          </w:p>
        </w:tc>
        <w:tc>
          <w:tcPr/>
          <w:p>
            <w:pPr>
              <w:pStyle w:val="TableContents"/>
            </w:pPr>
            <w:r>
              <w:t>Requires management of hazardous materials to avoid releases to the environment and to protect worker health, using engineering controls as the primary means of managing occupational exposure.</w:t>
            </w:r>
          </w:p>
        </w:tc>
        <w:tc>
          <w:tcPr/>
          <w:p>
            <w:pPr>
              <w:pStyle w:val="TableContents"/>
            </w:pPr>
            <w:r>
              <w:t>Full</w:t>
            </w:r>
          </w:p>
        </w:tc>
      </w:tr>
      <w:tr>
        <w:tc>
          <w:tcPr/>
          <w:p>
            <w:pPr>
              <w:pStyle w:val="TableContents"/>
            </w:pPr>
            <w:r>
              <w:rPr>
                <w:b/>
                <w:bCs/>
                <w:color w:val="0059D1"/>
              </w:rPr>
              <w:t>[INSERT: section]</w:t>
            </w:r>
          </w:p>
        </w:tc>
        <w:tc>
          <w:tcPr/>
          <w:p>
            <w:pPr>
              <w:pStyle w:val="TableContents"/>
            </w:pPr>
            <w:r>
              <w:t>RT Standard RT Environment and Nature – General Requirements Standard</w:t>
            </w:r>
          </w:p>
        </w:tc>
        <w:tc>
          <w:tcPr/>
          <w:p>
            <w:pPr>
              <w:pStyle w:val="TableContents"/>
            </w:pPr>
            <w:r>
              <w:t>Requires application of the mitigation hierarchy to hazardous substance risks, prioritising substitution, engineering controls, administrative controls, and PPE as a last resort.</w:t>
            </w:r>
          </w:p>
        </w:tc>
        <w:tc>
          <w:tcPr/>
          <w:p>
            <w:pPr>
              <w:pStyle w:val="TableContents"/>
            </w:pPr>
            <w:r>
              <w:t>Full</w:t>
            </w:r>
          </w:p>
        </w:tc>
      </w:tr>
      <w:tr>
        <w:tc>
          <w:tcPr/>
          <w:p>
            <w:pPr>
              <w:pStyle w:val="TableContents"/>
            </w:pPr>
            <w:r>
              <w:rPr>
                <w:b/>
                <w:bCs/>
                <w:color w:val="0059D1"/>
              </w:rPr>
              <w:t>[INSERT: section]</w:t>
            </w:r>
          </w:p>
        </w:tc>
        <w:tc>
          <w:tcPr/>
          <w:p>
            <w:pPr>
              <w:pStyle w:val="TableContents"/>
            </w:pPr>
            <w:r>
              <w:t>RT Standard RT Environment and Nature – Materials &amp; Waste Standard</w:t>
            </w:r>
          </w:p>
        </w:tc>
        <w:tc>
          <w:tcPr/>
          <w:p>
            <w:pPr>
              <w:pStyle w:val="TableContents"/>
            </w:pPr>
            <w:r>
              <w:t>Requires storage and containment requirements including bunding, labelling, and segregation of incompatible substances, prohibits underground installation of new tanks and pipelines for hazardous materials, and requires fluorine-free firefighting foams with documented justification and phase-out plans for any retained legacy PFAS-containing systems.</w:t>
            </w:r>
          </w:p>
        </w:tc>
        <w:tc>
          <w:tcPr/>
          <w:p>
            <w:pPr>
              <w:pStyle w:val="TableContents"/>
            </w:pPr>
            <w:r>
              <w:t>Full</w:t>
            </w:r>
          </w:p>
        </w:tc>
      </w:tr>
    </w:tbl>
    <w:p>
      <w:pPr>
        <w:pStyle w:val="Default"/>
      </w:pPr>
    </w:p>
    <w:p>
      <w:pPr>
        <w:pStyle w:val="Heading2Numbered"/>
      </w:pPr>
      <w:r>
        <w:t>13.2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