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Communication and Consultation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Communication and Consultation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how HSESC information is communicated internally across the project, how workforce consultation is structured, and how HSESC issues are raised and resolved - across all project participants including RT project staff and all contractor organisations. It does not address external community consultation, which is covered in the Communities, Social Performance and Human Rights related procedures.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communication and consultation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communication and consultation framework it operationalises, and the requirements it establishes for the project from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the purpose of this procedure, the domains it covers, and the minimum requirements it establishes for all project personnel.</w:t>
      </w:r>
    </w:p>
    <w:p>
      <w:pPr>
        <w:pStyle w:val="NormalNumberedtext"/>
      </w:pPr>
      <w:r>
        <w:t>This procedure meets the following purpose requirements:</w:t>
      </w:r>
    </w:p>
    <w:p>
      <w:pPr>
        <w:pStyle w:val="NormalNumberedtext"/>
      </w:pPr>
      <w:r>
        <w:t>This procedure establishes the minimum requirements for HSESC communication and consultation on this project, covering:</w:t>
      </w:r>
    </w:p>
    <w:p>
      <w:pPr>
        <w:pStyle w:val="NumberedBulletL1"/>
      </w:pPr>
      <w:r>
        <w:t>communication channel definitions and minimum frequencies for all project phases</w:t>
      </w:r>
    </w:p>
    <w:p>
      <w:pPr>
        <w:pStyle w:val="NumberedBulletL1"/>
      </w:pPr>
      <w:r>
        <w:t>pre-start meeting content, format, and Pre-Start Board requirements</w:t>
      </w:r>
    </w:p>
    <w:p>
      <w:pPr>
        <w:pStyle w:val="NumberedBulletL1"/>
      </w:pPr>
      <w:r>
        <w:t>toolbox meeting content and frequency requirements</w:t>
      </w:r>
    </w:p>
    <w:p>
      <w:pPr>
        <w:pStyle w:val="NumberedBulletL1"/>
      </w:pPr>
      <w:r>
        <w:t>HSESC notice board mandatory content and placement</w:t>
      </w:r>
    </w:p>
    <w:p>
      <w:pPr>
        <w:pStyle w:val="NumberedBulletL1"/>
      </w:pPr>
      <w:r>
        <w:t>workforce involvement requirements across project activities</w:t>
      </w:r>
    </w:p>
    <w:p>
      <w:pPr>
        <w:pStyle w:val="NumberedBulletL1"/>
      </w:pPr>
      <w:r>
        <w:t>the HSESC issue resolution and escalation process</w:t>
      </w:r>
    </w:p>
    <w:p>
      <w:pPr>
        <w:pStyle w:val="NormalNumberedtext"/>
      </w:pPr>
      <w:r>
        <w:t>This procedure supports [INSERT: project name] and applies to all Rio Tinto project personnel and all contractor organisations working on the project. The organisational roles and HSESC leadership team that form the backbone of project communication channels are defined in the Organisational Resources Procedure,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communication and consultation activities are governed by this procedure and how it connects to related project procedures.</w:t>
      </w:r>
    </w:p>
    <w:p>
      <w:pPr>
        <w:pStyle w:val="NormalNumberedtext"/>
      </w:pPr>
      <w:r>
        <w:t>This procedure applies the following scope requirements:</w:t>
      </w:r>
    </w:p>
    <w:p>
      <w:pPr>
        <w:pStyle w:val="NormalNumberedtext"/>
      </w:pPr>
      <w:r>
        <w:t>This procedure governs all HSESC communication and consultation activities during the execution, commissioning, and handover phases, including:</w:t>
      </w:r>
    </w:p>
    <w:p>
      <w:pPr>
        <w:pStyle w:val="NumberedBulletL1"/>
      </w:pPr>
      <w:r>
        <w:t>all internal project communication channels from pre-start to leadership level</w:t>
      </w:r>
    </w:p>
    <w:p>
      <w:pPr>
        <w:pStyle w:val="NumberedBulletL1"/>
      </w:pPr>
      <w:r>
        <w:t>the dissemination of Company-issued alerts, bulletins, and lessons learned</w:t>
      </w:r>
    </w:p>
    <w:p>
      <w:pPr>
        <w:pStyle w:val="NumberedBulletL1"/>
      </w:pPr>
      <w:r>
        <w:t>workforce involvement in formal risk and health assessment processes</w:t>
      </w:r>
    </w:p>
    <w:p>
      <w:pPr>
        <w:pStyle w:val="NumberedBulletL1"/>
      </w:pPr>
      <w:r>
        <w:t>the HSESC issue resolution and grievance mechanism process</w:t>
      </w:r>
    </w:p>
    <w:p>
      <w:pPr>
        <w:pStyle w:val="NumberedBulletL1"/>
      </w:pPr>
      <w:r>
        <w:t>PTW status display requirements as a communication control at the workface</w:t>
      </w:r>
    </w:p>
    <w:p>
      <w:pPr>
        <w:pStyle w:val="NormalNumberedtext"/>
      </w:pPr>
      <w:r>
        <w:t>Communication requirements related to induction are governed by the Training Procedure, [INSERT: Project Document Number]. Risk assessment outputs communicated at pre-start meetings are governed by the Risk Management Procedure, [INSERT: Project Document Number]. Corrective actions arising from improvement planning are communicated via toolbox meetings in accordance with the Improvement Planning Procedure, [INSERT: Project Document Number].</w:t>
      </w:r>
    </w:p>
    <w:p>
      <w:pPr>
        <w:pStyle w:val="NormalNumberedtext"/>
      </w:pPr>
    </w:p>
    <w:p>
      <w:pPr>
        <w:pStyle w:val="Heading1Numbered"/>
        <w:numPr>
          <w:ilvl w:val="0"/>
          <w:numId w:val="1"/>
        </w:numPr>
      </w:pPr>
      <w:r>
        <w:rPr>
          <w:rFonts w:ascii="Arial" w:hAnsi="Arial" w:cs="Arial" w:eastAsia="Arial"/>
        </w:rPr>
        <w:t>Internal Communication Channels</w:t>
      </w:r>
    </w:p>
    <w:p>
      <w:pPr>
        <w:pStyle w:val="NormalNumberedtext"/>
      </w:pPr>
      <w:r>
        <w:t>This section defines all project HSESC communication channels, their minimum frequencies, and the requirements for disseminating alerts, lessons learned, and materials that address language and literacy barriers.</w:t>
      </w:r>
    </w:p>
    <w:p>
      <w:pPr>
        <w:pStyle w:val="NormalNumberedtext"/>
      </w:pPr>
    </w:p>
    <w:p>
      <w:pPr>
        <w:pStyle w:val="Heading2Numbered"/>
        <w:numPr>
          <w:ilvl w:val="1"/>
          <w:numId w:val="1"/>
        </w:numPr>
      </w:pPr>
      <w:r>
        <w:rPr>
          <w:rFonts w:ascii="Arial" w:hAnsi="Arial" w:cs="Arial" w:eastAsia="Arial"/>
        </w:rPr>
        <w:t>Communication Channel Definitions and Minimum Frequencies</w:t>
      </w:r>
    </w:p>
    <w:p>
      <w:pPr>
        <w:pStyle w:val="NormalNumberedtext"/>
      </w:pPr>
      <w:r>
        <w:t>This section defines each project HSESC communication channel and the minimum frequency at which each channel must operate.</w:t>
      </w:r>
    </w:p>
    <w:p>
      <w:pPr>
        <w:pStyle w:val="NormalNumberedtext"/>
      </w:pPr>
      <w:r>
        <w:t>The project operates a defined set of HSESC communication channels. Each channel has a minimum frequency that must be met by the responsible role. No channel may be reduced below the minimum frequency defined in this section without written approval from the HSESC Manager.</w:t>
      </w:r>
    </w:p>
    <w:p>
      <w:pPr>
        <w:pStyle w:val="NormalNumberedtext"/>
      </w:pPr>
      <w:r>
        <w:t>Table 1: Project HSESC Communication Channels and Minimum Frequencies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Channel</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Frequency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Format / Record</w:t>
            </w:r>
          </w:p>
        </w:tc>
      </w:tr>
      <w:tr>
        <w:tc>
          <w:tcPr>
            <w:tcW w:type="dxa" w:w="2256"/>
          </w:tcPr>
          <w:p>
            <w:pPr>
              <w:pStyle w:val="TableContents"/>
              <w:spacing w:before="0" w:after="0" w:line="240" w:lineRule="atLeast"/>
            </w:pPr>
            <w:r>
              <w:rPr>
                <w:rFonts w:ascii="Arial" w:hAnsi="Arial" w:cs="Arial" w:eastAsia="Arial"/>
                <w:sz w:val="16"/>
                <w:szCs w:val="16"/>
              </w:rPr>
              <w:t>Pre-start meeting</w:t>
            </w:r>
          </w:p>
        </w:tc>
        <w:tc>
          <w:tcPr>
            <w:tcW w:type="dxa" w:w="2256"/>
          </w:tcPr>
          <w:p>
            <w:pPr>
              <w:pStyle w:val="TableContents"/>
              <w:spacing w:before="0" w:after="0" w:line="240" w:lineRule="atLeast"/>
            </w:pPr>
            <w:r>
              <w:rPr>
                <w:rFonts w:ascii="Arial" w:hAnsi="Arial" w:cs="Arial" w:eastAsia="Arial"/>
                <w:sz w:val="16"/>
                <w:szCs w:val="16"/>
              </w:rPr>
              <w:t>Discipline supervisor</w:t>
            </w:r>
          </w:p>
        </w:tc>
        <w:tc>
          <w:tcPr>
            <w:tcW w:type="dxa" w:w="2256"/>
          </w:tcPr>
          <w:p>
            <w:pPr>
              <w:pStyle w:val="TableContents"/>
              <w:spacing w:before="0" w:after="0" w:line="240" w:lineRule="atLeast"/>
            </w:pPr>
            <w:r>
              <w:rPr>
                <w:rFonts w:ascii="Arial" w:hAnsi="Arial" w:cs="Arial" w:eastAsia="Arial"/>
                <w:sz w:val="16"/>
                <w:szCs w:val="16"/>
              </w:rPr>
              <w:t>Every shift, before work commences</w:t>
            </w:r>
          </w:p>
        </w:tc>
        <w:tc>
          <w:tcPr>
            <w:tcW w:type="dxa" w:w="2258"/>
          </w:tcPr>
          <w:p>
            <w:pPr>
              <w:pStyle w:val="TableContents"/>
              <w:spacing w:before="0" w:after="0" w:line="240" w:lineRule="atLeast"/>
            </w:pPr>
            <w:r>
              <w:rPr>
                <w:rFonts w:ascii="Arial" w:hAnsi="Arial" w:cs="Arial" w:eastAsia="Arial"/>
                <w:sz w:val="16"/>
                <w:szCs w:val="16"/>
              </w:rPr>
              <w:t>Pre-Start Board record or equivalent structured form</w:t>
            </w:r>
          </w:p>
        </w:tc>
      </w:tr>
      <w:tr>
        <w:tc>
          <w:tcPr>
            <w:tcW w:type="dxa" w:w="2256"/>
          </w:tcPr>
          <w:p>
            <w:pPr>
              <w:pStyle w:val="TableContents"/>
              <w:spacing w:before="0" w:after="0" w:line="240" w:lineRule="atLeast"/>
            </w:pPr>
            <w:r>
              <w:rPr>
                <w:rFonts w:ascii="Arial" w:hAnsi="Arial" w:cs="Arial" w:eastAsia="Arial"/>
                <w:sz w:val="16"/>
                <w:szCs w:val="16"/>
              </w:rPr>
              <w:t>Toolbox meeting</w:t>
            </w:r>
          </w:p>
        </w:tc>
        <w:tc>
          <w:tcPr>
            <w:tcW w:type="dxa" w:w="2256"/>
          </w:tcPr>
          <w:p>
            <w:pPr>
              <w:pStyle w:val="TableContents"/>
              <w:spacing w:before="0" w:after="0" w:line="240" w:lineRule="atLeast"/>
            </w:pPr>
            <w:r>
              <w:rPr>
                <w:rFonts w:ascii="Arial" w:hAnsi="Arial" w:cs="Arial" w:eastAsia="Arial"/>
                <w:sz w:val="16"/>
                <w:szCs w:val="16"/>
              </w:rPr>
              <w:t>Supervisor</w:t>
            </w:r>
          </w:p>
        </w:tc>
        <w:tc>
          <w:tcPr>
            <w:tcW w:type="dxa" w:w="2256"/>
          </w:tcPr>
          <w:p>
            <w:pPr>
              <w:pStyle w:val="TableContents"/>
              <w:spacing w:before="0" w:after="0" w:line="240" w:lineRule="atLeast"/>
            </w:pPr>
            <w:r>
              <w:rPr>
                <w:rFonts w:ascii="Arial" w:hAnsi="Arial" w:cs="Arial" w:eastAsia="Arial"/>
                <w:sz w:val="16"/>
                <w:szCs w:val="16"/>
              </w:rPr>
              <w:t>Refer Section 3 - Toolbox Meetings</w:t>
            </w:r>
          </w:p>
        </w:tc>
        <w:tc>
          <w:tcPr>
            <w:tcW w:type="dxa" w:w="2258"/>
          </w:tcPr>
          <w:p>
            <w:pPr>
              <w:pStyle w:val="TableContents"/>
              <w:spacing w:before="0" w:after="0" w:line="240" w:lineRule="atLeast"/>
            </w:pPr>
            <w:r>
              <w:rPr>
                <w:rFonts w:ascii="Arial" w:hAnsi="Arial" w:cs="Arial" w:eastAsia="Arial"/>
                <w:sz w:val="16"/>
                <w:szCs w:val="16"/>
              </w:rPr>
              <w:t>Toolbox meeting record form</w:t>
            </w:r>
          </w:p>
        </w:tc>
      </w:tr>
      <w:tr>
        <w:tc>
          <w:tcPr>
            <w:tcW w:type="dxa" w:w="2256"/>
          </w:tcPr>
          <w:p>
            <w:pPr>
              <w:pStyle w:val="TableContents"/>
              <w:spacing w:before="0" w:after="0" w:line="240" w:lineRule="atLeast"/>
            </w:pPr>
            <w:r>
              <w:rPr>
                <w:rFonts w:ascii="Arial" w:hAnsi="Arial" w:cs="Arial" w:eastAsia="Arial"/>
                <w:sz w:val="16"/>
                <w:szCs w:val="16"/>
              </w:rPr>
              <w:t>HSESC Leadership Team (HSESCLT) meeting</w:t>
            </w:r>
          </w:p>
        </w:tc>
        <w:tc>
          <w:tcPr>
            <w:tcW w:type="dxa" w:w="2256"/>
          </w:tcPr>
          <w:p>
            <w:pPr>
              <w:pStyle w:val="TableContents"/>
              <w:spacing w:before="0" w:after="0" w:line="240" w:lineRule="atLeast"/>
            </w:pPr>
            <w:r>
              <w:rPr>
                <w:rFonts w:ascii="Arial" w:hAnsi="Arial" w:cs="Arial" w:eastAsia="Arial"/>
                <w:sz w:val="16"/>
                <w:szCs w:val="16"/>
              </w:rPr>
              <w:t>HSESC Manager</w:t>
            </w:r>
          </w:p>
        </w:tc>
        <w:tc>
          <w:tcPr>
            <w:tcW w:type="dxa" w:w="2256"/>
          </w:tcPr>
          <w:p>
            <w:pPr>
              <w:pStyle w:val="TableContents"/>
              <w:spacing w:before="0" w:after="0" w:line="240" w:lineRule="atLeast"/>
            </w:pPr>
            <w:r>
              <w:rPr>
                <w:rFonts w:ascii="Arial" w:hAnsi="Arial" w:cs="Arial" w:eastAsia="Arial"/>
                <w:sz w:val="16"/>
                <w:szCs w:val="16"/>
              </w:rPr>
              <w:t>Monthly</w:t>
            </w:r>
          </w:p>
        </w:tc>
        <w:tc>
          <w:tcPr>
            <w:tcW w:type="dxa" w:w="2258"/>
          </w:tcPr>
          <w:p>
            <w:pPr>
              <w:pStyle w:val="TableContents"/>
              <w:spacing w:before="0" w:after="0" w:line="240" w:lineRule="atLeast"/>
            </w:pPr>
            <w:r>
              <w:rPr>
                <w:rFonts w:ascii="Arial" w:hAnsi="Arial" w:cs="Arial" w:eastAsia="Arial"/>
                <w:sz w:val="16"/>
                <w:szCs w:val="16"/>
              </w:rPr>
              <w:t xml:space="preserve">Meeting minutes - stored in </w:t>
            </w:r>
            <w:r>
              <w:rPr>
                <w:rFonts w:ascii="Arial" w:hAnsi="Arial" w:cs="Arial" w:eastAsia="Arial"/>
                <w:b/>
                <w:bCs/>
                <w:color w:val="0059D1"/>
                <w:sz w:val="16"/>
                <w:szCs w:val="16"/>
              </w:rPr>
              <w:t>[INSERT: document management system]</w:t>
            </w:r>
          </w:p>
        </w:tc>
      </w:tr>
      <w:tr>
        <w:tc>
          <w:tcPr>
            <w:tcW w:type="dxa" w:w="2256"/>
          </w:tcPr>
          <w:p>
            <w:pPr>
              <w:pStyle w:val="TableContents"/>
              <w:spacing w:before="0" w:after="0" w:line="240" w:lineRule="atLeast"/>
            </w:pPr>
            <w:r>
              <w:rPr>
                <w:rFonts w:ascii="Arial" w:hAnsi="Arial" w:cs="Arial" w:eastAsia="Arial"/>
                <w:sz w:val="16"/>
                <w:szCs w:val="16"/>
              </w:rPr>
              <w:t>HSESC committee meeting</w:t>
            </w:r>
          </w:p>
        </w:tc>
        <w:tc>
          <w:tcPr>
            <w:tcW w:type="dxa" w:w="2256"/>
          </w:tcPr>
          <w:p>
            <w:pPr>
              <w:pStyle w:val="TableContents"/>
              <w:spacing w:before="0" w:after="0" w:line="240" w:lineRule="atLeast"/>
            </w:pPr>
            <w:r>
              <w:rPr>
                <w:rFonts w:ascii="Arial" w:hAnsi="Arial" w:cs="Arial" w:eastAsia="Arial"/>
                <w:sz w:val="16"/>
                <w:szCs w:val="16"/>
              </w:rPr>
              <w:t>HSESC Manager</w:t>
            </w:r>
          </w:p>
        </w:tc>
        <w:tc>
          <w:tcPr>
            <w:tcW w:type="dxa" w:w="2256"/>
          </w:tcPr>
          <w:p>
            <w:pPr>
              <w:pStyle w:val="TableContents"/>
              <w:spacing w:before="0" w:after="0" w:line="240" w:lineRule="atLeast"/>
            </w:pPr>
            <w:r>
              <w:rPr>
                <w:rFonts w:ascii="Arial" w:hAnsi="Arial" w:cs="Arial" w:eastAsia="Arial"/>
                <w:sz w:val="16"/>
                <w:szCs w:val="16"/>
              </w:rPr>
              <w:t xml:space="preserve">Regular planned intervals - refer </w:t>
            </w:r>
            <w:r>
              <w:rPr>
                <w:rFonts w:ascii="Arial" w:hAnsi="Arial" w:cs="Arial" w:eastAsia="Arial"/>
                <w:b/>
                <w:bCs/>
                <w:color w:val="0059D1"/>
                <w:sz w:val="16"/>
                <w:szCs w:val="16"/>
              </w:rPr>
              <w:t>[INSERT: Project Document Number]</w:t>
            </w:r>
          </w:p>
        </w:tc>
        <w:tc>
          <w:tcPr>
            <w:tcW w:type="dxa" w:w="2258"/>
          </w:tcPr>
          <w:p>
            <w:pPr>
              <w:pStyle w:val="TableContents"/>
              <w:spacing w:before="0" w:after="0" w:line="240" w:lineRule="atLeast"/>
            </w:pPr>
            <w:r>
              <w:rPr>
                <w:rFonts w:ascii="Arial" w:hAnsi="Arial" w:cs="Arial" w:eastAsia="Arial"/>
                <w:sz w:val="16"/>
                <w:szCs w:val="16"/>
              </w:rPr>
              <w:t xml:space="preserve">Meeting minutes - stored in </w:t>
            </w:r>
            <w:r>
              <w:rPr>
                <w:rFonts w:ascii="Arial" w:hAnsi="Arial" w:cs="Arial" w:eastAsia="Arial"/>
                <w:b/>
                <w:bCs/>
                <w:color w:val="0059D1"/>
                <w:sz w:val="16"/>
                <w:szCs w:val="16"/>
              </w:rPr>
              <w:t>[INSERT: document management system]</w:t>
            </w:r>
          </w:p>
        </w:tc>
      </w:tr>
      <w:tr>
        <w:tc>
          <w:tcPr>
            <w:tcW w:type="dxa" w:w="2256"/>
          </w:tcPr>
          <w:p>
            <w:pPr>
              <w:pStyle w:val="TableContents"/>
              <w:spacing w:before="0" w:after="0" w:line="240" w:lineRule="atLeast"/>
            </w:pPr>
            <w:r>
              <w:rPr>
                <w:rFonts w:ascii="Arial" w:hAnsi="Arial" w:cs="Arial" w:eastAsia="Arial"/>
                <w:sz w:val="16"/>
                <w:szCs w:val="16"/>
              </w:rPr>
              <w:t>HSESC notice board</w:t>
            </w:r>
          </w:p>
        </w:tc>
        <w:tc>
          <w:tcPr>
            <w:tcW w:type="dxa" w:w="2256"/>
          </w:tcPr>
          <w:p>
            <w:pPr>
              <w:pStyle w:val="TableContents"/>
              <w:spacing w:before="0" w:after="0" w:line="240" w:lineRule="atLeast"/>
            </w:pPr>
            <w:r>
              <w:rPr>
                <w:rFonts w:ascii="Arial" w:hAnsi="Arial" w:cs="Arial" w:eastAsia="Arial"/>
                <w:sz w:val="16"/>
                <w:szCs w:val="16"/>
              </w:rPr>
              <w:t>HSESC Coordinator</w:t>
            </w:r>
          </w:p>
        </w:tc>
        <w:tc>
          <w:tcPr>
            <w:tcW w:type="dxa" w:w="2256"/>
          </w:tcPr>
          <w:p>
            <w:pPr>
              <w:pStyle w:val="TableContents"/>
              <w:spacing w:before="0" w:after="0" w:line="240" w:lineRule="atLeast"/>
            </w:pPr>
            <w:r>
              <w:rPr>
                <w:rFonts w:ascii="Arial" w:hAnsi="Arial" w:cs="Arial" w:eastAsia="Arial"/>
                <w:sz w:val="16"/>
                <w:szCs w:val="16"/>
              </w:rPr>
              <w:t>Continuously updated - refer Section 4</w:t>
            </w:r>
          </w:p>
        </w:tc>
        <w:tc>
          <w:tcPr>
            <w:tcW w:type="dxa" w:w="2258"/>
          </w:tcPr>
          <w:p>
            <w:pPr>
              <w:pStyle w:val="TableContents"/>
              <w:spacing w:before="0" w:after="0" w:line="240" w:lineRule="atLeast"/>
            </w:pPr>
            <w:r>
              <w:rPr>
                <w:rFonts w:ascii="Arial" w:hAnsi="Arial" w:cs="Arial" w:eastAsia="Arial"/>
                <w:sz w:val="16"/>
                <w:szCs w:val="16"/>
              </w:rPr>
              <w:t>Physical board at each designated location</w:t>
            </w:r>
          </w:p>
        </w:tc>
      </w:tr>
      <w:tr>
        <w:tc>
          <w:tcPr>
            <w:tcW w:type="dxa" w:w="2256"/>
          </w:tcPr>
          <w:p>
            <w:pPr>
              <w:pStyle w:val="TableContents"/>
              <w:spacing w:before="0" w:after="0" w:line="240" w:lineRule="atLeast"/>
            </w:pPr>
            <w:r>
              <w:rPr>
                <w:rFonts w:ascii="Arial" w:hAnsi="Arial" w:cs="Arial" w:eastAsia="Arial"/>
                <w:sz w:val="16"/>
                <w:szCs w:val="16"/>
              </w:rPr>
              <w:t>HSESC alerts and bulletins</w:t>
            </w:r>
          </w:p>
        </w:tc>
        <w:tc>
          <w:tcPr>
            <w:tcW w:type="dxa" w:w="2256"/>
          </w:tcPr>
          <w:p>
            <w:pPr>
              <w:pStyle w:val="TableContents"/>
              <w:spacing w:before="0" w:after="0" w:line="240" w:lineRule="atLeast"/>
            </w:pPr>
            <w:r>
              <w:rPr>
                <w:rFonts w:ascii="Arial" w:hAnsi="Arial" w:cs="Arial" w:eastAsia="Arial"/>
                <w:sz w:val="16"/>
                <w:szCs w:val="16"/>
              </w:rPr>
              <w:t>HSESC Manager</w:t>
            </w:r>
          </w:p>
        </w:tc>
        <w:tc>
          <w:tcPr>
            <w:tcW w:type="dxa" w:w="2256"/>
          </w:tcPr>
          <w:p>
            <w:pPr>
              <w:pStyle w:val="TableContents"/>
              <w:spacing w:before="0" w:after="0" w:line="240" w:lineRule="atLeast"/>
            </w:pPr>
            <w:r>
              <w:rPr>
                <w:rFonts w:ascii="Arial" w:hAnsi="Arial" w:cs="Arial" w:eastAsia="Arial"/>
                <w:sz w:val="16"/>
                <w:szCs w:val="16"/>
              </w:rPr>
              <w:t>Upon receipt of Company-issued notification - refer Section 2.2</w:t>
            </w:r>
          </w:p>
        </w:tc>
        <w:tc>
          <w:tcPr>
            <w:tcW w:type="dxa" w:w="2258"/>
          </w:tcPr>
          <w:p>
            <w:pPr>
              <w:pStyle w:val="TableContents"/>
              <w:spacing w:before="0" w:after="0" w:line="240" w:lineRule="atLeast"/>
            </w:pPr>
            <w:r>
              <w:rPr>
                <w:rFonts w:ascii="Arial" w:hAnsi="Arial" w:cs="Arial" w:eastAsia="Arial"/>
                <w:b/>
                <w:bCs/>
                <w:color w:val="0059D1"/>
                <w:sz w:val="16"/>
                <w:szCs w:val="16"/>
              </w:rPr>
              <w:t>[INSERT: distribution method, e.g. email, toolbox, noticeboard]</w:t>
            </w:r>
          </w:p>
        </w:tc>
      </w:tr>
      <w:tr>
        <w:tc>
          <w:tcPr>
            <w:tcW w:type="dxa" w:w="2256"/>
          </w:tcPr>
          <w:p>
            <w:pPr>
              <w:pStyle w:val="TableContents"/>
              <w:spacing w:before="0" w:after="0" w:line="240" w:lineRule="atLeast"/>
            </w:pPr>
            <w:r>
              <w:rPr>
                <w:rFonts w:ascii="Arial" w:hAnsi="Arial" w:cs="Arial" w:eastAsia="Arial"/>
                <w:sz w:val="16"/>
                <w:szCs w:val="16"/>
              </w:rPr>
              <w:t>{'insert': True, 'field': 'additional_channel_1'}</w:t>
            </w:r>
          </w:p>
        </w:tc>
        <w:tc>
          <w:tcPr>
            <w:tcW w:type="dxa" w:w="2256"/>
          </w:tcPr>
          <w:p>
            <w:pPr>
              <w:pStyle w:val="TableContents"/>
              <w:spacing w:before="0" w:after="0" w:line="240" w:lineRule="atLeast"/>
            </w:pPr>
            <w:r>
              <w:rPr>
                <w:rFonts w:ascii="Arial" w:hAnsi="Arial" w:cs="Arial" w:eastAsia="Arial"/>
                <w:sz w:val="16"/>
                <w:szCs w:val="16"/>
              </w:rPr>
              <w:t>{'insert': True, 'field': 'responsible_role_1'}</w:t>
            </w:r>
          </w:p>
        </w:tc>
        <w:tc>
          <w:tcPr>
            <w:tcW w:type="dxa" w:w="2256"/>
          </w:tcPr>
          <w:p>
            <w:pPr>
              <w:pStyle w:val="TableContents"/>
              <w:spacing w:before="0" w:after="0" w:line="240" w:lineRule="atLeast"/>
            </w:pPr>
            <w:r>
              <w:rPr>
                <w:rFonts w:ascii="Arial" w:hAnsi="Arial" w:cs="Arial" w:eastAsia="Arial"/>
                <w:sz w:val="16"/>
                <w:szCs w:val="16"/>
              </w:rPr>
              <w:t>{'insert': True, 'field': 'frequency_1'}</w:t>
            </w:r>
          </w:p>
        </w:tc>
        <w:tc>
          <w:tcPr>
            <w:tcW w:type="dxa" w:w="2258"/>
          </w:tcPr>
          <w:p>
            <w:pPr>
              <w:pStyle w:val="TableContents"/>
              <w:spacing w:before="0" w:after="0" w:line="240" w:lineRule="atLeast"/>
            </w:pPr>
            <w:r>
              <w:rPr>
                <w:rFonts w:ascii="Arial" w:hAnsi="Arial" w:cs="Arial" w:eastAsia="Arial"/>
                <w:sz w:val="16"/>
                <w:szCs w:val="16"/>
              </w:rPr>
              <w:t>{'insert': True, 'field': 'format_1'}</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 LANGUAGE AND LITERACY: Define language and literacy requirements for this project workforce before this procedure is issued. If non-English speaking workers are expected, define the interpreter and translation arrangements, including which channel formats will be translated and who holds responsibility for arranging interpretation. Insert the completed requirements at </w:t>
            </w:r>
            <w:r>
              <w:rPr>
                <w:rFonts w:ascii="Arial" w:hAnsi="Arial" w:cs="Arial" w:eastAsia="Arial"/>
                <w:b/>
                <w:bCs/>
                <w:color w:val="0059D1"/>
                <w:sz w:val="16"/>
                <w:szCs w:val="16"/>
              </w:rPr>
              <w:t>[INSERT: language and literacy arrangements]</w:t>
            </w:r>
            <w:r>
              <w:rPr>
                <w:rFonts w:ascii="Arial" w:hAnsi="Arial" w:cs="Arial" w:eastAsia="Arial"/>
                <w:b/>
                <w:bCs/>
                <w:color w:val="C55A11"/>
                <w:sz w:val="16"/>
                <w:szCs w:val="16"/>
              </w:rPr>
              <w:t xml:space="preserve"> below.</w:t>
            </w:r>
          </w:p>
        </w:tc>
      </w:tr>
    </w:tbl>
    <w:p>
      <w:pPr>
        <w:pStyle w:val="NormalNumberedtext"/>
      </w:pPr>
    </w:p>
    <w:p>
      <w:pPr>
        <w:pStyle w:val="NormalNumberedtext"/>
      </w:pPr>
      <w:r>
        <w:t>Communication across all channels must account for language and literacy barriers within the project workforce. Where workers have limited English proficiency or low literacy levels, the responsible supervisor arranges translated materials, visual formats, or interpreter support before the communication event. The project language and literacy arrangements are documented at [INSERT: language and literacy arrangements - e.g. list of languages, designated interpreters, approved visual format standards].</w:t>
      </w:r>
    </w:p>
    <w:p>
      <w:pPr>
        <w:pStyle w:val="NormalNumberedtext"/>
      </w:pPr>
      <w:r>
        <w:rPr>
          <w:color w:val="C55A11"/>
        </w:rPr>
        <w:t>All communication materials used at pre-start meetings, toolbox meetings, and on HSESC notice boards are available in the languages represented in the workforce, or are supplemented with visual equivalents sufficient for a worker with limited literacy to understand the key safety messages. The responsible supervisor confirms understanding before work commences.</w:t>
      </w:r>
    </w:p>
    <w:p>
      <w:pPr>
        <w:pStyle w:val="NormalNumberedtext"/>
      </w:pPr>
    </w:p>
    <w:p>
      <w:pPr>
        <w:pStyle w:val="Heading2Numbered"/>
        <w:numPr>
          <w:ilvl w:val="1"/>
          <w:numId w:val="1"/>
        </w:numPr>
      </w:pPr>
      <w:r>
        <w:rPr>
          <w:rFonts w:ascii="Arial" w:hAnsi="Arial" w:cs="Arial" w:eastAsia="Arial"/>
        </w:rPr>
        <w:t>Dissemination of Company-Issued HSESC Incident Notifications and Lessons Learned</w:t>
      </w:r>
    </w:p>
    <w:p>
      <w:pPr>
        <w:pStyle w:val="NormalNumberedtext"/>
      </w:pPr>
      <w:r>
        <w:t>This section defines the process for receiving, reviewing, and disseminating Company-issued alerts, incident notifications, and lessons learned across all contractor organisations on the project.</w:t>
      </w:r>
    </w:p>
    <w:p>
      <w:pPr>
        <w:pStyle w:val="NormalNumberedtext"/>
      </w:pPr>
      <w:r>
        <w:t>The HSESC Manager is responsible for receiving all Company-issued HSESC incident notifications and lessons learned and for ensuring they are disseminated to all contractor organisations on the project within the timeframes defined in this section. The dissemination process applies to orange alerts, red alerts, and any lessons learned packages issued by the Company.</w:t>
      </w:r>
    </w:p>
    <w:p>
      <w:pPr>
        <w:pStyle w:val="NormalNumberedtext"/>
      </w:pPr>
      <w:r>
        <w:t>Table 2: Alert Dissemination Timeframes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Alert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Receipt-to-Dissemination Timeframe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Dissemination Method</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Confirmation of Receipt</w:t>
            </w:r>
          </w:p>
        </w:tc>
      </w:tr>
      <w:tr>
        <w:tc>
          <w:tcPr>
            <w:tcW w:type="dxa" w:w="2256"/>
          </w:tcPr>
          <w:p>
            <w:pPr>
              <w:pStyle w:val="TableContents"/>
              <w:spacing w:before="0" w:after="0" w:line="240" w:lineRule="atLeast"/>
            </w:pPr>
            <w:r>
              <w:rPr>
                <w:rFonts w:ascii="Arial" w:hAnsi="Arial" w:cs="Arial" w:eastAsia="Arial"/>
                <w:sz w:val="16"/>
                <w:szCs w:val="16"/>
              </w:rPr>
              <w:t>Red alert (fatality or critical event)</w:t>
            </w:r>
          </w:p>
        </w:tc>
        <w:tc>
          <w:tcPr>
            <w:tcW w:type="dxa" w:w="2256"/>
          </w:tcPr>
          <w:p>
            <w:pPr>
              <w:pStyle w:val="TableContents"/>
              <w:spacing w:before="0" w:after="0" w:line="240" w:lineRule="atLeast"/>
            </w:pPr>
            <w:r>
              <w:rPr>
                <w:rFonts w:ascii="Arial" w:hAnsi="Arial" w:cs="Arial" w:eastAsia="Arial"/>
                <w:sz w:val="16"/>
                <w:szCs w:val="16"/>
              </w:rPr>
              <w:t>Within 24 hours of receipt</w:t>
            </w:r>
          </w:p>
        </w:tc>
        <w:tc>
          <w:tcPr>
            <w:tcW w:type="dxa" w:w="2256"/>
          </w:tcPr>
          <w:p>
            <w:pPr>
              <w:pStyle w:val="TableContents"/>
              <w:spacing w:before="0" w:after="0" w:line="240" w:lineRule="atLeast"/>
            </w:pPr>
            <w:r>
              <w:rPr>
                <w:rFonts w:ascii="Arial" w:hAnsi="Arial" w:cs="Arial" w:eastAsia="Arial"/>
                <w:sz w:val="16"/>
                <w:szCs w:val="16"/>
              </w:rPr>
              <w:t>Direct briefing to all contractor supervisors; notice board posting</w:t>
            </w:r>
          </w:p>
        </w:tc>
        <w:tc>
          <w:tcPr>
            <w:tcW w:type="dxa" w:w="2258"/>
          </w:tcPr>
          <w:p>
            <w:pPr>
              <w:pStyle w:val="TableContents"/>
              <w:spacing w:before="0" w:after="0" w:line="240" w:lineRule="atLeast"/>
            </w:pPr>
            <w:r>
              <w:rPr>
                <w:rFonts w:ascii="Arial" w:hAnsi="Arial" w:cs="Arial" w:eastAsia="Arial"/>
                <w:sz w:val="16"/>
                <w:szCs w:val="16"/>
              </w:rPr>
              <w:t>Supervisor sign-off sheet retained by HSESC Coordinator</w:t>
            </w:r>
          </w:p>
        </w:tc>
      </w:tr>
      <w:tr>
        <w:tc>
          <w:tcPr>
            <w:tcW w:type="dxa" w:w="2256"/>
          </w:tcPr>
          <w:p>
            <w:pPr>
              <w:pStyle w:val="TableContents"/>
              <w:spacing w:before="0" w:after="0" w:line="240" w:lineRule="atLeast"/>
            </w:pPr>
            <w:r>
              <w:rPr>
                <w:rFonts w:ascii="Arial" w:hAnsi="Arial" w:cs="Arial" w:eastAsia="Arial"/>
                <w:sz w:val="16"/>
                <w:szCs w:val="16"/>
              </w:rPr>
              <w:t>Orange alert (high-potential event)</w:t>
            </w:r>
          </w:p>
        </w:tc>
        <w:tc>
          <w:tcPr>
            <w:tcW w:type="dxa" w:w="2256"/>
          </w:tcPr>
          <w:p>
            <w:pPr>
              <w:pStyle w:val="TableContents"/>
              <w:spacing w:before="0" w:after="0" w:line="240" w:lineRule="atLeast"/>
            </w:pPr>
            <w:r>
              <w:rPr>
                <w:rFonts w:ascii="Arial" w:hAnsi="Arial" w:cs="Arial" w:eastAsia="Arial"/>
                <w:sz w:val="16"/>
                <w:szCs w:val="16"/>
              </w:rPr>
              <w:t>Within 48 hours of receipt</w:t>
            </w:r>
          </w:p>
        </w:tc>
        <w:tc>
          <w:tcPr>
            <w:tcW w:type="dxa" w:w="2256"/>
          </w:tcPr>
          <w:p>
            <w:pPr>
              <w:pStyle w:val="TableContents"/>
              <w:spacing w:before="0" w:after="0" w:line="240" w:lineRule="atLeast"/>
            </w:pPr>
            <w:r>
              <w:rPr>
                <w:rFonts w:ascii="Arial" w:hAnsi="Arial" w:cs="Arial" w:eastAsia="Arial"/>
                <w:sz w:val="16"/>
                <w:szCs w:val="16"/>
              </w:rPr>
              <w:t>Toolbox meeting inclusion; notice board posting</w:t>
            </w:r>
          </w:p>
        </w:tc>
        <w:tc>
          <w:tcPr>
            <w:tcW w:type="dxa" w:w="2258"/>
          </w:tcPr>
          <w:p>
            <w:pPr>
              <w:pStyle w:val="TableContents"/>
              <w:spacing w:before="0" w:after="0" w:line="240" w:lineRule="atLeast"/>
            </w:pPr>
            <w:r>
              <w:rPr>
                <w:rFonts w:ascii="Arial" w:hAnsi="Arial" w:cs="Arial" w:eastAsia="Arial"/>
                <w:sz w:val="16"/>
                <w:szCs w:val="16"/>
              </w:rPr>
              <w:t>Toolbox meeting record</w:t>
            </w:r>
          </w:p>
        </w:tc>
      </w:tr>
      <w:tr>
        <w:tc>
          <w:tcPr>
            <w:tcW w:type="dxa" w:w="2256"/>
          </w:tcPr>
          <w:p>
            <w:pPr>
              <w:pStyle w:val="TableContents"/>
              <w:spacing w:before="0" w:after="0" w:line="240" w:lineRule="atLeast"/>
            </w:pPr>
            <w:r>
              <w:rPr>
                <w:rFonts w:ascii="Arial" w:hAnsi="Arial" w:cs="Arial" w:eastAsia="Arial"/>
                <w:sz w:val="16"/>
                <w:szCs w:val="16"/>
              </w:rPr>
              <w:t>Lessons learned bulletin</w:t>
            </w:r>
          </w:p>
        </w:tc>
        <w:tc>
          <w:tcPr>
            <w:tcW w:type="dxa" w:w="2256"/>
          </w:tcPr>
          <w:p>
            <w:pPr>
              <w:pStyle w:val="TableContents"/>
              <w:spacing w:before="0" w:after="0" w:line="240" w:lineRule="atLeast"/>
            </w:pPr>
            <w:r>
              <w:rPr>
                <w:rFonts w:ascii="Arial" w:hAnsi="Arial" w:cs="Arial" w:eastAsia="Arial"/>
                <w:sz w:val="16"/>
                <w:szCs w:val="16"/>
              </w:rPr>
              <w:t>Within 5 business days of receipt</w:t>
            </w:r>
          </w:p>
        </w:tc>
        <w:tc>
          <w:tcPr>
            <w:tcW w:type="dxa" w:w="2256"/>
          </w:tcPr>
          <w:p>
            <w:pPr>
              <w:pStyle w:val="TableContents"/>
              <w:spacing w:before="0" w:after="0" w:line="240" w:lineRule="atLeast"/>
            </w:pPr>
            <w:r>
              <w:rPr>
                <w:rFonts w:ascii="Arial" w:hAnsi="Arial" w:cs="Arial" w:eastAsia="Arial"/>
                <w:sz w:val="16"/>
                <w:szCs w:val="16"/>
              </w:rPr>
              <w:t>Toolbox meeting inclusion; notice board posting</w:t>
            </w:r>
          </w:p>
        </w:tc>
        <w:tc>
          <w:tcPr>
            <w:tcW w:type="dxa" w:w="2258"/>
          </w:tcPr>
          <w:p>
            <w:pPr>
              <w:pStyle w:val="TableContents"/>
              <w:spacing w:before="0" w:after="0" w:line="240" w:lineRule="atLeast"/>
            </w:pPr>
            <w:r>
              <w:rPr>
                <w:rFonts w:ascii="Arial" w:hAnsi="Arial" w:cs="Arial" w:eastAsia="Arial"/>
                <w:sz w:val="16"/>
                <w:szCs w:val="16"/>
              </w:rPr>
              <w:t>Toolbox meeting record</w:t>
            </w:r>
          </w:p>
        </w:tc>
      </w:tr>
      <w:tr>
        <w:tc>
          <w:tcPr>
            <w:tcW w:type="dxa" w:w="2256"/>
          </w:tcPr>
          <w:p>
            <w:pPr>
              <w:pStyle w:val="TableContents"/>
              <w:spacing w:before="0" w:after="0" w:line="240" w:lineRule="atLeast"/>
            </w:pPr>
            <w:r>
              <w:rPr>
                <w:rFonts w:ascii="Arial" w:hAnsi="Arial" w:cs="Arial" w:eastAsia="Arial"/>
                <w:sz w:val="16"/>
                <w:szCs w:val="16"/>
              </w:rPr>
              <w:t>{'insert': True, 'field': 'additional_alert_type'}</w:t>
            </w:r>
          </w:p>
        </w:tc>
        <w:tc>
          <w:tcPr>
            <w:tcW w:type="dxa" w:w="2256"/>
          </w:tcPr>
          <w:p>
            <w:pPr>
              <w:pStyle w:val="TableContents"/>
              <w:spacing w:before="0" w:after="0" w:line="240" w:lineRule="atLeast"/>
            </w:pPr>
            <w:r>
              <w:rPr>
                <w:rFonts w:ascii="Arial" w:hAnsi="Arial" w:cs="Arial" w:eastAsia="Arial"/>
                <w:sz w:val="16"/>
                <w:szCs w:val="16"/>
              </w:rPr>
              <w:t>{'insert': True, 'field': 'timeframe'}</w:t>
            </w:r>
          </w:p>
        </w:tc>
        <w:tc>
          <w:tcPr>
            <w:tcW w:type="dxa" w:w="2256"/>
          </w:tcPr>
          <w:p>
            <w:pPr>
              <w:pStyle w:val="TableContents"/>
              <w:spacing w:before="0" w:after="0" w:line="240" w:lineRule="atLeast"/>
            </w:pPr>
            <w:r>
              <w:rPr>
                <w:rFonts w:ascii="Arial" w:hAnsi="Arial" w:cs="Arial" w:eastAsia="Arial"/>
                <w:sz w:val="16"/>
                <w:szCs w:val="16"/>
              </w:rPr>
              <w:t>{'insert': True, 'field': 'dissemination_method'}</w:t>
            </w:r>
          </w:p>
        </w:tc>
        <w:tc>
          <w:tcPr>
            <w:tcW w:type="dxa" w:w="2258"/>
          </w:tcPr>
          <w:p>
            <w:pPr>
              <w:pStyle w:val="TableContents"/>
              <w:spacing w:before="0" w:after="0" w:line="240" w:lineRule="atLeast"/>
            </w:pPr>
            <w:r>
              <w:rPr>
                <w:rFonts w:ascii="Arial" w:hAnsi="Arial" w:cs="Arial" w:eastAsia="Arial"/>
                <w:sz w:val="16"/>
                <w:szCs w:val="16"/>
              </w:rPr>
              <w:t>{'insert': True, 'field': 'confirmation_method'}</w:t>
            </w:r>
          </w:p>
        </w:tc>
      </w:tr>
    </w:tbl>
    <w:p>
      <w:pPr>
        <w:pStyle w:val="NormalNumberedtext"/>
      </w:pPr>
    </w:p>
    <w:p>
      <w:pPr>
        <w:pStyle w:val="NormalNumberedtext"/>
      </w:pPr>
      <w:r>
        <w:t>The HSESC Manager maintains a register of all received alerts and lessons learned, recording the date received, the date disseminated, the method used, and confirmation of receipt by each contractor organisation. The register is stored in [INSERT: document management system] and is available for audit at any time.</w:t>
      </w:r>
    </w:p>
    <w:p>
      <w:pPr>
        <w:pStyle w:val="NormalNumberedtext"/>
      </w:pPr>
      <w:r>
        <w:t>Where an alert identifies a hazard or scenario directly relevant to work being performed on this project, the HSESC Manager initiates a review of the applicable JHA or risk register entry in accordance with the Risk Management Procedure, [INSERT: Project Document Number], before work in that area or activity resumes.</w:t>
      </w:r>
    </w:p>
    <w:p>
      <w:pPr>
        <w:pStyle w:val="NormalNumberedtext"/>
      </w:pPr>
    </w:p>
    <w:p>
      <w:pPr>
        <w:pStyle w:val="Heading1Numbered"/>
        <w:numPr>
          <w:ilvl w:val="0"/>
          <w:numId w:val="1"/>
        </w:numPr>
      </w:pPr>
      <w:r>
        <w:rPr>
          <w:rFonts w:ascii="Arial" w:hAnsi="Arial" w:cs="Arial" w:eastAsia="Arial"/>
        </w:rPr>
        <w:t>Pre-Start Meetings</w:t>
      </w:r>
    </w:p>
    <w:p>
      <w:pPr>
        <w:pStyle w:val="NormalNumberedtext"/>
      </w:pPr>
      <w:r>
        <w:t>This section defines the minimum requirements for pre-start meetings, including content, format, facilitation responsibilities, participatory conduct, and Pre-Start Board requirements.</w:t>
      </w:r>
    </w:p>
    <w:p>
      <w:pPr>
        <w:pStyle w:val="NormalNumberedtext"/>
      </w:pPr>
    </w:p>
    <w:p>
      <w:pPr>
        <w:pStyle w:val="Heading2Numbered"/>
        <w:numPr>
          <w:ilvl w:val="1"/>
          <w:numId w:val="1"/>
        </w:numPr>
      </w:pPr>
      <w:r>
        <w:rPr>
          <w:rFonts w:ascii="Arial" w:hAnsi="Arial" w:cs="Arial" w:eastAsia="Arial"/>
        </w:rPr>
        <w:t>Pre-Start Meeting Requirements</w:t>
      </w:r>
    </w:p>
    <w:p>
      <w:pPr>
        <w:pStyle w:val="NormalNumberedtext"/>
      </w:pPr>
      <w:r>
        <w:t>This section defines when pre-start meetings are held, who facilitates them, where they are conducted, and what minimum content must be covered.</w:t>
      </w:r>
    </w:p>
    <w:p>
      <w:pPr>
        <w:pStyle w:val="NormalNumberedtext"/>
      </w:pPr>
      <w:r>
        <w:t>A pre-start meeting is held at the commencement of every shift for every discipline and work group on the project. No new task commences without a pre-start meeting. The responsible supervisor for each discipline or work group facilitates the meeting at the physical work location, before the work group moves to the task.</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 PRE-START BOARD: Define the project Pre-Start Board format and confirm the approved board design for this project. The procedure requires a Pre-Start Board - the project must procure and install boards at all work locations before work commences. Insert the confirmed board specification and procurement responsibility at </w:t>
            </w:r>
            <w:r>
              <w:rPr>
                <w:rFonts w:ascii="Arial" w:hAnsi="Arial" w:cs="Arial" w:eastAsia="Arial"/>
                <w:b/>
                <w:bCs/>
                <w:color w:val="0059D1"/>
                <w:sz w:val="16"/>
                <w:szCs w:val="16"/>
              </w:rPr>
              <w:t>[INSERT: Pre-Start Board format and procurement details]</w:t>
            </w:r>
            <w:r>
              <w:rPr>
                <w:rFonts w:ascii="Arial" w:hAnsi="Arial" w:cs="Arial" w:eastAsia="Arial"/>
                <w:b/>
                <w:bCs/>
                <w:color w:val="C55A11"/>
                <w:sz w:val="16"/>
                <w:szCs w:val="16"/>
              </w:rPr>
              <w:t xml:space="preserve"> below.</w:t>
            </w:r>
          </w:p>
        </w:tc>
      </w:tr>
    </w:tbl>
    <w:p>
      <w:pPr>
        <w:pStyle w:val="NormalNumberedtext"/>
      </w:pPr>
    </w:p>
    <w:p>
      <w:pPr>
        <w:pStyle w:val="NormalNumberedtext"/>
      </w:pPr>
      <w:r>
        <w:t>The supervisor conducts the pre-start meeting using the project Pre-Start Board or an equivalent structured format approved by the HSESC Manager. The Pre-Start Board format and approved board design for this project are confirmed at [INSERT: Pre-Start Board format and procurement details - e.g. board dimensions, panel layout, approved supplier, installation locations and responsible role for procurement before mobilisation].</w:t>
      </w:r>
    </w:p>
    <w:p>
      <w:pPr>
        <w:pStyle w:val="NormalNumberedtext"/>
      </w:pPr>
      <w:r>
        <w:t>Each pre-start meeting covers the following minimum content, in the order listed:</w:t>
      </w:r>
    </w:p>
    <w:p>
      <w:pPr>
        <w:pStyle w:val="NumberedBulletL1"/>
      </w:pPr>
      <w:r>
        <w:t>status of handed-over works and any residual risks from the previous shift</w:t>
      </w:r>
    </w:p>
    <w:p>
      <w:pPr>
        <w:pStyle w:val="NumberedBulletL1"/>
      </w:pPr>
      <w:r>
        <w:t>internal and external safety notices, including any active alerts received since the last shift</w:t>
      </w:r>
    </w:p>
    <w:p>
      <w:pPr>
        <w:pStyle w:val="NumberedBulletL1"/>
      </w:pPr>
      <w:r>
        <w:t>outline of the work tasks to be performed during the shift and any changes to scope</w:t>
      </w:r>
    </w:p>
    <w:p>
      <w:pPr>
        <w:pStyle w:val="NumberedBulletL1"/>
      </w:pPr>
      <w:r>
        <w:t>HSE matters relevant to the work location, including environmental and security considerations</w:t>
      </w:r>
    </w:p>
    <w:p>
      <w:pPr>
        <w:pStyle w:val="NumberedBulletL1"/>
      </w:pPr>
      <w:r>
        <w:t>approved JHAs and work methods for each task to be performed - communicated in accordance with [INSERT: Project Document Number]</w:t>
      </w:r>
    </w:p>
    <w:p>
      <w:pPr>
        <w:pStyle w:val="NumberedBulletL1"/>
      </w:pPr>
      <w:r>
        <w:t>active work permits relevant to the tasks - referenced in accordance with [INSERT: Project Document Number]</w:t>
      </w:r>
    </w:p>
    <w:p>
      <w:pPr>
        <w:pStyle w:val="NumberedBulletL1"/>
      </w:pPr>
      <w:r>
        <w:t>interfaces with other contractor work groups or community activities in or adjacent to the work area</w:t>
      </w:r>
    </w:p>
    <w:p>
      <w:pPr>
        <w:pStyle w:val="NormalNumberedtext"/>
      </w:pPr>
      <w:r>
        <w:t>The supervisor addresses language and literacy barriers before the meeting commences. Where workers have limited English proficiency or low literacy, the supervisor arranges interpretation or visual materials so that every worker can understand all content presented. The supervisor confirms understanding from all workers before the meeting concludes.</w:t>
      </w:r>
    </w:p>
    <w:p>
      <w:pPr>
        <w:pStyle w:val="NormalNumberedtext"/>
      </w:pPr>
      <w:r>
        <w:t>Pre-start meetings are genuinely participatory. The supervisor creates the conditions for workers to raise concerns, ask questions, and suggest improvements before work commences. The supervisor does not treat the meeting as a one-way briefing. All concerns raised by workers are recorded and, where not resolved immediately, escalated through the issue resolution process defined in Section 6.</w:t>
      </w:r>
    </w:p>
    <w:p>
      <w:pPr>
        <w:pStyle w:val="NormalNumberedtext"/>
      </w:pPr>
      <w:r>
        <w:t>The supervisor records attendance and content covered at each pre-start meeting using [INSERT: pre-start meeting record form reference, e.g. RTPR-HSE-XXX-XXXX Pre-Start Meeting Record Form]. Records are retained in [INSERT: document management system] for a minimum of [INSERT: retention period, e.g. 12 months].</w:t>
      </w:r>
    </w:p>
    <w:p>
      <w:pPr>
        <w:pStyle w:val="NormalNumberedtext"/>
      </w:pPr>
    </w:p>
    <w:p>
      <w:pPr>
        <w:pStyle w:val="Heading1Numbered"/>
        <w:numPr>
          <w:ilvl w:val="0"/>
          <w:numId w:val="1"/>
        </w:numPr>
      </w:pPr>
      <w:r>
        <w:rPr>
          <w:rFonts w:ascii="Arial" w:hAnsi="Arial" w:cs="Arial" w:eastAsia="Arial"/>
        </w:rPr>
        <w:t>Toolbox Meetings</w:t>
      </w:r>
    </w:p>
    <w:p>
      <w:pPr>
        <w:pStyle w:val="NormalNumberedtext"/>
      </w:pPr>
      <w:r>
        <w:t>This section defines the minimum content, frequency, and record requirements for toolbox meetings held between supervisors and their work groups.</w:t>
      </w:r>
    </w:p>
    <w:p>
      <w:pPr>
        <w:pStyle w:val="NormalNumberedtext"/>
      </w:pPr>
    </w:p>
    <w:p>
      <w:pPr>
        <w:pStyle w:val="Heading2Numbered"/>
        <w:numPr>
          <w:ilvl w:val="1"/>
          <w:numId w:val="1"/>
        </w:numPr>
      </w:pPr>
      <w:r>
        <w:rPr>
          <w:rFonts w:ascii="Arial" w:hAnsi="Arial" w:cs="Arial" w:eastAsia="Arial"/>
        </w:rPr>
        <w:t>Toolbox Meeting Requirements</w:t>
      </w:r>
    </w:p>
    <w:p>
      <w:pPr>
        <w:pStyle w:val="NormalNumberedtext"/>
      </w:pPr>
      <w:r>
        <w:t>This section defines what toolbox meetings must cover, how frequently they must be held, and how outcomes are recorded and acted on.</w:t>
      </w:r>
    </w:p>
    <w:p>
      <w:pPr>
        <w:pStyle w:val="NormalNumberedtext"/>
      </w:pPr>
      <w:r>
        <w:t>The supervisor holds regular toolbox meetings with their work group to communicate hazard information, investigation findings, and corrective actions arising from the improvement planning process. Toolbox meetings are held separately from pre-start meetings and are not substituted by them.</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 TOOLBOX MEETING SCHEDULE: Define the project toolbox meeting schedule - including the minimum frequency for each work group type - and confirm the toolbox meeting record form reference before this procedure is issued. Insert the completed schedule and form reference at </w:t>
            </w:r>
            <w:r>
              <w:rPr>
                <w:rFonts w:ascii="Arial" w:hAnsi="Arial" w:cs="Arial" w:eastAsia="Arial"/>
                <w:b/>
                <w:bCs/>
                <w:color w:val="0059D1"/>
                <w:sz w:val="16"/>
                <w:szCs w:val="16"/>
              </w:rPr>
              <w:t>[INSERT: toolbox meeting schedule and record form]</w:t>
            </w:r>
            <w:r>
              <w:rPr>
                <w:rFonts w:ascii="Arial" w:hAnsi="Arial" w:cs="Arial" w:eastAsia="Arial"/>
                <w:b/>
                <w:bCs/>
                <w:color w:val="C55A11"/>
                <w:sz w:val="16"/>
                <w:szCs w:val="16"/>
              </w:rPr>
              <w:t xml:space="preserve"> below.</w:t>
            </w:r>
          </w:p>
        </w:tc>
      </w:tr>
    </w:tbl>
    <w:p>
      <w:pPr>
        <w:pStyle w:val="NormalNumberedtext"/>
      </w:pPr>
    </w:p>
    <w:p>
      <w:pPr>
        <w:pStyle w:val="NormalNumberedtext"/>
      </w:pPr>
      <w:r>
        <w:t>The minimum toolbox meeting frequency for each work group type on this project is confirmed at [INSERT: toolbox meeting schedule - e.g. civil work groups: weekly; mechanical work groups: weekly; electrical work groups: fortnightly; or as otherwise defined by the HSESC Manager]. The toolbox meeting record form is [INSERT: toolbox meeting record form reference, e.g. RTPR-HSE-XXX-XXXX Toolbox Meeting Record Form].</w:t>
      </w:r>
    </w:p>
    <w:p>
      <w:pPr>
        <w:pStyle w:val="NormalNumberedtext"/>
      </w:pPr>
      <w:r>
        <w:t>Each toolbox meeting covers the following minimum content:</w:t>
      </w:r>
    </w:p>
    <w:p>
      <w:pPr>
        <w:pStyle w:val="NumberedBulletL1"/>
      </w:pPr>
      <w:r>
        <w:t>hazards identified from recent site inspections, observations, or Take 5 reviews</w:t>
      </w:r>
    </w:p>
    <w:p>
      <w:pPr>
        <w:pStyle w:val="NumberedBulletL1"/>
      </w:pPr>
      <w:r>
        <w:t>outcomes from Safe Work Assessments (SWA) and findings from incident investigations, communicated in accordance with [INSERT: Project Document Number]</w:t>
      </w:r>
    </w:p>
    <w:p>
      <w:pPr>
        <w:pStyle w:val="NumberedBulletL1"/>
      </w:pPr>
      <w:r>
        <w:t>environmental hazards relevant to the current work phase or location</w:t>
      </w:r>
    </w:p>
    <w:p>
      <w:pPr>
        <w:pStyle w:val="NumberedBulletL1"/>
      </w:pPr>
      <w:r>
        <w:t>corrective actions arising from improvement planning activities and the status of open actions assigned to the work group</w:t>
      </w:r>
    </w:p>
    <w:p>
      <w:pPr>
        <w:pStyle w:val="NumberedBulletL1"/>
      </w:pPr>
      <w:r>
        <w:rPr>
          <w:color w:val="C55A11"/>
        </w:rPr>
        <w:t>workforce recognition highlights - including positive observations, safe behaviour acknowledgements, and team contributions to HSESC improvement</w:t>
      </w:r>
    </w:p>
    <w:p>
      <w:pPr>
        <w:pStyle w:val="NormalNumberedtext"/>
      </w:pPr>
      <w:r>
        <w:t>The supervisor records attendance, topics discussed, and any actions arising from each toolbox meeting. Records are stored in [INSERT: document management system] and are available to the HSESC team for review at any time. Open actions are tracked to closeout through the project corrective action register in accordance with [INSERT: Project Document Number].</w:t>
      </w:r>
    </w:p>
    <w:p>
      <w:pPr>
        <w:pStyle w:val="NormalNumberedtext"/>
      </w:pPr>
    </w:p>
    <w:p>
      <w:pPr>
        <w:pStyle w:val="Heading1Numbered"/>
        <w:numPr>
          <w:ilvl w:val="0"/>
          <w:numId w:val="1"/>
        </w:numPr>
      </w:pPr>
      <w:r>
        <w:rPr>
          <w:rFonts w:ascii="Arial" w:hAnsi="Arial" w:cs="Arial" w:eastAsia="Arial"/>
        </w:rPr>
        <w:t>HSESC Notice Boards</w:t>
      </w:r>
    </w:p>
    <w:p>
      <w:pPr>
        <w:pStyle w:val="NormalNumberedtext"/>
      </w:pPr>
      <w:r>
        <w:t>This section defines the mandatory content, placement, and maintenance requirements for HSESC notice boards on all project sites.</w:t>
      </w:r>
    </w:p>
    <w:p>
      <w:pPr>
        <w:pStyle w:val="NormalNumberedtext"/>
      </w:pPr>
    </w:p>
    <w:p>
      <w:pPr>
        <w:pStyle w:val="Heading2Numbered"/>
        <w:numPr>
          <w:ilvl w:val="1"/>
          <w:numId w:val="1"/>
        </w:numPr>
      </w:pPr>
      <w:r>
        <w:rPr>
          <w:rFonts w:ascii="Arial" w:hAnsi="Arial" w:cs="Arial" w:eastAsia="Arial"/>
        </w:rPr>
        <w:t>HSESC Notice Board Requirements</w:t>
      </w:r>
    </w:p>
    <w:p>
      <w:pPr>
        <w:pStyle w:val="NormalNumberedtext"/>
      </w:pPr>
      <w:r>
        <w:t>This section defines where notice boards are located, what they must display, and who is responsible for keeping them current.</w:t>
      </w:r>
    </w:p>
    <w:p>
      <w:pPr>
        <w:pStyle w:val="NormalNumberedtext"/>
      </w:pPr>
      <w:r>
        <w:t>Designated HSESC notice boards are installed at prominent positions on all project sites and work areas before work commences. The HSESC Coordinator is responsible for ensuring notice boards are maintained with current content at all times. Content is reviewed and updated at least weekly, and immediately following the receipt of a new alert or notice.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 NOTICE BOARD LOCATIONS: Define the HSESC notice board locations for each work area on this project before this procedure is issued. The procedure requires prominent placement. Insert a site map showing board locations or a list by work area at </w:t>
            </w:r>
            <w:r>
              <w:rPr>
                <w:rFonts w:ascii="Arial" w:hAnsi="Arial" w:cs="Arial" w:eastAsia="Arial"/>
                <w:b/>
                <w:bCs/>
                <w:color w:val="0059D1"/>
                <w:sz w:val="16"/>
                <w:szCs w:val="16"/>
              </w:rPr>
              <w:t>[INSERT: notice board locations]</w:t>
            </w:r>
            <w:r>
              <w:rPr>
                <w:rFonts w:ascii="Arial" w:hAnsi="Arial" w:cs="Arial" w:eastAsia="Arial"/>
                <w:b/>
                <w:bCs/>
                <w:color w:val="C55A11"/>
                <w:sz w:val="16"/>
                <w:szCs w:val="16"/>
              </w:rPr>
              <w:t xml:space="preserve"> below.</w:t>
            </w:r>
          </w:p>
        </w:tc>
      </w:tr>
    </w:tbl>
    <w:p>
      <w:pPr>
        <w:pStyle w:val="NormalNumberedtext"/>
      </w:pPr>
    </w:p>
    <w:p>
      <w:pPr>
        <w:pStyle w:val="NormalNumberedtext"/>
      </w:pPr>
      <w:r>
        <w:t>Notice board locations for each work area on this project are confirmed at [INSERT: notice board locations - insert site map or list of locations by work area, including compound, laydown areas, and all active construction zones].</w:t>
      </w:r>
    </w:p>
    <w:p>
      <w:pPr>
        <w:pStyle w:val="NormalNumberedtext"/>
      </w:pPr>
      <w:r>
        <w:t>Each HSESC notice board displays the following mandatory content at all times:</w:t>
      </w:r>
    </w:p>
    <w:p>
      <w:pPr>
        <w:pStyle w:val="NumberedBulletL1"/>
      </w:pPr>
      <w:r>
        <w:t>current HSESC performance metrics, updated at the frequency defined in the project performance reporting schedule</w:t>
      </w:r>
    </w:p>
    <w:p>
      <w:pPr>
        <w:pStyle w:val="NumberedBulletL1"/>
      </w:pPr>
      <w:r>
        <w:t>active alerts and safety notices, including all current orange and red alerts</w:t>
      </w:r>
    </w:p>
    <w:p>
      <w:pPr>
        <w:pStyle w:val="NumberedBulletL1"/>
      </w:pPr>
      <w:r>
        <w:t>the project SWA process, displayed prominently so it is visible to all personnel approaching the board</w:t>
      </w:r>
    </w:p>
    <w:p>
      <w:pPr>
        <w:pStyle w:val="NumberedBulletL1"/>
      </w:pPr>
      <w:r>
        <w:t>workforce recognition highlights, including acknowledgement of positive contributions to HSESC by individuals or work groups</w:t>
      </w:r>
    </w:p>
    <w:p>
      <w:pPr>
        <w:pStyle w:val="NumberedBulletL1"/>
      </w:pPr>
      <w:r>
        <w:rPr>
          <w:color w:val="C55A11"/>
        </w:rPr>
        <w:t>emergency contact numbers and evacuation assembly point information relevant to the work area</w:t>
      </w:r>
    </w:p>
    <w:p>
      <w:pPr>
        <w:pStyle w:val="NumberedBulletL1"/>
      </w:pPr>
      <w:r>
        <w:rPr>
          <w:color w:val="C55A11"/>
        </w:rPr>
        <w:t>the HSESC issue resolution process summary, including who to contact and how to raise a concern</w:t>
      </w:r>
    </w:p>
    <w:p>
      <w:pPr>
        <w:pStyle w:val="NormalNumberedtext"/>
      </w:pPr>
      <w:r>
        <w:t>The HSESC Coordinator removes or archives outdated content promptly to ensure the board reflects current project status. The HSESC Manager confirms board compliance during routine site inspections.</w:t>
      </w:r>
    </w:p>
    <w:p>
      <w:pPr>
        <w:pStyle w:val="NormalNumberedtext"/>
      </w:pPr>
    </w:p>
    <w:p>
      <w:pPr>
        <w:pStyle w:val="Heading1Numbered"/>
        <w:numPr>
          <w:ilvl w:val="0"/>
          <w:numId w:val="1"/>
        </w:numPr>
      </w:pPr>
      <w:r>
        <w:rPr>
          <w:rFonts w:ascii="Arial" w:hAnsi="Arial" w:cs="Arial" w:eastAsia="Arial"/>
        </w:rPr>
        <w:t>Employee Involvement</w:t>
      </w:r>
    </w:p>
    <w:p>
      <w:pPr>
        <w:pStyle w:val="NormalNumberedtext"/>
      </w:pPr>
      <w:r>
        <w:t>This section defines the requirements for meaningful workforce involvement in project HSESC activities, including formal participation mechanisms, concern-raising mechanisms, and cultural awareness obligations.</w:t>
      </w:r>
    </w:p>
    <w:p>
      <w:pPr>
        <w:pStyle w:val="NormalNumberedtext"/>
      </w:pPr>
    </w:p>
    <w:p>
      <w:pPr>
        <w:pStyle w:val="Heading2Numbered"/>
        <w:numPr>
          <w:ilvl w:val="1"/>
          <w:numId w:val="1"/>
        </w:numPr>
      </w:pPr>
      <w:r>
        <w:rPr>
          <w:rFonts w:ascii="Arial" w:hAnsi="Arial" w:cs="Arial" w:eastAsia="Arial"/>
        </w:rPr>
        <w:t>Workforce Involvement in HSESC Activities</w:t>
      </w:r>
    </w:p>
    <w:p>
      <w:pPr>
        <w:pStyle w:val="NormalNumberedtext"/>
      </w:pPr>
      <w:r>
        <w:t>This section defines the activities in which workforce participation is required and the standards that govern meaningful involvement.</w:t>
      </w:r>
    </w:p>
    <w:p>
      <w:pPr>
        <w:pStyle w:val="NormalNumberedtext"/>
      </w:pPr>
      <w:r>
        <w:t>Workforce involvement in HSESC activities is a project requirement, not an optional practice. The HSESC Manager is responsible for ensuring that worker participation opportunities are structured into the project schedule and that all participation activities are recorded.</w:t>
      </w:r>
    </w:p>
    <w:p>
      <w:pPr>
        <w:pStyle w:val="NormalNumberedtext"/>
      </w:pPr>
      <w:r>
        <w:t>The project requires workforce involvement in the following activities:</w:t>
      </w:r>
    </w:p>
    <w:p>
      <w:pPr>
        <w:pStyle w:val="NumberedBulletL1"/>
      </w:pPr>
      <w:r>
        <w:t>constructability reviews - relevant trade personnel participate in the review of construction sequencing and method before works commence in each phase</w:t>
      </w:r>
    </w:p>
    <w:p>
      <w:pPr>
        <w:pStyle w:val="NumberedBulletL1"/>
      </w:pPr>
      <w:r>
        <w:t>HAZID and Level 2 risk workshops - workers with relevant subject matter expertise are included in facilitated sessions in accordance with [INSERT: Project Document Number]</w:t>
      </w:r>
    </w:p>
    <w:p>
      <w:pPr>
        <w:pStyle w:val="NumberedBulletL1"/>
      </w:pPr>
      <w:r>
        <w:t>health risk assessments - workers exposed to occupational health hazards participate in the identification and assessment of those hazards</w:t>
      </w:r>
    </w:p>
    <w:p>
      <w:pPr>
        <w:pStyle w:val="NumberedBulletL1"/>
      </w:pPr>
      <w:r>
        <w:t>hazard register development - work groups contribute to hazard identification at the activity and task level</w:t>
      </w:r>
    </w:p>
    <w:p>
      <w:pPr>
        <w:pStyle w:val="NumberedBulletL1"/>
      </w:pPr>
      <w:r>
        <w:t>HSESC training delivery - experienced workers participate in delivering practical HSESC content in accordance with [INSERT: Project Document Number]</w:t>
      </w:r>
    </w:p>
    <w:p>
      <w:pPr>
        <w:pStyle w:val="NumberedBulletL1"/>
      </w:pPr>
      <w:r>
        <w:t>incident investigations - relevant workers are included in the investigation process in accordance with project incident management requirements</w:t>
      </w:r>
    </w:p>
    <w:p>
      <w:pPr>
        <w:pStyle w:val="NumberedBulletL1"/>
      </w:pPr>
      <w:r>
        <w:t>Critical Risk Management (CRM) and Site HSESC Management (SMM) programme activities - workforce participation in verification, observation, and improvement activities is required across all active CRM and SMM programmes</w:t>
      </w:r>
    </w:p>
    <w:p>
      <w:pPr>
        <w:pStyle w:val="NormalNumberedtext"/>
      </w:pPr>
      <w:r>
        <w:t>Workers at all levels understand their rights and responsibilities under the project HSESC management system. The HSESC Manager fosters an awareness culture through ongoing activities including pre-start discussions, toolbox topics, recognition programmes, and leadership engagement at the workface. Awareness activities are integrated into the project HSESC calendar.</w:t>
      </w:r>
    </w:p>
    <w:p>
      <w:pPr>
        <w:pStyle w:val="NormalNumberedtext"/>
      </w:pPr>
    </w:p>
    <w:p>
      <w:pPr>
        <w:pStyle w:val="Heading2Numbered"/>
        <w:numPr>
          <w:ilvl w:val="1"/>
          <w:numId w:val="1"/>
        </w:numPr>
      </w:pPr>
      <w:r>
        <w:rPr>
          <w:rFonts w:ascii="Arial" w:hAnsi="Arial" w:cs="Arial" w:eastAsia="Arial"/>
        </w:rPr>
        <w:t>Concern-Raising Mechanisms</w:t>
      </w:r>
    </w:p>
    <w:p>
      <w:pPr>
        <w:pStyle w:val="NormalNumberedtext"/>
      </w:pPr>
      <w:r>
        <w:t>This section defines the mechanisms through which workers raise HSESC concerns and the protections that apply to workers who do so.</w:t>
      </w:r>
    </w:p>
    <w:p>
      <w:pPr>
        <w:pStyle w:val="NormalNumberedtext"/>
      </w:pPr>
      <w:r>
        <w:t>All workers have access to a mechanism for raising concerns about occupational health and safety conditions without fear of adverse consequences. The HSESC Manager ensures that concern-raising mechanisms are communicated to all workers during induction and are reinforced at pre-start meetings and toolbox meetings throughout the project.</w:t>
      </w:r>
    </w:p>
    <w:p>
      <w:pPr>
        <w:pStyle w:val="NormalNumberedtext"/>
      </w:pPr>
      <w:r>
        <w:t>The project provides the following concern-raising mechanisms:</w:t>
      </w:r>
    </w:p>
    <w:p>
      <w:pPr>
        <w:pStyle w:val="NumberedBulletL1"/>
      </w:pPr>
      <w:r>
        <w:t>direct verbal reporting to the responsible supervisor at any time during the shift</w:t>
      </w:r>
    </w:p>
    <w:p>
      <w:pPr>
        <w:pStyle w:val="NumberedBulletL1"/>
      </w:pPr>
      <w:r>
        <w:t>formal issue reporting through the issue resolution process defined in Section 6</w:t>
      </w:r>
    </w:p>
    <w:p>
      <w:pPr>
        <w:pStyle w:val="NumberedBulletL1"/>
      </w:pPr>
      <w:r>
        <w:rPr>
          <w:color w:val="C55A11"/>
        </w:rPr>
        <w:t>anonymous reporting via [INSERT: anonymous reporting mechanism - e.g. project safety hotline, drop-box, or digital platform], where culturally appropriate for the project workforce</w:t>
      </w:r>
    </w:p>
    <w:p>
      <w:pPr>
        <w:pStyle w:val="NumberedBulletL1"/>
      </w:pPr>
      <w:r>
        <w:rPr>
          <w:color w:val="C55A11"/>
        </w:rPr>
        <w:t>escalation to the HSESC Coordinator or HSESC Manager where the worker does not feel comfortable raising the concern with their direct supervisor</w:t>
      </w:r>
    </w:p>
    <w:p>
      <w:pPr>
        <w:pStyle w:val="NormalNumberedtext"/>
      </w:pPr>
      <w:r>
        <w:t>No worker faces disciplinary consequences, demotion, reassignment, or any other adverse treatment for raising a HSESC concern in good faith. The project applies a no-retaliation standard to all concern-raising activities. Any allegation of retaliation against a worker for raising a HSESC concern is treated as a disciplinary matter and escalated to the Project Director.</w:t>
      </w:r>
    </w:p>
    <w:p>
      <w:pPr>
        <w:pStyle w:val="NormalNumberedtext"/>
      </w:pPr>
      <w:r>
        <w:t>Where the project workforce includes cultural groups for whom anonymous reporting is more appropriate, the HSESC Manager ensures an anonymous mechanism is available and that workers are informed of it in a language and format they can understand.</w:t>
      </w:r>
    </w:p>
    <w:p>
      <w:pPr>
        <w:pStyle w:val="NormalNumberedtext"/>
      </w:pPr>
    </w:p>
    <w:p>
      <w:pPr>
        <w:pStyle w:val="Heading1Numbered"/>
        <w:numPr>
          <w:ilvl w:val="0"/>
          <w:numId w:val="1"/>
        </w:numPr>
      </w:pPr>
      <w:r>
        <w:rPr>
          <w:rFonts w:ascii="Arial" w:hAnsi="Arial" w:cs="Arial" w:eastAsia="Arial"/>
        </w:rPr>
        <w:t>PTW Status Display Requirements</w:t>
      </w:r>
    </w:p>
    <w:p>
      <w:pPr>
        <w:pStyle w:val="NormalNumberedtext"/>
      </w:pPr>
      <w:r>
        <w:t>This section defines the requirements for displaying the status of active work permits at the workface, including emergency shutdown identification requirements.</w:t>
      </w:r>
    </w:p>
    <w:p>
      <w:pPr>
        <w:pStyle w:val="NormalNumberedtext"/>
      </w:pPr>
    </w:p>
    <w:p>
      <w:pPr>
        <w:pStyle w:val="Heading2Numbered"/>
        <w:numPr>
          <w:ilvl w:val="1"/>
          <w:numId w:val="1"/>
        </w:numPr>
      </w:pPr>
      <w:r>
        <w:rPr>
          <w:rFonts w:ascii="Arial" w:hAnsi="Arial" w:cs="Arial" w:eastAsia="Arial"/>
        </w:rPr>
        <w:t>PTW Status Display System</w:t>
      </w:r>
    </w:p>
    <w:p>
      <w:pPr>
        <w:pStyle w:val="NormalNumberedtext"/>
      </w:pPr>
      <w:r>
        <w:t>This section defines what the PTW status display system must show, the formats accepted, and the emergency shutdown display requirement.</w:t>
      </w:r>
    </w:p>
    <w:p>
      <w:pPr>
        <w:pStyle w:val="NormalNumberedtext"/>
      </w:pPr>
      <w:r>
        <w:t>A PTW status display system is maintained at all work areas where the PTW system applies. The system clearly identifies all work areas where permits are active and provides a method for tracking and identifying work permits by location. Workers raise a permit via the site PTW system before commencing work; refer [INSERT: Project Document Number].</w:t>
      </w:r>
    </w:p>
    <w:p>
      <w:pPr>
        <w:pStyle w:val="NormalNumberedtext"/>
      </w:pPr>
      <w:r>
        <w:t>The PTW status display system provides clear and immediate visibility of all active permits and their current status. Physical boards, electronic systems, or a combination of methods are acceptable, provided the status is immediately visible to all personnel in the work area without requiring access to a separate system or document.</w:t>
      </w:r>
    </w:p>
    <w:p>
      <w:pPr>
        <w:pStyle w:val="NormalNumberedtext"/>
      </w:pPr>
      <w:r>
        <w:t>The PTW status display system meets the following minimum requirements:</w:t>
      </w:r>
    </w:p>
    <w:p>
      <w:pPr>
        <w:pStyle w:val="NumberedBulletL1"/>
      </w:pPr>
      <w:r>
        <w:t>identifies all work areas on the project where the PTW system applies</w:t>
      </w:r>
    </w:p>
    <w:p>
      <w:pPr>
        <w:pStyle w:val="NumberedBulletL1"/>
      </w:pPr>
      <w:r>
        <w:t>allows permits to be tracked and identified by work location at any time</w:t>
      </w:r>
    </w:p>
    <w:p>
      <w:pPr>
        <w:pStyle w:val="NumberedBulletL1"/>
      </w:pPr>
      <w:r>
        <w:t>provides a designated method to identify and display permits that have been removed during an emergency shutdown, so that the status of all permits is known before work resumes</w:t>
      </w:r>
    </w:p>
    <w:p>
      <w:pPr>
        <w:pStyle w:val="NumberedBulletL1"/>
      </w:pPr>
      <w:r>
        <w:t>is maintained by [INSERT: role responsible for PTW status board - e.g. PTW Coordinator or Area Supervisor] and updated in real time as permits are issued, suspended, or closed</w:t>
      </w:r>
    </w:p>
    <w:p>
      <w:pPr>
        <w:pStyle w:val="NumberedBulletL1"/>
      </w:pPr>
      <w:r>
        <w:rPr>
          <w:color w:val="C55A11"/>
        </w:rPr>
        <w:t>uses a colour-coded or symbol-based format so that permit status is immediately distinguishable by all personnel, including those with limited literacy</w:t>
      </w:r>
    </w:p>
    <w:p>
      <w:pPr>
        <w:pStyle w:val="NormalNumberedtext"/>
      </w:pPr>
      <w:r>
        <w:t>The HSESC Manager confirms the PTW status display format is consistent with the requirements of the Permit to Work Procedure, [INSERT: Project Document Number], and is reviewed during each HSESC site inspection for completeness and currency.</w:t>
      </w:r>
    </w:p>
    <w:p>
      <w:pPr>
        <w:pStyle w:val="NormalNumberedtext"/>
      </w:pPr>
    </w:p>
    <w:p>
      <w:pPr>
        <w:pStyle w:val="Heading1Numbered"/>
        <w:numPr>
          <w:ilvl w:val="0"/>
          <w:numId w:val="1"/>
        </w:numPr>
      </w:pPr>
      <w:r>
        <w:rPr>
          <w:rFonts w:ascii="Arial" w:hAnsi="Arial" w:cs="Arial" w:eastAsia="Arial"/>
        </w:rPr>
        <w:t>Issue Resolution</w:t>
      </w:r>
    </w:p>
    <w:p>
      <w:pPr>
        <w:pStyle w:val="NormalNumberedtext"/>
      </w:pPr>
      <w:r>
        <w:t>This section defines the HSESC issue resolution process, the escalation pathway, the roles involved at each stage, and the requirement for a visual flowchart accessible to all project personnel.</w:t>
      </w:r>
    </w:p>
    <w:p>
      <w:pPr>
        <w:pStyle w:val="NormalNumberedtext"/>
      </w:pPr>
    </w:p>
    <w:p>
      <w:pPr>
        <w:pStyle w:val="Heading2Numbered"/>
        <w:numPr>
          <w:ilvl w:val="1"/>
          <w:numId w:val="1"/>
        </w:numPr>
      </w:pPr>
      <w:r>
        <w:rPr>
          <w:rFonts w:ascii="Arial" w:hAnsi="Arial" w:cs="Arial" w:eastAsia="Arial"/>
        </w:rPr>
        <w:t>Issue Resolution Process</w:t>
      </w:r>
    </w:p>
    <w:p>
      <w:pPr>
        <w:pStyle w:val="NormalNumberedtext"/>
      </w:pPr>
      <w:r>
        <w:t>This section defines the four-stage issue resolution process, the roles responsible at each stage, and the documentation required at each stage.</w:t>
      </w:r>
    </w:p>
    <w:p>
      <w:pPr>
        <w:pStyle w:val="NormalNumberedtext"/>
      </w:pPr>
      <w:r>
        <w:t>The project maintains a documented HSESC issue resolution process that is transparent and accessible to all project personnel. The process applies to all HSESC concerns, disputes, and unresolved matters raised by any worker on the project. The HSESC Manager is responsible for maintaining and communicating the process.</w:t>
      </w:r>
    </w:p>
    <w:p>
      <w:pPr>
        <w:pStyle w:val="NormalNumberedtext"/>
      </w:pPr>
      <w:r>
        <w:t>HSESC representatives are consulted and actively involved in the resolution process at every stage. No HSESC issue is closed without the agreement of the relevant HSESC representative that the resolution is adequate. The process operates on a consultative, not directive, basis at each stage.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 ISSUE RESOLUTION FLOWCHART: Define the issue resolution escalation flowchart specific to this project before this procedure is issued. The flowchart must identify: who receives issues raised, what the resolution timeframe is at each level, and when the project owner is notified. Insert the completed flowchart at </w:t>
            </w:r>
            <w:r>
              <w:rPr>
                <w:rFonts w:ascii="Arial" w:hAnsi="Arial" w:cs="Arial" w:eastAsia="Arial"/>
                <w:b/>
                <w:bCs/>
                <w:color w:val="0059D1"/>
                <w:sz w:val="16"/>
                <w:szCs w:val="16"/>
              </w:rPr>
              <w:t>[INSERT: project issue resolution flowchart]</w:t>
            </w:r>
            <w:r>
              <w:rPr>
                <w:rFonts w:ascii="Arial" w:hAnsi="Arial" w:cs="Arial" w:eastAsia="Arial"/>
                <w:b/>
                <w:bCs/>
                <w:color w:val="C55A11"/>
                <w:sz w:val="16"/>
                <w:szCs w:val="16"/>
              </w:rPr>
              <w:t xml:space="preserve"> below.</w:t>
            </w:r>
          </w:p>
        </w:tc>
      </w:tr>
    </w:tbl>
    <w:p>
      <w:pPr>
        <w:pStyle w:val="NormalNumberedtext"/>
      </w:pPr>
    </w:p>
    <w:p>
      <w:pPr>
        <w:pStyle w:val="NormalNumberedtext"/>
      </w:pPr>
      <w:r>
        <w:t>Table 3: HSESC Issue Resolution Escalation Pathway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Stage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Action Required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Resolution Timeframe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Documentation</w:t>
            </w:r>
          </w:p>
        </w:tc>
      </w:tr>
      <w:tr>
        <w:tc>
          <w:tcPr>
            <w:tcW w:type="dxa" w:w="1805"/>
          </w:tcPr>
          <w:p>
            <w:pPr>
              <w:pStyle w:val="TableContents"/>
              <w:spacing w:before="0" w:after="0" w:line="240" w:lineRule="atLeast"/>
            </w:pPr>
            <w:r>
              <w:rPr>
                <w:rFonts w:ascii="Arial" w:hAnsi="Arial" w:cs="Arial" w:eastAsia="Arial"/>
                <w:sz w:val="16"/>
                <w:szCs w:val="16"/>
              </w:rPr>
              <w:t>Stage 1 - Initial reporting</w:t>
            </w:r>
          </w:p>
        </w:tc>
        <w:tc>
          <w:tcPr>
            <w:tcW w:type="dxa" w:w="1805"/>
          </w:tcPr>
          <w:p>
            <w:pPr>
              <w:pStyle w:val="TableContents"/>
              <w:spacing w:before="0" w:after="0" w:line="240" w:lineRule="atLeast"/>
            </w:pPr>
            <w:r>
              <w:rPr>
                <w:rFonts w:ascii="Arial" w:hAnsi="Arial" w:cs="Arial" w:eastAsia="Arial"/>
                <w:sz w:val="16"/>
                <w:szCs w:val="16"/>
              </w:rPr>
              <w:t>Worker raises concern verbally or in writing with the responsible supervisor or HSESC representative</w:t>
            </w:r>
          </w:p>
        </w:tc>
        <w:tc>
          <w:tcPr>
            <w:tcW w:type="dxa" w:w="1805"/>
          </w:tcPr>
          <w:p>
            <w:pPr>
              <w:pStyle w:val="TableContents"/>
              <w:spacing w:before="0" w:after="0" w:line="240" w:lineRule="atLeast"/>
            </w:pPr>
            <w:r>
              <w:rPr>
                <w:rFonts w:ascii="Arial" w:hAnsi="Arial" w:cs="Arial" w:eastAsia="Arial"/>
                <w:sz w:val="16"/>
                <w:szCs w:val="16"/>
              </w:rPr>
              <w:t>Worker; direct supervisor</w:t>
            </w:r>
          </w:p>
        </w:tc>
        <w:tc>
          <w:tcPr>
            <w:tcW w:type="dxa" w:w="1805"/>
          </w:tcPr>
          <w:p>
            <w:pPr>
              <w:pStyle w:val="TableContents"/>
              <w:spacing w:before="0" w:after="0" w:line="240" w:lineRule="atLeast"/>
            </w:pPr>
            <w:r>
              <w:rPr>
                <w:rFonts w:ascii="Arial" w:hAnsi="Arial" w:cs="Arial" w:eastAsia="Arial"/>
                <w:b/>
                <w:bCs/>
                <w:color w:val="0059D1"/>
                <w:sz w:val="16"/>
                <w:szCs w:val="16"/>
              </w:rPr>
              <w:t>[INSERT: timeframe for Stage 1 acknowledgement, e.g. immediately or within one shift]</w:t>
            </w:r>
          </w:p>
        </w:tc>
        <w:tc>
          <w:tcPr>
            <w:tcW w:type="dxa" w:w="1806"/>
          </w:tcPr>
          <w:p>
            <w:pPr>
              <w:pStyle w:val="TableContents"/>
              <w:spacing w:before="0" w:after="0" w:line="240" w:lineRule="atLeast"/>
            </w:pPr>
            <w:r>
              <w:rPr>
                <w:rFonts w:ascii="Arial" w:hAnsi="Arial" w:cs="Arial" w:eastAsia="Arial"/>
                <w:sz w:val="16"/>
                <w:szCs w:val="16"/>
              </w:rPr>
              <w:t>Issue entered into project corrective action register</w:t>
            </w:r>
          </w:p>
        </w:tc>
      </w:tr>
      <w:tr>
        <w:tc>
          <w:tcPr>
            <w:tcW w:type="dxa" w:w="1805"/>
          </w:tcPr>
          <w:p>
            <w:pPr>
              <w:pStyle w:val="TableContents"/>
              <w:spacing w:before="0" w:after="0" w:line="240" w:lineRule="atLeast"/>
            </w:pPr>
            <w:r>
              <w:rPr>
                <w:rFonts w:ascii="Arial" w:hAnsi="Arial" w:cs="Arial" w:eastAsia="Arial"/>
                <w:sz w:val="16"/>
                <w:szCs w:val="16"/>
              </w:rPr>
              <w:t>Stage 2 - Consultation</w:t>
            </w:r>
          </w:p>
        </w:tc>
        <w:tc>
          <w:tcPr>
            <w:tcW w:type="dxa" w:w="1805"/>
          </w:tcPr>
          <w:p>
            <w:pPr>
              <w:pStyle w:val="TableContents"/>
              <w:spacing w:before="0" w:after="0" w:line="240" w:lineRule="atLeast"/>
            </w:pPr>
            <w:r>
              <w:rPr>
                <w:rFonts w:ascii="Arial" w:hAnsi="Arial" w:cs="Arial" w:eastAsia="Arial"/>
                <w:sz w:val="16"/>
                <w:szCs w:val="16"/>
              </w:rPr>
              <w:t>Supervisor and HSESC representative consult on the issue; worker is informed of proposed resolution</w:t>
            </w:r>
          </w:p>
        </w:tc>
        <w:tc>
          <w:tcPr>
            <w:tcW w:type="dxa" w:w="1805"/>
          </w:tcPr>
          <w:p>
            <w:pPr>
              <w:pStyle w:val="TableContents"/>
              <w:spacing w:before="0" w:after="0" w:line="240" w:lineRule="atLeast"/>
            </w:pPr>
            <w:r>
              <w:rPr>
                <w:rFonts w:ascii="Arial" w:hAnsi="Arial" w:cs="Arial" w:eastAsia="Arial"/>
                <w:sz w:val="16"/>
                <w:szCs w:val="16"/>
              </w:rPr>
              <w:t>Supervisor; HSESC representative</w:t>
            </w:r>
          </w:p>
        </w:tc>
        <w:tc>
          <w:tcPr>
            <w:tcW w:type="dxa" w:w="1805"/>
          </w:tcPr>
          <w:p>
            <w:pPr>
              <w:pStyle w:val="TableContents"/>
              <w:spacing w:before="0" w:after="0" w:line="240" w:lineRule="atLeast"/>
            </w:pPr>
            <w:r>
              <w:rPr>
                <w:rFonts w:ascii="Arial" w:hAnsi="Arial" w:cs="Arial" w:eastAsia="Arial"/>
                <w:b/>
                <w:bCs/>
                <w:color w:val="0059D1"/>
                <w:sz w:val="16"/>
                <w:szCs w:val="16"/>
              </w:rPr>
              <w:t>[INSERT: timeframe for Stage 2 resolution, e.g. within 48 hours]</w:t>
            </w:r>
          </w:p>
        </w:tc>
        <w:tc>
          <w:tcPr>
            <w:tcW w:type="dxa" w:w="1806"/>
          </w:tcPr>
          <w:p>
            <w:pPr>
              <w:pStyle w:val="TableContents"/>
              <w:spacing w:before="0" w:after="0" w:line="240" w:lineRule="atLeast"/>
            </w:pPr>
            <w:r>
              <w:rPr>
                <w:rFonts w:ascii="Arial" w:hAnsi="Arial" w:cs="Arial" w:eastAsia="Arial"/>
                <w:sz w:val="16"/>
                <w:szCs w:val="16"/>
              </w:rPr>
              <w:t>Resolution proposal recorded in corrective action register</w:t>
            </w:r>
          </w:p>
        </w:tc>
      </w:tr>
      <w:tr>
        <w:tc>
          <w:tcPr>
            <w:tcW w:type="dxa" w:w="1805"/>
          </w:tcPr>
          <w:p>
            <w:pPr>
              <w:pStyle w:val="TableContents"/>
              <w:spacing w:before="0" w:after="0" w:line="240" w:lineRule="atLeast"/>
            </w:pPr>
            <w:r>
              <w:rPr>
                <w:rFonts w:ascii="Arial" w:hAnsi="Arial" w:cs="Arial" w:eastAsia="Arial"/>
                <w:sz w:val="16"/>
                <w:szCs w:val="16"/>
              </w:rPr>
              <w:t>Stage 3 - Escalation</w:t>
            </w:r>
          </w:p>
        </w:tc>
        <w:tc>
          <w:tcPr>
            <w:tcW w:type="dxa" w:w="1805"/>
          </w:tcPr>
          <w:p>
            <w:pPr>
              <w:pStyle w:val="TableContents"/>
              <w:spacing w:before="0" w:after="0" w:line="240" w:lineRule="atLeast"/>
            </w:pPr>
            <w:r>
              <w:rPr>
                <w:rFonts w:ascii="Arial" w:hAnsi="Arial" w:cs="Arial" w:eastAsia="Arial"/>
                <w:sz w:val="16"/>
                <w:szCs w:val="16"/>
              </w:rPr>
              <w:t>Issue escalated to HSESC Manager and, where required, Project Manager; project owner notified at threshold defined below</w:t>
            </w:r>
          </w:p>
        </w:tc>
        <w:tc>
          <w:tcPr>
            <w:tcW w:type="dxa" w:w="1805"/>
          </w:tcPr>
          <w:p>
            <w:pPr>
              <w:pStyle w:val="TableContents"/>
              <w:spacing w:before="0" w:after="0" w:line="240" w:lineRule="atLeast"/>
            </w:pPr>
            <w:r>
              <w:rPr>
                <w:rFonts w:ascii="Arial" w:hAnsi="Arial" w:cs="Arial" w:eastAsia="Arial"/>
                <w:sz w:val="16"/>
                <w:szCs w:val="16"/>
              </w:rPr>
              <w:t>HSESC Manager; Project Manager</w:t>
            </w:r>
          </w:p>
        </w:tc>
        <w:tc>
          <w:tcPr>
            <w:tcW w:type="dxa" w:w="1805"/>
          </w:tcPr>
          <w:p>
            <w:pPr>
              <w:pStyle w:val="TableContents"/>
              <w:spacing w:before="0" w:after="0" w:line="240" w:lineRule="atLeast"/>
            </w:pPr>
            <w:r>
              <w:rPr>
                <w:rFonts w:ascii="Arial" w:hAnsi="Arial" w:cs="Arial" w:eastAsia="Arial"/>
                <w:b/>
                <w:bCs/>
                <w:color w:val="0059D1"/>
                <w:sz w:val="16"/>
                <w:szCs w:val="16"/>
              </w:rPr>
              <w:t>[INSERT: timeframe for Stage 3 resolution, e.g. within 5 business days]</w:t>
            </w:r>
          </w:p>
        </w:tc>
        <w:tc>
          <w:tcPr>
            <w:tcW w:type="dxa" w:w="1806"/>
          </w:tcPr>
          <w:p>
            <w:pPr>
              <w:pStyle w:val="TableContents"/>
              <w:spacing w:before="0" w:after="0" w:line="240" w:lineRule="atLeast"/>
            </w:pPr>
            <w:r>
              <w:rPr>
                <w:rFonts w:ascii="Arial" w:hAnsi="Arial" w:cs="Arial" w:eastAsia="Arial"/>
                <w:sz w:val="16"/>
                <w:szCs w:val="16"/>
              </w:rPr>
              <w:t>Escalation record and updated entry in corrective action register</w:t>
            </w:r>
          </w:p>
        </w:tc>
      </w:tr>
      <w:tr>
        <w:tc>
          <w:tcPr>
            <w:tcW w:type="dxa" w:w="1805"/>
          </w:tcPr>
          <w:p>
            <w:pPr>
              <w:pStyle w:val="TableContents"/>
              <w:spacing w:before="0" w:after="0" w:line="240" w:lineRule="atLeast"/>
            </w:pPr>
            <w:r>
              <w:rPr>
                <w:rFonts w:ascii="Arial" w:hAnsi="Arial" w:cs="Arial" w:eastAsia="Arial"/>
                <w:sz w:val="16"/>
                <w:szCs w:val="16"/>
              </w:rPr>
              <w:t>Stage 4 - Closeout</w:t>
            </w:r>
          </w:p>
        </w:tc>
        <w:tc>
          <w:tcPr>
            <w:tcW w:type="dxa" w:w="1805"/>
          </w:tcPr>
          <w:p>
            <w:pPr>
              <w:pStyle w:val="TableContents"/>
              <w:spacing w:before="0" w:after="0" w:line="240" w:lineRule="atLeast"/>
            </w:pPr>
            <w:r>
              <w:rPr>
                <w:rFonts w:ascii="Arial" w:hAnsi="Arial" w:cs="Arial" w:eastAsia="Arial"/>
                <w:sz w:val="16"/>
                <w:szCs w:val="16"/>
              </w:rPr>
              <w:t>Resolution confirmed; worker notified of outcome; issue closed in register</w:t>
            </w:r>
          </w:p>
        </w:tc>
        <w:tc>
          <w:tcPr>
            <w:tcW w:type="dxa" w:w="1805"/>
          </w:tcPr>
          <w:p>
            <w:pPr>
              <w:pStyle w:val="TableContents"/>
              <w:spacing w:before="0" w:after="0" w:line="240" w:lineRule="atLeast"/>
            </w:pPr>
            <w:r>
              <w:rPr>
                <w:rFonts w:ascii="Arial" w:hAnsi="Arial" w:cs="Arial" w:eastAsia="Arial"/>
                <w:sz w:val="16"/>
                <w:szCs w:val="16"/>
              </w:rPr>
              <w:t>HSESC Manager; HSESC representative</w:t>
            </w:r>
          </w:p>
        </w:tc>
        <w:tc>
          <w:tcPr>
            <w:tcW w:type="dxa" w:w="1805"/>
          </w:tcPr>
          <w:p>
            <w:pPr>
              <w:pStyle w:val="TableContents"/>
              <w:spacing w:before="0" w:after="0" w:line="240" w:lineRule="atLeast"/>
            </w:pPr>
            <w:r>
              <w:rPr>
                <w:rFonts w:ascii="Arial" w:hAnsi="Arial" w:cs="Arial" w:eastAsia="Arial"/>
                <w:b/>
                <w:bCs/>
                <w:color w:val="0059D1"/>
                <w:sz w:val="16"/>
                <w:szCs w:val="16"/>
              </w:rPr>
              <w:t>[INSERT: timeframe for closeout confirmation, e.g. within 2 business days of resolution]</w:t>
            </w:r>
          </w:p>
        </w:tc>
        <w:tc>
          <w:tcPr>
            <w:tcW w:type="dxa" w:w="1806"/>
          </w:tcPr>
          <w:p>
            <w:pPr>
              <w:pStyle w:val="TableContents"/>
              <w:spacing w:before="0" w:after="0" w:line="240" w:lineRule="atLeast"/>
            </w:pPr>
            <w:r>
              <w:rPr>
                <w:rFonts w:ascii="Arial" w:hAnsi="Arial" w:cs="Arial" w:eastAsia="Arial"/>
                <w:sz w:val="16"/>
                <w:szCs w:val="16"/>
              </w:rPr>
              <w:t>Closed entry in corrective action register with resolution summary</w:t>
            </w:r>
          </w:p>
        </w:tc>
      </w:tr>
    </w:tbl>
    <w:p>
      <w:pPr>
        <w:pStyle w:val="NormalNumberedtext"/>
      </w:pPr>
    </w:p>
    <w:p>
      <w:pPr>
        <w:pStyle w:val="NormalNumberedtext"/>
      </w:pPr>
      <w:r>
        <w:t>The project owner is notified when an issue reaches Stage 3 escalation, or when the HSESC Manager determines the issue has the potential for significant regulatory, safety, or reputational consequence. The project owner notification threshold is [INSERT: project owner notification threshold and contact - e.g. Rio Tinto Project Director notified within 24 hours of Stage 3 escalation by HSESC Manager via email and verbal briefing].</w:t>
      </w:r>
    </w:p>
    <w:p>
      <w:pPr>
        <w:pStyle w:val="NormalNumberedtext"/>
      </w:pPr>
      <w:r>
        <w:t>All workers have access to effective mechanisms through which concerns about working conditions and HSESC matters can be raised and resolved without fear of retaliation. The no-retaliation standard defined in Section 5.2 applies to all issue resolution activities. Workers who escalate an issue beyond their supervisor face no adverse consequences for doing so.</w:t>
      </w:r>
    </w:p>
    <w:p>
      <w:pPr>
        <w:pStyle w:val="NormalNumberedtext"/>
      </w:pPr>
      <w:r>
        <w:t>The project issue resolution flowchart illustrating all four stages - initial reporting, consultation, escalation, and closeout - is displayed at [INSERT: project issue resolution flowchart - insert flowchart diagram here or attach as an appendix and reference the attachment]. The flowchart is also posted on all HSESC notice boards in a format accessible to all workers on the project.</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integrated discipline framework governing all related obligations on Rio Tinto owner-led projects.</w:t>
            </w:r>
          </w:p>
        </w:tc>
      </w:tr>
      <w:tr>
        <w:tc>
          <w:tcPr>
            <w:tcW w:type="dxa" w:w="4888"/>
          </w:tcPr>
          <w:p>
            <w:pPr>
              <w:pStyle w:val="TableContents"/>
              <w:spacing w:before="0" w:after="0" w:line="240" w:lineRule="atLeast"/>
            </w:pPr>
            <w:r>
              <w:rPr>
                <w:rFonts w:ascii="Arial" w:hAnsi="Arial" w:cs="Arial" w:eastAsia="Arial"/>
                <w:sz w:val="16"/>
                <w:szCs w:val="16"/>
              </w:rPr>
              <w:t>HSESCLT</w:t>
            </w:r>
          </w:p>
        </w:tc>
        <w:tc>
          <w:tcPr>
            <w:tcW w:type="dxa" w:w="4889"/>
          </w:tcPr>
          <w:p>
            <w:pPr>
              <w:pStyle w:val="TableContents"/>
              <w:spacing w:before="0" w:after="0" w:line="240" w:lineRule="atLeast"/>
            </w:pPr>
            <w:r>
              <w:rPr>
                <w:rFonts w:ascii="Arial" w:hAnsi="Arial" w:cs="Arial" w:eastAsia="Arial"/>
                <w:sz w:val="16"/>
                <w:szCs w:val="16"/>
              </w:rPr>
              <w:t>HSESC Leadership Team - the senior cross-functional team responsible for setting HSESC direction, driving performance, and serving as a primary internal communication channel on the project.</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process of identifying hazards associated with specific tasks and determining controls, communicated to the workforce prior to task commencement at pre-start meetings.</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authorisation system that controls high-risk work activities by specifying conditions, controls, and approvals required before work may commence.</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within the Rio Tinto project management system that prescribes mandatory steps, responsibilities, and requirements for a specific operational or management process.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document identifier prefix used for project-level controlled documents issued under the Rio Tinto owner-led project governance framework.</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core technical disciplines addressing workplace wellbeing, injury prevention, and environmental protection, used as a sub-classification within the broader HSESC framework.</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frameworks, and requirements govern all owner-led project activities including communication and consultation obligations.</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a document providing detailed information on chemical substances or mixtures, including hazards and safe handling requirements, communicated via HSESC notice boards and pre-start meetings where relevant.</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workers to minimise exposure to hazards, requirements for which are communicated through pre-start meetings, toolbox meetings, and HSESC notice boards.</w:t>
            </w:r>
          </w:p>
        </w:tc>
      </w:tr>
      <w:tr>
        <w:tc>
          <w:tcPr>
            <w:tcW w:type="dxa" w:w="4888"/>
          </w:tcPr>
          <w:p>
            <w:pPr>
              <w:pStyle w:val="TableContents"/>
              <w:spacing w:before="0" w:after="0" w:line="240" w:lineRule="atLeast"/>
            </w:pPr>
            <w:r>
              <w:rPr>
                <w:rFonts w:ascii="Arial" w:hAnsi="Arial" w:cs="Arial" w:eastAsia="Arial"/>
                <w:sz w:val="16"/>
                <w:szCs w:val="16"/>
              </w:rPr>
              <w:t>CAPA</w:t>
            </w:r>
          </w:p>
        </w:tc>
        <w:tc>
          <w:tcPr>
            <w:tcW w:type="dxa" w:w="4889"/>
          </w:tcPr>
          <w:p>
            <w:pPr>
              <w:pStyle w:val="TableContents"/>
              <w:spacing w:before="0" w:after="0" w:line="240" w:lineRule="atLeast"/>
            </w:pPr>
            <w:r>
              <w:rPr>
                <w:rFonts w:ascii="Arial" w:hAnsi="Arial" w:cs="Arial" w:eastAsia="Arial"/>
                <w:sz w:val="16"/>
                <w:szCs w:val="16"/>
              </w:rPr>
              <w:t>Corrective Action and Preventive Action - the documented response to identified deficiencies or improvement opportunities, communicated to the workforce through toolbox meetings and tracked through the improvement planning process.</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record of a departure from a specified requirement, the status and resolution of which is communicated to relevant personnel through toolbox meetings and notice boards.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duty of care owed to workers and others in the workplace, forming the overarching legal context for communication and consultation obligations.</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Organization for Standardization - the international body that publishes management system standards, including those referenced as external frameworks governing HSESC communication and consultation requirements.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Organisational Resources, Roles, Responsibilities and Accountabilities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and Competency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Improvement Planning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RT-RISK-STD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Communication of Risk Information</w:t>
            </w:r>
          </w:p>
        </w:tc>
        <w:tc>
          <w:tcPr>
            <w:tcW w:type="dxa" w:w="3259"/>
          </w:tcPr>
          <w:p>
            <w:pPr>
              <w:pStyle w:val="TableContents"/>
              <w:spacing w:before="0" w:after="0" w:line="240" w:lineRule="atLeast"/>
            </w:pPr>
            <w:r>
              <w:rPr>
                <w:rFonts w:ascii="Arial" w:hAnsi="Arial" w:cs="Arial" w:eastAsia="Arial"/>
                <w:sz w:val="16"/>
                <w:szCs w:val="16"/>
              </w:rPr>
              <w:t>RT-RISK-STD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45001:2018 - Occupational Health and Safety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14001:2015 - Environmental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Health, Safety, Environment and Communities (HSEC) Way - Global Standards</w:t>
            </w:r>
          </w:p>
        </w:tc>
        <w:tc>
          <w:tcPr>
            <w:tcW w:type="dxa" w:w="3259"/>
          </w:tcPr>
          <w:p>
            <w:pPr>
              <w:pStyle w:val="TableContents"/>
              <w:spacing w:before="0" w:after="0" w:line="240" w:lineRule="atLeast"/>
            </w:pPr>
            <w:r>
              <w:rPr>
                <w:rFonts w:ascii="Arial" w:hAnsi="Arial" w:cs="Arial" w:eastAsia="Arial"/>
                <w:sz w:val="16"/>
                <w:szCs w:val="16"/>
              </w:rPr>
              <w:t>RT-HSEC-WAY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Permit to Work Standard</w:t>
            </w:r>
          </w:p>
        </w:tc>
        <w:tc>
          <w:tcPr>
            <w:tcW w:type="dxa" w:w="3259"/>
          </w:tcPr>
          <w:p>
            <w:pPr>
              <w:pStyle w:val="TableContents"/>
              <w:spacing w:before="0" w:after="0" w:line="240" w:lineRule="atLeast"/>
            </w:pPr>
            <w:r>
              <w:rPr>
                <w:rFonts w:ascii="Arial" w:hAnsi="Arial" w:cs="Arial" w:eastAsia="Arial"/>
                <w:sz w:val="16"/>
                <w:szCs w:val="16"/>
              </w:rPr>
              <w:t>RT-PTW-STD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Worker Participation and Consultation Standard</w:t>
            </w:r>
          </w:p>
        </w:tc>
        <w:tc>
          <w:tcPr>
            <w:tcW w:type="dxa" w:w="3259"/>
          </w:tcPr>
          <w:p>
            <w:pPr>
              <w:pStyle w:val="TableContents"/>
              <w:spacing w:before="0" w:after="0" w:line="240" w:lineRule="atLeast"/>
            </w:pPr>
            <w:r>
              <w:rPr>
                <w:rFonts w:ascii="Arial" w:hAnsi="Arial" w:cs="Arial" w:eastAsia="Arial"/>
                <w:sz w:val="16"/>
                <w:szCs w:val="16"/>
              </w:rPr>
              <w:t>RT-PART-STD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w:t>
            </w:r>
          </w:p>
        </w:tc>
        <w:tc>
          <w:tcPr>
            <w:tcW w:type="dxa" w:w="2256"/>
          </w:tcPr>
          <w:p>
            <w:pPr>
              <w:pStyle w:val="TableContents"/>
              <w:spacing w:before="0" w:after="0" w:line="240" w:lineRule="atLeast"/>
            </w:pPr>
            <w:r>
              <w:rPr>
                <w:rFonts w:ascii="Arial" w:hAnsi="Arial" w:cs="Arial" w:eastAsia="Arial"/>
                <w:sz w:val="16"/>
                <w:szCs w:val="16"/>
              </w:rPr>
              <w:t>Defines all project HSESC communication channels, their minimum frequencies, and the process for disseminating Company-issued incident notifications and lessons learned across contractor organisations.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§38.1</w:t>
            </w:r>
          </w:p>
        </w:tc>
        <w:tc>
          <w:tcPr>
            <w:tcW w:type="dxa" w:w="2256"/>
          </w:tcPr>
          <w:p>
            <w:pPr>
              <w:pStyle w:val="TableContents"/>
              <w:spacing w:before="0" w:after="0" w:line="240" w:lineRule="atLeast"/>
            </w:pPr>
            <w:r>
              <w:rPr>
                <w:rFonts w:ascii="Arial" w:hAnsi="Arial" w:cs="Arial" w:eastAsia="Arial"/>
                <w:sz w:val="16"/>
                <w:szCs w:val="16"/>
              </w:rPr>
              <w:t>Requires workforce involvement in constructability reviews, HAZID workshops, health risk assessments, hazard register development, HSESC training, incident investigations, and CRM and SMM programme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§38.2</w:t>
            </w:r>
          </w:p>
        </w:tc>
        <w:tc>
          <w:tcPr>
            <w:tcW w:type="dxa" w:w="2256"/>
          </w:tcPr>
          <w:p>
            <w:pPr>
              <w:pStyle w:val="TableContents"/>
              <w:spacing w:before="0" w:after="0" w:line="240" w:lineRule="atLeast"/>
            </w:pPr>
            <w:r>
              <w:rPr>
                <w:rFonts w:ascii="Arial" w:hAnsi="Arial" w:cs="Arial" w:eastAsia="Arial"/>
                <w:sz w:val="16"/>
                <w:szCs w:val="16"/>
              </w:rPr>
              <w:t>Requires a pre-start meeting at every shift commencement facilitated by the responsible supervisor, covering residual risks, safety notices, task requirements, approved JHAs, and contractor interfaces, conducted at the physical work location.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§30.1</w:t>
            </w:r>
          </w:p>
        </w:tc>
        <w:tc>
          <w:tcPr>
            <w:tcW w:type="dxa" w:w="2256"/>
          </w:tcPr>
          <w:p>
            <w:pPr>
              <w:pStyle w:val="TableContents"/>
              <w:spacing w:before="0" w:after="0" w:line="240" w:lineRule="atLeast"/>
            </w:pPr>
            <w:r>
              <w:rPr>
                <w:rFonts w:ascii="Arial" w:hAnsi="Arial" w:cs="Arial" w:eastAsia="Arial"/>
                <w:sz w:val="16"/>
                <w:szCs w:val="16"/>
              </w:rPr>
              <w:t>Confirms no new task commences without a pre-start meeting and requires use of the project Pre-Start Board or equivalent structured format with language and literacy barriers addressed.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§38.3</w:t>
            </w:r>
          </w:p>
        </w:tc>
        <w:tc>
          <w:tcPr>
            <w:tcW w:type="dxa" w:w="2256"/>
          </w:tcPr>
          <w:p>
            <w:pPr>
              <w:pStyle w:val="TableContents"/>
              <w:spacing w:before="0" w:after="0" w:line="240" w:lineRule="atLeast"/>
            </w:pPr>
            <w:r>
              <w:rPr>
                <w:rFonts w:ascii="Arial" w:hAnsi="Arial" w:cs="Arial" w:eastAsia="Arial"/>
                <w:sz w:val="16"/>
                <w:szCs w:val="16"/>
              </w:rPr>
              <w:t>Requires regular toolbox meetings covering hazards from inspections or observations, SWA outcomes, investigation findings, environmental hazards, and recognition and reward.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§38.6</w:t>
            </w:r>
          </w:p>
        </w:tc>
        <w:tc>
          <w:tcPr>
            <w:tcW w:type="dxa" w:w="2256"/>
          </w:tcPr>
          <w:p>
            <w:pPr>
              <w:pStyle w:val="TableContents"/>
              <w:spacing w:before="0" w:after="0" w:line="240" w:lineRule="atLeast"/>
            </w:pPr>
            <w:r>
              <w:rPr>
                <w:rFonts w:ascii="Arial" w:hAnsi="Arial" w:cs="Arial" w:eastAsia="Arial"/>
                <w:sz w:val="16"/>
                <w:szCs w:val="16"/>
              </w:rPr>
              <w:t>Requires designated HSESC notice boards at prominent positions on all sites displaying current performance metrics, active alerts, the SWA process, and workforce recognition highlights.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§38.7.1</w:t>
            </w:r>
          </w:p>
        </w:tc>
        <w:tc>
          <w:tcPr>
            <w:tcW w:type="dxa" w:w="2256"/>
          </w:tcPr>
          <w:p>
            <w:pPr>
              <w:pStyle w:val="TableContents"/>
              <w:spacing w:before="0" w:after="0" w:line="240" w:lineRule="atLeast"/>
            </w:pPr>
            <w:r>
              <w:rPr>
                <w:rFonts w:ascii="Arial" w:hAnsi="Arial" w:cs="Arial" w:eastAsia="Arial"/>
                <w:sz w:val="16"/>
                <w:szCs w:val="16"/>
              </w:rPr>
              <w:t>Requires a PTW status display system that identifies all work areas where the PTW system applies, tracks permits by location, and includes a method to designate permits removed during an emergency shutdown.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§38.7.3</w:t>
            </w:r>
          </w:p>
        </w:tc>
        <w:tc>
          <w:tcPr>
            <w:tcW w:type="dxa" w:w="2256"/>
          </w:tcPr>
          <w:p>
            <w:pPr>
              <w:pStyle w:val="TableContents"/>
              <w:spacing w:before="0" w:after="0" w:line="240" w:lineRule="atLeast"/>
            </w:pPr>
            <w:r>
              <w:rPr>
                <w:rFonts w:ascii="Arial" w:hAnsi="Arial" w:cs="Arial" w:eastAsia="Arial"/>
                <w:sz w:val="16"/>
                <w:szCs w:val="16"/>
              </w:rPr>
              <w:t>Requires the PTW status system to provide clear and immediate visibility of all active permits and their status, using physical boards, electronic systems, or other methods visible to all personnel.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§38.8</w:t>
            </w:r>
          </w:p>
        </w:tc>
        <w:tc>
          <w:tcPr>
            <w:tcW w:type="dxa" w:w="2256"/>
          </w:tcPr>
          <w:p>
            <w:pPr>
              <w:pStyle w:val="TableContents"/>
              <w:spacing w:before="0" w:after="0" w:line="240" w:lineRule="atLeast"/>
            </w:pPr>
            <w:r>
              <w:rPr>
                <w:rFonts w:ascii="Arial" w:hAnsi="Arial" w:cs="Arial" w:eastAsia="Arial"/>
                <w:sz w:val="16"/>
                <w:szCs w:val="16"/>
              </w:rPr>
              <w:t>Requires a documented HSESC issue resolution process with a clear escalation pathway covering initial reporting, consultation, escalation thresholds and timelines, and closeout documentation.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§38.8.1</w:t>
            </w:r>
          </w:p>
        </w:tc>
        <w:tc>
          <w:tcPr>
            <w:tcW w:type="dxa" w:w="2256"/>
          </w:tcPr>
          <w:p>
            <w:pPr>
              <w:pStyle w:val="TableContents"/>
              <w:spacing w:before="0" w:after="0" w:line="240" w:lineRule="atLeast"/>
            </w:pPr>
            <w:r>
              <w:rPr>
                <w:rFonts w:ascii="Arial" w:hAnsi="Arial" w:cs="Arial" w:eastAsia="Arial"/>
                <w:sz w:val="16"/>
                <w:szCs w:val="16"/>
              </w:rPr>
              <w:t>Requires a documented issue resolution process incorporating an escalation pathway and consultative approach with active involvement of HSESC representatives.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§38.8.3</w:t>
            </w:r>
          </w:p>
        </w:tc>
        <w:tc>
          <w:tcPr>
            <w:tcW w:type="dxa" w:w="2256"/>
          </w:tcPr>
          <w:p>
            <w:pPr>
              <w:pStyle w:val="TableContents"/>
              <w:spacing w:before="0" w:after="0" w:line="240" w:lineRule="atLeast"/>
            </w:pPr>
            <w:r>
              <w:rPr>
                <w:rFonts w:ascii="Arial" w:hAnsi="Arial" w:cs="Arial" w:eastAsia="Arial"/>
                <w:sz w:val="16"/>
                <w:szCs w:val="16"/>
              </w:rPr>
              <w:t>Requires a flowchart illustrating the HSESC issue resolution process through four stages: initial reporting, consultation, escalation, and closeout.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GN§80</w:t>
            </w:r>
          </w:p>
        </w:tc>
        <w:tc>
          <w:tcPr>
            <w:tcW w:type="dxa" w:w="2256"/>
          </w:tcPr>
          <w:p>
            <w:pPr>
              <w:pStyle w:val="TableContents"/>
              <w:spacing w:before="0" w:after="0" w:line="240" w:lineRule="atLeast"/>
            </w:pPr>
            <w:r>
              <w:rPr>
                <w:rFonts w:ascii="Arial" w:hAnsi="Arial" w:cs="Arial" w:eastAsia="Arial"/>
                <w:sz w:val="16"/>
                <w:szCs w:val="16"/>
              </w:rPr>
              <w:t>Requires communication to account for language and literacy barriers by providing translated or visual materials, interpreters, or localised formats where required.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§36</w:t>
            </w:r>
          </w:p>
        </w:tc>
        <w:tc>
          <w:tcPr>
            <w:tcW w:type="dxa" w:w="2256"/>
          </w:tcPr>
          <w:p>
            <w:pPr>
              <w:pStyle w:val="TableContents"/>
              <w:spacing w:before="0" w:after="0" w:line="240" w:lineRule="atLeast"/>
            </w:pPr>
            <w:r>
              <w:rPr>
                <w:rFonts w:ascii="Arial" w:hAnsi="Arial" w:cs="Arial" w:eastAsia="Arial"/>
                <w:sz w:val="16"/>
                <w:szCs w:val="16"/>
              </w:rPr>
              <w:t>Requires workers to have mechanisms to raise occupational health and safety concerns including anonymous mechanisms where culturally appropriate, access to effective grievance mechanisms, and protection from adverse consequences for doing so.</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Safe, Healthy and Respectful Workplaces Protocol, Indicator SH4</w:t>
            </w:r>
          </w:p>
        </w:tc>
        <w:tc>
          <w:tcPr>
            <w:tcW w:type="dxa" w:w="2256"/>
          </w:tcPr>
          <w:p>
            <w:pPr>
              <w:pStyle w:val="TableContents"/>
              <w:spacing w:before="0" w:after="0" w:line="240" w:lineRule="atLeast"/>
            </w:pPr>
            <w:r>
              <w:rPr>
                <w:rFonts w:ascii="Arial" w:hAnsi="Arial" w:cs="Arial" w:eastAsia="Arial"/>
                <w:sz w:val="16"/>
                <w:szCs w:val="16"/>
              </w:rPr>
              <w:t>Requires fostering a culture of safety through ongoing awareness activities and ensuring workers at all levels understand their rights and responsibilities under the project HSESC management system.</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RP 2016 - Worker Participation</w:t>
            </w:r>
          </w:p>
        </w:tc>
        <w:tc>
          <w:tcPr>
            <w:tcW w:type="dxa" w:w="2256"/>
          </w:tcPr>
          <w:p>
            <w:pPr>
              <w:pStyle w:val="TableContents"/>
              <w:spacing w:before="0" w:after="0" w:line="240" w:lineRule="atLeast"/>
            </w:pPr>
            <w:r>
              <w:rPr>
                <w:rFonts w:ascii="Arial" w:hAnsi="Arial" w:cs="Arial" w:eastAsia="Arial"/>
                <w:sz w:val="16"/>
                <w:szCs w:val="16"/>
              </w:rPr>
              <w:t>Requires pre-start meetings to be genuinely participatory, allowing workers to raise concerns, ask questions, and suggest improvements before work commences.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