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Monitoring and Measuring</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Monitoring and Measuring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monitoring and measuring HSESC performance across the owner-led project to verify control effectiveness, confirm compliance with performance criteria, detect changing conditions, and support adaptive management and continuous improvement.</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monitoring and measuring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states the purpose of this procedure, the HSESC domains within scope, and the lifecycle phases during which monitoring and measuring requirements apply.</w:t>
      </w:r>
    </w:p>
    <w:p>
      <w:pPr>
        <w:pStyle w:val="Heading2Numbered"/>
      </w:pPr>
      <w:r>
        <w:t>3.1  Purpose of This Document</w:t>
      </w:r>
    </w:p>
    <w:p>
      <w:pPr>
        <w:pStyle w:val="NormalNumberedtext"/>
      </w:pPr>
      <w:r>
        <w:t>This section states what this procedure governs, the standards it operationalises, and the project phases to which it applies.</w:t>
      </w:r>
    </w:p>
    <w:p>
      <w:pPr>
        <w:pStyle w:val="NormalNumberedtext"/>
      </w:pPr>
      <w:r>
        <w:t>This procedure meets the following purpose requirements:</w:t>
      </w:r>
    </w:p>
    <w:p>
      <w:pPr>
        <w:pStyle w:val="NormalNumberedtext"/>
      </w:pPr>
      <w:r>
        <w:t>This procedure operationalises Rio Tinto Group monitoring and measuring requirements into a documented, project-specific process for tracking HSESC performance across safety, occupational health, environment, and social domains.</w:t>
      </w:r>
    </w:p>
    <w:p>
      <w:pPr>
        <w:pStyle w:val="NormalNumberedtext"/>
      </w:pPr>
      <w:r>
        <w:t>This procedure defines the requirements for the project HSESC monitoring programme, the inspection programme, measuring equipment calibration, Trigger Action Response Plans, and monthly HSESC performance reporting. It applies from project Execution through to Handover.</w:t>
      </w:r>
    </w:p>
    <w:p>
      <w:pPr>
        <w:pStyle w:val="NormalNumberedtext"/>
      </w:pPr>
      <w:r>
        <w:t xml:space="preserve">This procedure supports </w:t>
      </w:r>
    </w:p>
    <w:p>
      <w:pPr>
        <w:pStyle w:val="NormalNumberedtext"/>
      </w:pPr>
      <w:r>
        <w:rPr>
          <w:b/>
          <w:bCs/>
          <w:color w:val="0059D1"/>
        </w:rPr>
        <w:t>[INSERT: project_name] — Enter project name</w:t>
      </w:r>
    </w:p>
    <w:p>
      <w:pPr>
        <w:pStyle w:val="Heading2Numbered"/>
      </w:pPr>
      <w:r>
        <w:t>3.2  Scope of This Document</w:t>
      </w:r>
    </w:p>
    <w:p>
      <w:pPr>
        <w:pStyle w:val="NormalNumberedtext"/>
      </w:pPr>
      <w:r>
        <w:t>This section defines which monitoring and measuring activities are governed by this procedure and how it connects to related project HSESC procedures.</w:t>
      </w:r>
    </w:p>
    <w:p>
      <w:pPr>
        <w:pStyle w:val="NormalNumberedtext"/>
      </w:pPr>
      <w:r>
        <w:t>This procedure applies the following scope requirements:</w:t>
      </w:r>
    </w:p>
    <w:p>
      <w:pPr>
        <w:pStyle w:val="NormalNumberedtext"/>
      </w:pPr>
      <w:r>
        <w:t>This procedure governs all planned monitoring and measuring activities conducted during the execution, commissioning, and handover phases of the project, including leading and lagging safety indicators, occupational health and hygiene monitoring, environmental monitoring, critical risk management verification, social performance monitoring, and inspection and calibration activities.</w:t>
      </w:r>
    </w:p>
    <w:p>
      <w:pPr>
        <w:pStyle w:val="NormalNumberedtext"/>
      </w:pPr>
      <w:r>
        <w:t>This procedure does not reproduce the content of related procedures. The risk register maintained under RTPR-HSE-PRO-0002 forms the basis for defining the scope and frequency of the monitoring programme. Incident data collected under RTPR-HSE-PRO-0009 is used as a monitoring input. Monitoring data collected under this procedure feeds into the improvement planning process under RTPR-HSE-PRO-0007. Environmental monitoring activities governed by RTPR-HSE-PRO-0034, RTPR-HSE-PRO-0035, and RTPR-HSE-PRO-0038 are scheduled and reported under this procedure. Audit activities conducted under RTPR-HSE-PRO-0044 form part of the overall HSESC performance assessment framework.</w:t>
      </w:r>
    </w:p>
    <w:p>
      <w:pPr>
        <w:pStyle w:val="Heading1Numbered"/>
      </w:pPr>
      <w:r>
        <w:t>4  Roles and Responsibilities</w:t>
      </w:r>
    </w:p>
    <w:p>
      <w:pPr>
        <w:pStyle w:val="NormalNumberedtext"/>
      </w:pPr>
      <w:r>
        <w:t>This section defines HSESC monitoring and measuring responsibilities for all project roles, covering the Rio Tinto project team and all contractor organisations.</w:t>
      </w:r>
    </w:p>
    <w:p>
      <w:pPr>
        <w:pStyle w:val="NormalNumberedtext"/>
      </w:pPr>
      <w:r>
        <w:t>Monitoring and measuring responsibilities are assigned to the following roles:</w:t>
      </w:r>
    </w:p>
    <w:p>
      <w:pPr>
        <w:pStyle w:val="NormalNumberedtext"/>
      </w:pPr>
      <w:r>
        <w:t>Table 1: Monitoring and Measuring Roles and Responsibilities</w:t>
      </w:r>
    </w:p>
    <w:tbl>
      <w:tblPr>
        <w:tblStyle w:val="TableOption2"/>
        <w:tblW w:type="pct" w:w="5000"/>
      </w:tblPr>
      <w:tr>
        <w:trPr>
          <w:tblHeader/>
        </w:trPr>
        <w:tc>
          <w:tcPr>
            <w:shd w:val="clear" w:color="auto" w:fill="1F3864"/>
          </w:tcPr>
          <w:p>
            <w:pPr>
              <w:pStyle w:val="TableContents"/>
            </w:pPr>
            <w:r>
              <w:rPr>
                <w:b/>
                <w:bCs/>
                <w:color w:val="FFFFFF"/>
              </w:rPr>
              <w:t>Role</w:t>
            </w:r>
          </w:p>
        </w:tc>
        <w:tc>
          <w:tcPr>
            <w:shd w:val="clear" w:color="auto" w:fill="1F3864"/>
          </w:tcPr>
          <w:p>
            <w:pPr>
              <w:pStyle w:val="TableContents"/>
            </w:pPr>
            <w:r>
              <w:rPr>
                <w:b/>
                <w:bCs/>
                <w:color w:val="FFFFFF"/>
              </w:rPr>
              <w:t>Responsibility</w:t>
            </w:r>
          </w:p>
        </w:tc>
      </w:tr>
      <w:tr>
        <w:tc>
          <w:tcPr/>
          <w:p>
            <w:pPr>
              <w:pStyle w:val="TableContents"/>
            </w:pPr>
            <w:r>
              <w:t>HSESC Manager</w:t>
            </w:r>
          </w:p>
        </w:tc>
        <w:tc>
          <w:tcPr/>
          <w:p>
            <w:pPr>
              <w:pStyle w:val="TableContents"/>
            </w:pPr>
            <w:r>
              <w:t>Own the project HSESC monitoring programme; approve the monitoring schedule and TARP register; review and endorse the monthly HSESC report before submission to the Project Manager.</w:t>
            </w:r>
          </w:p>
        </w:tc>
      </w:tr>
      <w:tr>
        <w:tc>
          <w:tcPr/>
          <w:p>
            <w:pPr>
              <w:pStyle w:val="TableContents"/>
            </w:pPr>
            <w:r>
              <w:t>Project Manager</w:t>
            </w:r>
          </w:p>
        </w:tc>
        <w:tc>
          <w:tcPr/>
          <w:p>
            <w:pPr>
              <w:pStyle w:val="TableContents"/>
            </w:pPr>
            <w:r>
              <w:t>Receive and review the monthly HSESC report; ensure corrective actions arising from monitoring and inspection findings are resourced and closed.</w:t>
            </w:r>
          </w:p>
        </w:tc>
      </w:tr>
      <w:tr>
        <w:tc>
          <w:tcPr/>
          <w:p>
            <w:pPr>
              <w:pStyle w:val="TableContents"/>
            </w:pPr>
            <w:r>
              <w:t>HSESC Advisor</w:t>
            </w:r>
          </w:p>
        </w:tc>
        <w:tc>
          <w:tcPr/>
          <w:p>
            <w:pPr>
              <w:pStyle w:val="TableContents"/>
            </w:pPr>
            <w:r>
              <w:t>Execute the monitoring programme in accordance with the approved schedule; coordinate inspection activities; maintain calibration records; analyse monitoring data and prepare the monthly HSESC report.</w:t>
            </w:r>
          </w:p>
        </w:tc>
      </w:tr>
      <w:tr>
        <w:tc>
          <w:tcPr/>
          <w:p>
            <w:pPr>
              <w:pStyle w:val="TableContents"/>
            </w:pPr>
            <w:r>
              <w:t>Works Supervisor</w:t>
            </w:r>
          </w:p>
        </w:tc>
        <w:tc>
          <w:tcPr/>
          <w:p>
            <w:pPr>
              <w:pStyle w:val="TableContents"/>
            </w:pPr>
            <w:r>
              <w:t>Conduct workplace inspections at the required frequency; record findings and corrective actions in the project action tracking system; confirm gas detector bump-tests are completed and recorded before each shift.</w:t>
            </w:r>
          </w:p>
        </w:tc>
      </w:tr>
      <w:tr>
        <w:tc>
          <w:tcPr/>
          <w:p>
            <w:pPr>
              <w:pStyle w:val="TableContents"/>
            </w:pPr>
            <w:r>
              <w:t>Contractor HSESC Representative</w:t>
            </w:r>
          </w:p>
        </w:tc>
        <w:tc>
          <w:tcPr/>
          <w:p>
            <w:pPr>
              <w:pStyle w:val="TableContents"/>
            </w:pPr>
            <w:r>
              <w:t>Conduct contractor-side inspections and monitoring as defined in the agreed HSESC metrics; submit data to the HSESC Advisor at the agreed reporting interval; ensure contractor-owned measuring equipment is calibrated and records are available for audit.</w:t>
            </w:r>
          </w:p>
        </w:tc>
      </w:tr>
      <w:tr>
        <w:tc>
          <w:tcPr/>
          <w:p>
            <w:pPr>
              <w:pStyle w:val="TableContents"/>
            </w:pPr>
            <w:r>
              <w:rPr>
                <w:b/>
                <w:bCs/>
                <w:color w:val="0059D1"/>
              </w:rPr>
              <w:t>[INSERT: role]</w:t>
            </w:r>
          </w:p>
        </w:tc>
        <w:tc>
          <w:tcPr/>
          <w:p>
            <w:pPr>
              <w:pStyle w:val="TableContents"/>
            </w:pPr>
            <w:r>
              <w:rPr>
                <w:b/>
                <w:bCs/>
                <w:color w:val="0059D1"/>
              </w:rPr>
              <w:t>[INSERT: responsibility]</w:t>
            </w:r>
          </w:p>
        </w:tc>
      </w:tr>
    </w:tbl>
    <w:p>
      <w:pPr>
        <w:pStyle w:val="Default"/>
      </w:pPr>
    </w:p>
    <w:p>
      <w:pPr>
        <w:pStyle w:val="Heading1Numbered"/>
      </w:pPr>
      <w:r>
        <w:t>5  HSESC Monitoring Programme</w:t>
      </w:r>
    </w:p>
    <w:p>
      <w:pPr>
        <w:pStyle w:val="NormalNumberedtext"/>
      </w:pPr>
      <w:r>
        <w:t>This section defines the scope, frequency, methodology, quality assurance requirements, and data recording requirements for the project HSESC monitoring programme.</w:t>
      </w:r>
    </w:p>
    <w:p>
      <w:pPr>
        <w:pStyle w:val="Heading2Numbered"/>
      </w:pPr>
      <w:r>
        <w:t>5.1  Programme Scope</w:t>
      </w:r>
    </w:p>
    <w:p>
      <w:pPr>
        <w:pStyle w:val="NormalNumberedtext"/>
      </w:pPr>
      <w:r>
        <w:t>This section defines the domains covered by the project HSESC monitoring programme and the requirement basis for each domain.</w:t>
      </w:r>
    </w:p>
    <w:p>
      <w:pPr>
        <w:pStyle w:val="NormalNumberedtext"/>
      </w:pPr>
      <w:r>
        <w:t>The project HSESC monitoring programme covers the following domains, consistent with Rio Tinto Standard requirements:</w:t>
      </w:r>
    </w:p>
    <w:p>
      <w:pPr>
        <w:pStyle w:val="NormalNumberedtext"/>
      </w:pPr>
      <w:r>
        <w:t>The monitoring programme scope includes:</w:t>
      </w:r>
    </w:p>
    <w:p>
      <w:pPr>
        <w:pStyle w:val="NumberedBulletL1"/>
      </w:pPr>
      <w:r>
        <w:t>Safety performance leading indicators, including critical control verification completion rates, inspection completion rates, toolbox talk frequency, and stop-work events.</w:t>
      </w:r>
    </w:p>
    <w:p>
      <w:pPr>
        <w:pStyle w:val="NumberedBulletL1"/>
      </w:pPr>
      <w:r>
        <w:t>Safety performance lagging indicators, including total recordable injury frequency, lost time injury frequency, high-potential incident frequency, and severity rate.</w:t>
      </w:r>
    </w:p>
    <w:p>
      <w:pPr>
        <w:pStyle w:val="NumberedBulletL1"/>
      </w:pPr>
      <w:r>
        <w:t>Occupational health and hygiene monitoring, including noise exposure, dust and silica monitoring, heat stress monitoring, and chemical exposure monitoring where relevant to the project.</w:t>
      </w:r>
    </w:p>
    <w:p>
      <w:pPr>
        <w:pStyle w:val="NumberedBulletL1"/>
      </w:pPr>
      <w:r>
        <w:t>Environmental monitoring covering water quality, air quality, soil, and biodiversity, as governed by RTPR-HSE-PRO-0034, RTPR-HSE-PRO-0035, and RTPR-HSE-PRO-0038 and scheduled under this procedure.</w:t>
      </w:r>
    </w:p>
    <w:p>
      <w:pPr>
        <w:pStyle w:val="NumberedBulletL1"/>
      </w:pPr>
      <w:r>
        <w:t>Critical risk management verification performance, including critical control field verification completion rates reported by critical risk category.</w:t>
      </w:r>
    </w:p>
    <w:p>
      <w:pPr>
        <w:pStyle w:val="NumberedBulletL1"/>
      </w:pPr>
      <w:r>
        <w:t>Safe Management Maturity assessment results and improvement trajectory.</w:t>
      </w:r>
    </w:p>
    <w:p>
      <w:pPr>
        <w:pStyle w:val="NumberedBulletL1"/>
      </w:pPr>
      <w:r>
        <w:rPr>
          <w:color w:val="C55A11"/>
        </w:rPr>
        <w:t>Social and community performance indicators, including grievance receipt and closure rates, community engagement activity completion, and incident response timeliness.</w:t>
      </w:r>
    </w:p>
    <w:p>
      <w:pPr>
        <w:pStyle w:val="NumberedBulletL1"/>
      </w:pPr>
      <w:r>
        <w:rPr>
          <w:b/>
          <w:bCs/>
          <w:color w:val="0059D1"/>
        </w:rPr>
        <w:t>[INSERT: additional_monitoring_domain]</w:t>
      </w:r>
    </w:p>
    <w:tbl>
      <w:tblPr>
        <w:tblStyle w:val="TableOption1"/>
        <w:tblW w:type="pct" w:w="5000"/>
      </w:tblPr>
      <w:tr>
        <w:tc>
          <w:tcPr>
            <w:shd w:val="clear" w:color="auto" w:fill="FFF2CC"/>
          </w:tcPr>
          <w:p>
            <w:pPr>
              <w:pStyle w:val="Instructions"/>
            </w:pPr>
            <w:r>
              <w:rPr>
                <w:b/>
                <w:bCs/>
                <w:color w:val="C55A11"/>
              </w:rPr>
              <w:t>Project Completion: Develop the project HSESC monitoring programme as a schedule listing each monitoring type, frequency, responsible role, and data recording method. Insert as Appendix A — [INSERT: RTPR-HSE-PRO-0042 Appendix A: HSESC Monitoring Programme Schedule].</w:t>
            </w:r>
          </w:p>
        </w:tc>
      </w:tr>
    </w:tbl>
    <w:p>
      <w:pPr>
        <w:pStyle w:val="Default"/>
      </w:pPr>
    </w:p>
    <w:p>
      <w:pPr>
        <w:pStyle w:val="Heading2Numbered"/>
      </w:pPr>
      <w:r>
        <w:t>5.2  Monitoring Frequency, Methodology, and Data Recording</w:t>
      </w:r>
    </w:p>
    <w:p>
      <w:pPr>
        <w:pStyle w:val="NormalNumberedtext"/>
      </w:pPr>
      <w:r>
        <w:t>This section defines the frequency, methodology, quality assurance, and recording requirements for each monitoring type in the programme.</w:t>
      </w:r>
    </w:p>
    <w:p>
      <w:pPr>
        <w:pStyle w:val="NormalNumberedtext"/>
      </w:pPr>
      <w:r>
        <w:t>The HSESC Advisor maintains the project HSESC monitoring programme schedule, consistent with IFC PS1 §22 requirements. For each monitoring type, the schedule defines the frequency, methodology, responsible role, QA/QC requirements, and the data recording method.</w:t>
      </w:r>
    </w:p>
    <w:p>
      <w:pPr>
        <w:pStyle w:val="NormalNumberedtext"/>
      </w:pPr>
      <w:r>
        <w:t>The minimum monitoring frequencies for the project are defined in the following table. The HSESC Advisor may increase frequency in response to monitoring results, regulatory requirements, or TARP trigger events:</w:t>
      </w:r>
    </w:p>
    <w:p>
      <w:pPr>
        <w:pStyle w:val="NormalNumberedtext"/>
      </w:pPr>
      <w:r>
        <w:t>Table 2: HSESC Monitoring Programme — Minimum Frequencies</w:t>
      </w:r>
    </w:p>
    <w:tbl>
      <w:tblPr>
        <w:tblStyle w:val="TableOption2"/>
        <w:tblW w:type="pct" w:w="5000"/>
      </w:tblPr>
      <w:tr>
        <w:trPr>
          <w:tblHeader/>
        </w:trPr>
        <w:tc>
          <w:tcPr>
            <w:shd w:val="clear" w:color="auto" w:fill="1F3864"/>
          </w:tcPr>
          <w:p>
            <w:pPr>
              <w:pStyle w:val="TableContents"/>
            </w:pPr>
            <w:r>
              <w:rPr>
                <w:b/>
                <w:bCs/>
                <w:color w:val="FFFFFF"/>
              </w:rPr>
              <w:t>Monitoring Type</w:t>
            </w:r>
          </w:p>
        </w:tc>
        <w:tc>
          <w:tcPr>
            <w:shd w:val="clear" w:color="auto" w:fill="1F3864"/>
          </w:tcPr>
          <w:p>
            <w:pPr>
              <w:pStyle w:val="TableContents"/>
            </w:pPr>
            <w:r>
              <w:rPr>
                <w:b/>
                <w:bCs/>
                <w:color w:val="FFFFFF"/>
              </w:rPr>
              <w:t>Minimum Frequency</w:t>
            </w:r>
          </w:p>
        </w:tc>
        <w:tc>
          <w:tcPr>
            <w:shd w:val="clear" w:color="auto" w:fill="1F3864"/>
          </w:tcPr>
          <w:p>
            <w:pPr>
              <w:pStyle w:val="TableContents"/>
            </w:pPr>
            <w:r>
              <w:rPr>
                <w:b/>
                <w:bCs/>
                <w:color w:val="FFFFFF"/>
              </w:rPr>
              <w:t>Responsible Role</w:t>
            </w:r>
          </w:p>
        </w:tc>
        <w:tc>
          <w:tcPr>
            <w:shd w:val="clear" w:color="auto" w:fill="1F3864"/>
          </w:tcPr>
          <w:p>
            <w:pPr>
              <w:pStyle w:val="TableContents"/>
            </w:pPr>
            <w:r>
              <w:rPr>
                <w:b/>
                <w:bCs/>
                <w:color w:val="FFFFFF"/>
              </w:rPr>
              <w:t>Data Recording Method</w:t>
            </w:r>
          </w:p>
        </w:tc>
        <w:tc>
          <w:tcPr>
            <w:shd w:val="clear" w:color="auto" w:fill="1F3864"/>
          </w:tcPr>
          <w:p>
            <w:pPr>
              <w:pStyle w:val="TableContents"/>
            </w:pPr>
            <w:r>
              <w:rPr>
                <w:b/>
                <w:bCs/>
                <w:color w:val="FFFFFF"/>
              </w:rPr>
              <w:t>QA/QC Requirement</w:t>
            </w:r>
          </w:p>
        </w:tc>
      </w:tr>
      <w:tr>
        <w:tc>
          <w:tcPr/>
          <w:p>
            <w:pPr>
              <w:pStyle w:val="TableContents"/>
            </w:pPr>
            <w:r>
              <w:t>Safety leading indicators</w:t>
            </w:r>
          </w:p>
        </w:tc>
        <w:tc>
          <w:tcPr/>
          <w:p>
            <w:pPr>
              <w:pStyle w:val="TableContents"/>
            </w:pPr>
            <w:r>
              <w:t>Monthly</w:t>
            </w:r>
          </w:p>
        </w:tc>
        <w:tc>
          <w:tcPr/>
          <w:p>
            <w:pPr>
              <w:pStyle w:val="TableContents"/>
            </w:pPr>
            <w:r>
              <w:t>HSESC Advisor</w:t>
            </w:r>
          </w:p>
        </w:tc>
        <w:tc>
          <w:tcPr/>
          <w:p>
            <w:pPr>
              <w:pStyle w:val="TableContents"/>
            </w:pPr>
            <w:r>
              <w:t>Project HSESC performance dashboard</w:t>
            </w:r>
          </w:p>
        </w:tc>
        <w:tc>
          <w:tcPr/>
          <w:p>
            <w:pPr>
              <w:pStyle w:val="TableContents"/>
            </w:pPr>
            <w:r>
              <w:t>HSESC Manager review before report issue</w:t>
            </w:r>
          </w:p>
        </w:tc>
      </w:tr>
      <w:tr>
        <w:tc>
          <w:tcPr/>
          <w:p>
            <w:pPr>
              <w:pStyle w:val="TableContents"/>
            </w:pPr>
            <w:r>
              <w:t>Safety lagging indicators</w:t>
            </w:r>
          </w:p>
        </w:tc>
        <w:tc>
          <w:tcPr/>
          <w:p>
            <w:pPr>
              <w:pStyle w:val="TableContents"/>
            </w:pPr>
            <w:r>
              <w:t>Monthly</w:t>
            </w:r>
          </w:p>
        </w:tc>
        <w:tc>
          <w:tcPr/>
          <w:p>
            <w:pPr>
              <w:pStyle w:val="TableContents"/>
            </w:pPr>
            <w:r>
              <w:t>HSESC Advisor</w:t>
            </w:r>
          </w:p>
        </w:tc>
        <w:tc>
          <w:tcPr/>
          <w:p>
            <w:pPr>
              <w:pStyle w:val="TableContents"/>
            </w:pPr>
            <w:r>
              <w:t>Project HSESC performance dashboard</w:t>
            </w:r>
          </w:p>
        </w:tc>
        <w:tc>
          <w:tcPr/>
          <w:p>
            <w:pPr>
              <w:pStyle w:val="TableContents"/>
            </w:pPr>
            <w:r>
              <w:t>Data verified against incident register per RTPR-HSE-PRO-0009</w:t>
            </w:r>
          </w:p>
        </w:tc>
      </w:tr>
      <w:tr>
        <w:tc>
          <w:tcPr/>
          <w:p>
            <w:pPr>
              <w:pStyle w:val="TableContents"/>
            </w:pPr>
            <w:r>
              <w:t>Occupational hygiene monitoring — noise</w:t>
            </w:r>
          </w:p>
        </w:tc>
        <w:tc>
          <w:tcPr/>
          <w:p>
            <w:pPr>
              <w:pStyle w:val="TableContents"/>
            </w:pPr>
            <w:r>
              <w:rPr>
                <w:b/>
                <w:bCs/>
                <w:color w:val="0059D1"/>
              </w:rPr>
              <w:t>[INSERT: frequency]</w:t>
            </w:r>
          </w:p>
        </w:tc>
        <w:tc>
          <w:tcPr/>
          <w:p>
            <w:pPr>
              <w:pStyle w:val="TableContents"/>
            </w:pPr>
            <w:r>
              <w:rPr>
                <w:b/>
                <w:bCs/>
                <w:color w:val="0059D1"/>
              </w:rPr>
              <w:t>[INSERT: role]</w:t>
            </w:r>
          </w:p>
        </w:tc>
        <w:tc>
          <w:tcPr/>
          <w:p>
            <w:pPr>
              <w:pStyle w:val="TableContents"/>
            </w:pPr>
            <w:r>
              <w:rPr>
                <w:b/>
                <w:bCs/>
                <w:color w:val="0059D1"/>
              </w:rPr>
              <w:t>[INSERT: record format and location]</w:t>
            </w:r>
          </w:p>
        </w:tc>
        <w:tc>
          <w:tcPr/>
          <w:p>
            <w:pPr>
              <w:pStyle w:val="TableContents"/>
            </w:pPr>
            <w:r>
              <w:rPr>
                <w:b/>
                <w:bCs/>
                <w:color w:val="0059D1"/>
              </w:rPr>
              <w:t>[INSERT: QA/QC method]</w:t>
            </w:r>
          </w:p>
        </w:tc>
      </w:tr>
      <w:tr>
        <w:tc>
          <w:tcPr/>
          <w:p>
            <w:pPr>
              <w:pStyle w:val="TableContents"/>
            </w:pPr>
            <w:r>
              <w:t>Occupational hygiene monitoring — dust/silica</w:t>
            </w:r>
          </w:p>
        </w:tc>
        <w:tc>
          <w:tcPr/>
          <w:p>
            <w:pPr>
              <w:pStyle w:val="TableContents"/>
            </w:pPr>
            <w:r>
              <w:rPr>
                <w:b/>
                <w:bCs/>
                <w:color w:val="0059D1"/>
              </w:rPr>
              <w:t>[INSERT: frequency]</w:t>
            </w:r>
          </w:p>
        </w:tc>
        <w:tc>
          <w:tcPr/>
          <w:p>
            <w:pPr>
              <w:pStyle w:val="TableContents"/>
            </w:pPr>
            <w:r>
              <w:rPr>
                <w:b/>
                <w:bCs/>
                <w:color w:val="0059D1"/>
              </w:rPr>
              <w:t>[INSERT: role]</w:t>
            </w:r>
          </w:p>
        </w:tc>
        <w:tc>
          <w:tcPr/>
          <w:p>
            <w:pPr>
              <w:pStyle w:val="TableContents"/>
            </w:pPr>
            <w:r>
              <w:rPr>
                <w:b/>
                <w:bCs/>
                <w:color w:val="0059D1"/>
              </w:rPr>
              <w:t>[INSERT: record format and location]</w:t>
            </w:r>
          </w:p>
        </w:tc>
        <w:tc>
          <w:tcPr/>
          <w:p>
            <w:pPr>
              <w:pStyle w:val="TableContents"/>
            </w:pPr>
            <w:r>
              <w:rPr>
                <w:b/>
                <w:bCs/>
                <w:color w:val="0059D1"/>
              </w:rPr>
              <w:t>[INSERT: QA/QC method]</w:t>
            </w:r>
          </w:p>
        </w:tc>
      </w:tr>
      <w:tr>
        <w:tc>
          <w:tcPr/>
          <w:p>
            <w:pPr>
              <w:pStyle w:val="TableContents"/>
            </w:pPr>
            <w:r>
              <w:t>Environmental monitoring — water quality</w:t>
            </w:r>
          </w:p>
        </w:tc>
        <w:tc>
          <w:tcPr/>
          <w:p>
            <w:pPr>
              <w:pStyle w:val="TableContents"/>
            </w:pPr>
            <w:r>
              <w:rPr>
                <w:b/>
                <w:bCs/>
                <w:color w:val="0059D1"/>
              </w:rPr>
              <w:t>[INSERT: frequency per RTPR-HSE-PRO-0034/0035/0038]</w:t>
            </w:r>
          </w:p>
        </w:tc>
        <w:tc>
          <w:tcPr/>
          <w:p>
            <w:pPr>
              <w:pStyle w:val="TableContents"/>
            </w:pPr>
            <w:r>
              <w:t>HSESC Advisor</w:t>
            </w:r>
          </w:p>
        </w:tc>
        <w:tc>
          <w:tcPr/>
          <w:p>
            <w:pPr>
              <w:pStyle w:val="TableContents"/>
            </w:pPr>
            <w:r>
              <w:rPr>
                <w:b/>
                <w:bCs/>
                <w:color w:val="0059D1"/>
              </w:rPr>
              <w:t>[INSERT: record format and location]</w:t>
            </w:r>
          </w:p>
        </w:tc>
        <w:tc>
          <w:tcPr/>
          <w:p>
            <w:pPr>
              <w:pStyle w:val="TableContents"/>
            </w:pPr>
            <w:r>
              <w:t>Accredited laboratory analysis; results verified against baseline</w:t>
            </w:r>
          </w:p>
        </w:tc>
      </w:tr>
      <w:tr>
        <w:tc>
          <w:tcPr/>
          <w:p>
            <w:pPr>
              <w:pStyle w:val="TableContents"/>
            </w:pPr>
            <w:r>
              <w:t>Environmental monitoring — air quality</w:t>
            </w:r>
          </w:p>
        </w:tc>
        <w:tc>
          <w:tcPr/>
          <w:p>
            <w:pPr>
              <w:pStyle w:val="TableContents"/>
            </w:pPr>
            <w:r>
              <w:rPr>
                <w:b/>
                <w:bCs/>
                <w:color w:val="0059D1"/>
              </w:rPr>
              <w:t>[INSERT: frequency per RTPR-HSE-PRO-0034/0035/0038]</w:t>
            </w:r>
          </w:p>
        </w:tc>
        <w:tc>
          <w:tcPr/>
          <w:p>
            <w:pPr>
              <w:pStyle w:val="TableContents"/>
            </w:pPr>
            <w:r>
              <w:t>HSESC Advisor</w:t>
            </w:r>
          </w:p>
        </w:tc>
        <w:tc>
          <w:tcPr/>
          <w:p>
            <w:pPr>
              <w:pStyle w:val="TableContents"/>
            </w:pPr>
            <w:r>
              <w:rPr>
                <w:b/>
                <w:bCs/>
                <w:color w:val="0059D1"/>
              </w:rPr>
              <w:t>[INSERT: record format and location]</w:t>
            </w:r>
          </w:p>
        </w:tc>
        <w:tc>
          <w:tcPr/>
          <w:p>
            <w:pPr>
              <w:pStyle w:val="TableContents"/>
            </w:pPr>
            <w:r>
              <w:rPr>
                <w:b/>
                <w:bCs/>
                <w:color w:val="0059D1"/>
              </w:rPr>
              <w:t>[INSERT: QA/QC method]</w:t>
            </w:r>
          </w:p>
        </w:tc>
      </w:tr>
      <w:tr>
        <w:tc>
          <w:tcPr/>
          <w:p>
            <w:pPr>
              <w:pStyle w:val="TableContents"/>
            </w:pPr>
            <w:r>
              <w:t>Environmental monitoring — soil</w:t>
            </w:r>
          </w:p>
        </w:tc>
        <w:tc>
          <w:tcPr/>
          <w:p>
            <w:pPr>
              <w:pStyle w:val="TableContents"/>
            </w:pPr>
            <w:r>
              <w:rPr>
                <w:b/>
                <w:bCs/>
                <w:color w:val="0059D1"/>
              </w:rPr>
              <w:t>[INSERT: frequency per RTPR-HSE-PRO-0034/0035/0038]</w:t>
            </w:r>
          </w:p>
        </w:tc>
        <w:tc>
          <w:tcPr/>
          <w:p>
            <w:pPr>
              <w:pStyle w:val="TableContents"/>
            </w:pPr>
            <w:r>
              <w:t>HSESC Advisor</w:t>
            </w:r>
          </w:p>
        </w:tc>
        <w:tc>
          <w:tcPr/>
          <w:p>
            <w:pPr>
              <w:pStyle w:val="TableContents"/>
            </w:pPr>
            <w:r>
              <w:rPr>
                <w:b/>
                <w:bCs/>
                <w:color w:val="0059D1"/>
              </w:rPr>
              <w:t>[INSERT: record format and location]</w:t>
            </w:r>
          </w:p>
        </w:tc>
        <w:tc>
          <w:tcPr/>
          <w:p>
            <w:pPr>
              <w:pStyle w:val="TableContents"/>
            </w:pPr>
            <w:r>
              <w:rPr>
                <w:b/>
                <w:bCs/>
                <w:color w:val="0059D1"/>
              </w:rPr>
              <w:t>[INSERT: QA/QC method]</w:t>
            </w:r>
          </w:p>
        </w:tc>
      </w:tr>
      <w:tr>
        <w:tc>
          <w:tcPr/>
          <w:p>
            <w:pPr>
              <w:pStyle w:val="TableContents"/>
            </w:pPr>
            <w:r>
              <w:t>Environmental monitoring — biodiversity</w:t>
            </w:r>
          </w:p>
        </w:tc>
        <w:tc>
          <w:tcPr/>
          <w:p>
            <w:pPr>
              <w:pStyle w:val="TableContents"/>
            </w:pPr>
            <w:r>
              <w:rPr>
                <w:b/>
                <w:bCs/>
                <w:color w:val="0059D1"/>
              </w:rPr>
              <w:t>[INSERT: frequency per RTPR-HSE-PRO-0034/0035/0038]</w:t>
            </w:r>
          </w:p>
        </w:tc>
        <w:tc>
          <w:tcPr/>
          <w:p>
            <w:pPr>
              <w:pStyle w:val="TableContents"/>
            </w:pPr>
            <w:r>
              <w:t>HSESC Advisor</w:t>
            </w:r>
          </w:p>
        </w:tc>
        <w:tc>
          <w:tcPr/>
          <w:p>
            <w:pPr>
              <w:pStyle w:val="TableContents"/>
            </w:pPr>
            <w:r>
              <w:rPr>
                <w:b/>
                <w:bCs/>
                <w:color w:val="0059D1"/>
              </w:rPr>
              <w:t>[INSERT: record format and location]</w:t>
            </w:r>
          </w:p>
        </w:tc>
        <w:tc>
          <w:tcPr/>
          <w:p>
            <w:pPr>
              <w:pStyle w:val="TableContents"/>
            </w:pPr>
            <w:r>
              <w:rPr>
                <w:b/>
                <w:bCs/>
                <w:color w:val="0059D1"/>
              </w:rPr>
              <w:t>[INSERT: QA/QC method]</w:t>
            </w:r>
          </w:p>
        </w:tc>
      </w:tr>
      <w:tr>
        <w:tc>
          <w:tcPr/>
          <w:p>
            <w:pPr>
              <w:pStyle w:val="TableContents"/>
            </w:pPr>
            <w:r>
              <w:t>CRM critical control verification</w:t>
            </w:r>
          </w:p>
        </w:tc>
        <w:tc>
          <w:tcPr/>
          <w:p>
            <w:pPr>
              <w:pStyle w:val="TableContents"/>
            </w:pPr>
            <w:r>
              <w:t>Monthly minimum; refer Section 5</w:t>
            </w:r>
          </w:p>
        </w:tc>
        <w:tc>
          <w:tcPr/>
          <w:p>
            <w:pPr>
              <w:pStyle w:val="TableContents"/>
            </w:pPr>
            <w:r>
              <w:t>HSESC Advisor</w:t>
            </w:r>
          </w:p>
        </w:tc>
        <w:tc>
          <w:tcPr/>
          <w:p>
            <w:pPr>
              <w:pStyle w:val="TableContents"/>
            </w:pPr>
            <w:r>
              <w:t>CRM verification register</w:t>
            </w:r>
          </w:p>
        </w:tc>
        <w:tc>
          <w:tcPr/>
          <w:p>
            <w:pPr>
              <w:pStyle w:val="TableContents"/>
            </w:pPr>
            <w:r>
              <w:t>HSESC Manager review</w:t>
            </w:r>
          </w:p>
        </w:tc>
      </w:tr>
      <w:tr>
        <w:tc>
          <w:tcPr/>
          <w:p>
            <w:pPr>
              <w:pStyle w:val="TableContents"/>
            </w:pPr>
            <w:r>
              <w:t>SMM maturity assessment</w:t>
            </w:r>
          </w:p>
        </w:tc>
        <w:tc>
          <w:tcPr/>
          <w:p>
            <w:pPr>
              <w:pStyle w:val="TableContents"/>
            </w:pPr>
            <w:r>
              <w:rPr>
                <w:b/>
                <w:bCs/>
                <w:color w:val="0059D1"/>
              </w:rPr>
              <w:t>[INSERT: frequency, suggested annually]</w:t>
            </w:r>
          </w:p>
        </w:tc>
        <w:tc>
          <w:tcPr/>
          <w:p>
            <w:pPr>
              <w:pStyle w:val="TableContents"/>
            </w:pPr>
            <w:r>
              <w:t>HSESC Manager</w:t>
            </w:r>
          </w:p>
        </w:tc>
        <w:tc>
          <w:tcPr/>
          <w:p>
            <w:pPr>
              <w:pStyle w:val="TableContents"/>
            </w:pPr>
            <w:r>
              <w:rPr>
                <w:b/>
                <w:bCs/>
                <w:color w:val="0059D1"/>
              </w:rPr>
              <w:t>[INSERT: record format and location]</w:t>
            </w:r>
          </w:p>
        </w:tc>
        <w:tc>
          <w:tcPr/>
          <w:p>
            <w:pPr>
              <w:pStyle w:val="TableContents"/>
            </w:pPr>
            <w:r>
              <w:t>Facilitated assessment with documented output</w:t>
            </w:r>
          </w:p>
        </w:tc>
      </w:tr>
      <w:tr>
        <w:tc>
          <w:tcPr/>
          <w:p>
            <w:pPr>
              <w:pStyle w:val="TableContents"/>
            </w:pPr>
            <w:r>
              <w:t>Social and community performance</w:t>
            </w:r>
          </w:p>
        </w:tc>
        <w:tc>
          <w:tcPr/>
          <w:p>
            <w:pPr>
              <w:pStyle w:val="TableContents"/>
            </w:pPr>
            <w:r>
              <w:t>Monthly</w:t>
            </w:r>
          </w:p>
        </w:tc>
        <w:tc>
          <w:tcPr/>
          <w:p>
            <w:pPr>
              <w:pStyle w:val="TableContents"/>
            </w:pPr>
            <w:r>
              <w:t>HSESC Advisor</w:t>
            </w:r>
          </w:p>
        </w:tc>
        <w:tc>
          <w:tcPr/>
          <w:p>
            <w:pPr>
              <w:pStyle w:val="TableContents"/>
            </w:pPr>
            <w:r>
              <w:rPr>
                <w:b/>
                <w:bCs/>
                <w:color w:val="0059D1"/>
              </w:rPr>
              <w:t>[INSERT: community performance register]</w:t>
            </w:r>
          </w:p>
        </w:tc>
        <w:tc>
          <w:tcPr/>
          <w:p>
            <w:pPr>
              <w:pStyle w:val="TableContents"/>
            </w:pPr>
            <w:r>
              <w:rPr>
                <w:b/>
                <w:bCs/>
                <w:color w:val="0059D1"/>
              </w:rPr>
              <w:t>[INSERT: QA/QC method]</w:t>
            </w:r>
          </w:p>
        </w:tc>
      </w:tr>
      <w:tr>
        <w:tc>
          <w:tcPr/>
          <w:p>
            <w:pPr>
              <w:pStyle w:val="TableContents"/>
            </w:pPr>
            <w:r>
              <w:rPr>
                <w:b/>
                <w:bCs/>
                <w:color w:val="0059D1"/>
              </w:rPr>
              <w:t>[INSERT: monitoring type]</w:t>
            </w:r>
          </w:p>
        </w:tc>
        <w:tc>
          <w:tcPr/>
          <w:p>
            <w:pPr>
              <w:pStyle w:val="TableContents"/>
            </w:pPr>
            <w:r>
              <w:rPr>
                <w:b/>
                <w:bCs/>
                <w:color w:val="0059D1"/>
              </w:rPr>
              <w:t>[INSERT: frequency]</w:t>
            </w:r>
          </w:p>
        </w:tc>
        <w:tc>
          <w:tcPr/>
          <w:p>
            <w:pPr>
              <w:pStyle w:val="TableContents"/>
            </w:pPr>
            <w:r>
              <w:rPr>
                <w:b/>
                <w:bCs/>
                <w:color w:val="0059D1"/>
              </w:rPr>
              <w:t>[INSERT: role]</w:t>
            </w:r>
          </w:p>
        </w:tc>
        <w:tc>
          <w:tcPr/>
          <w:p>
            <w:pPr>
              <w:pStyle w:val="TableContents"/>
            </w:pPr>
            <w:r>
              <w:rPr>
                <w:b/>
                <w:bCs/>
                <w:color w:val="0059D1"/>
              </w:rPr>
              <w:t>[INSERT: record format]</w:t>
            </w:r>
          </w:p>
        </w:tc>
        <w:tc>
          <w:tcPr/>
          <w:p>
            <w:pPr>
              <w:pStyle w:val="TableContents"/>
            </w:pPr>
            <w:r>
              <w:rPr>
                <w:b/>
                <w:bCs/>
                <w:color w:val="0059D1"/>
              </w:rPr>
              <w:t>[INSERT: QA/QC method]</w:t>
            </w:r>
          </w:p>
        </w:tc>
      </w:tr>
    </w:tbl>
    <w:p>
      <w:pPr>
        <w:pStyle w:val="Default"/>
      </w:pPr>
    </w:p>
    <w:p>
      <w:pPr>
        <w:pStyle w:val="NormalNumberedtext"/>
      </w:pPr>
      <w:r>
        <w:t>Monitoring data is analysed and interpreted at least annually, or at a frequency suited to operational needs and regulatory requirements, whichever is more frequent. The HSESC Advisor documents analysis outcomes and presents findings at the relevant project review meeting.</w:t>
      </w:r>
    </w:p>
    <w:p>
      <w:pPr>
        <w:pStyle w:val="NormalNumberedtext"/>
      </w:pPr>
      <w:r>
        <w:t>Environmental monitoring uses methods consistent with nationally or internationally recognised analytical and sampling standards, consistent with IFC EHS General Guidelines §2.9. Data quality is verified through QA/QC processes defined in the monitoring programme schedule, including sample chain-of-custody documentation, accredited laboratory use, and results verification against project baseline data.</w:t>
      </w:r>
    </w:p>
    <w:p>
      <w:pPr>
        <w:pStyle w:val="Heading2Numbered"/>
      </w:pPr>
      <w:r>
        <w:t>5.3  Safety and Health Targets</w:t>
      </w:r>
    </w:p>
    <w:p>
      <w:pPr>
        <w:pStyle w:val="NormalNumberedtext"/>
      </w:pPr>
      <w:r>
        <w:t>This section defines the requirement to set and monitor measurable safety and health targets and report performance against them.</w:t>
      </w:r>
    </w:p>
    <w:p>
      <w:pPr>
        <w:pStyle w:val="NormalNumberedtext"/>
      </w:pPr>
      <w:r>
        <w:t>The project sets and monitors measurable safety and health targets, consistent with TSM Safe, Healthy and Respectful Workplaces Protocol Indicator SH2. Performance against targets is reported as part of the monthly and annual HSESC performance reporting cycle defined in Section 6.</w:t>
      </w:r>
    </w:p>
    <w:p>
      <w:pPr>
        <w:pStyle w:val="NormalNumberedtext"/>
      </w:pPr>
      <w:r>
        <w:t xml:space="preserve">HSESC metrics including objectives, targets, and KPIs are proposed by the Contractor and agreed with the Company before the execution phase commences. Agreed metrics are reported at agreed intervals. Proposed metrics are submitted to the HSESC Manager for review and approval no later than </w:t>
      </w:r>
    </w:p>
    <w:p>
      <w:pPr>
        <w:pStyle w:val="NormalNumberedtext"/>
      </w:pPr>
      <w:r>
        <w:rPr>
          <w:b/>
          <w:bCs/>
          <w:color w:val="0059D1"/>
        </w:rPr>
        <w:t>[INSERT: metrics_submission_deadline] — Enter the deadline for contractor metric submission, e.g. 30 days before execution phase commencement</w:t>
      </w:r>
    </w:p>
    <w:p>
      <w:pPr>
        <w:pStyle w:val="NormalNumberedtext"/>
      </w:pPr>
      <w:r>
        <w:t>The following safety and health targets apply as a minimum to this project:</w:t>
      </w:r>
    </w:p>
    <w:p>
      <w:pPr>
        <w:pStyle w:val="NormalNumberedtext"/>
      </w:pPr>
      <w:r>
        <w:t>Table 3: Project Safety and Health Targets</w:t>
      </w:r>
    </w:p>
    <w:tbl>
      <w:tblPr>
        <w:tblStyle w:val="TableOption2"/>
        <w:tblW w:type="pct" w:w="5000"/>
      </w:tblPr>
      <w:tr>
        <w:trPr>
          <w:tblHeader/>
        </w:trPr>
        <w:tc>
          <w:tcPr>
            <w:shd w:val="clear" w:color="auto" w:fill="1F3864"/>
          </w:tcPr>
          <w:p>
            <w:pPr>
              <w:pStyle w:val="TableContents"/>
            </w:pPr>
            <w:r>
              <w:rPr>
                <w:b/>
                <w:bCs/>
                <w:color w:val="FFFFFF"/>
              </w:rPr>
              <w:t>Indicator</w:t>
            </w:r>
          </w:p>
        </w:tc>
        <w:tc>
          <w:tcPr>
            <w:shd w:val="clear" w:color="auto" w:fill="1F3864"/>
          </w:tcPr>
          <w:p>
            <w:pPr>
              <w:pStyle w:val="TableContents"/>
            </w:pPr>
            <w:r>
              <w:rPr>
                <w:b/>
                <w:bCs/>
                <w:color w:val="FFFFFF"/>
              </w:rPr>
              <w:t>Target</w:t>
            </w:r>
          </w:p>
        </w:tc>
        <w:tc>
          <w:tcPr>
            <w:shd w:val="clear" w:color="auto" w:fill="1F3864"/>
          </w:tcPr>
          <w:p>
            <w:pPr>
              <w:pStyle w:val="TableContents"/>
            </w:pPr>
            <w:r>
              <w:rPr>
                <w:b/>
                <w:bCs/>
                <w:color w:val="FFFFFF"/>
              </w:rPr>
              <w:t>Reporting Frequency</w:t>
            </w:r>
          </w:p>
        </w:tc>
        <w:tc>
          <w:tcPr>
            <w:shd w:val="clear" w:color="auto" w:fill="1F3864"/>
          </w:tcPr>
          <w:p>
            <w:pPr>
              <w:pStyle w:val="TableContents"/>
            </w:pPr>
            <w:r>
              <w:rPr>
                <w:b/>
                <w:bCs/>
                <w:color w:val="FFFFFF"/>
              </w:rPr>
              <w:t>Responsible Role</w:t>
            </w:r>
          </w:p>
        </w:tc>
      </w:tr>
      <w:tr>
        <w:tc>
          <w:tcPr/>
          <w:p>
            <w:pPr>
              <w:pStyle w:val="TableContents"/>
            </w:pPr>
            <w:r>
              <w:t>Total Recordable Injury Frequency (TRIF)</w:t>
            </w:r>
          </w:p>
        </w:tc>
        <w:tc>
          <w:tcPr/>
          <w:p>
            <w:pPr>
              <w:pStyle w:val="TableContents"/>
            </w:pPr>
            <w:r>
              <w:rPr>
                <w:b/>
                <w:bCs/>
                <w:color w:val="0059D1"/>
              </w:rPr>
              <w:t>[INSERT: target value]</w:t>
            </w:r>
          </w:p>
        </w:tc>
        <w:tc>
          <w:tcPr/>
          <w:p>
            <w:pPr>
              <w:pStyle w:val="TableContents"/>
            </w:pPr>
            <w:r>
              <w:t>Monthly</w:t>
            </w:r>
          </w:p>
        </w:tc>
        <w:tc>
          <w:tcPr/>
          <w:p>
            <w:pPr>
              <w:pStyle w:val="TableContents"/>
            </w:pPr>
            <w:r>
              <w:t>HSESC Advisor</w:t>
            </w:r>
          </w:p>
        </w:tc>
      </w:tr>
      <w:tr>
        <w:tc>
          <w:tcPr/>
          <w:p>
            <w:pPr>
              <w:pStyle w:val="TableContents"/>
            </w:pPr>
            <w:r>
              <w:t>Lost Time Injury Frequency (LTIF)</w:t>
            </w:r>
          </w:p>
        </w:tc>
        <w:tc>
          <w:tcPr/>
          <w:p>
            <w:pPr>
              <w:pStyle w:val="TableContents"/>
            </w:pPr>
            <w:r>
              <w:rPr>
                <w:b/>
                <w:bCs/>
                <w:color w:val="0059D1"/>
              </w:rPr>
              <w:t>[INSERT: target value]</w:t>
            </w:r>
          </w:p>
        </w:tc>
        <w:tc>
          <w:tcPr/>
          <w:p>
            <w:pPr>
              <w:pStyle w:val="TableContents"/>
            </w:pPr>
            <w:r>
              <w:t>Monthly</w:t>
            </w:r>
          </w:p>
        </w:tc>
        <w:tc>
          <w:tcPr/>
          <w:p>
            <w:pPr>
              <w:pStyle w:val="TableContents"/>
            </w:pPr>
            <w:r>
              <w:t>HSESC Advisor</w:t>
            </w:r>
          </w:p>
        </w:tc>
      </w:tr>
      <w:tr>
        <w:tc>
          <w:tcPr/>
          <w:p>
            <w:pPr>
              <w:pStyle w:val="TableContents"/>
            </w:pPr>
            <w:r>
              <w:t>High-Potential Incident Frequency (HiPo)</w:t>
            </w:r>
          </w:p>
        </w:tc>
        <w:tc>
          <w:tcPr/>
          <w:p>
            <w:pPr>
              <w:pStyle w:val="TableContents"/>
            </w:pPr>
            <w:r>
              <w:rPr>
                <w:b/>
                <w:bCs/>
                <w:color w:val="0059D1"/>
              </w:rPr>
              <w:t>[INSERT: target value]</w:t>
            </w:r>
          </w:p>
        </w:tc>
        <w:tc>
          <w:tcPr/>
          <w:p>
            <w:pPr>
              <w:pStyle w:val="TableContents"/>
            </w:pPr>
            <w:r>
              <w:t>Monthly</w:t>
            </w:r>
          </w:p>
        </w:tc>
        <w:tc>
          <w:tcPr/>
          <w:p>
            <w:pPr>
              <w:pStyle w:val="TableContents"/>
            </w:pPr>
            <w:r>
              <w:t>HSESC Advisor</w:t>
            </w:r>
          </w:p>
        </w:tc>
      </w:tr>
      <w:tr>
        <w:tc>
          <w:tcPr/>
          <w:p>
            <w:pPr>
              <w:pStyle w:val="TableContents"/>
            </w:pPr>
            <w:r>
              <w:t>Critical Control Field Verification completion rate</w:t>
            </w:r>
          </w:p>
        </w:tc>
        <w:tc>
          <w:tcPr/>
          <w:p>
            <w:pPr>
              <w:pStyle w:val="TableContents"/>
            </w:pPr>
            <w:r>
              <w:rPr>
                <w:b/>
                <w:bCs/>
                <w:color w:val="0059D1"/>
              </w:rPr>
              <w:t>[INSERT: target %, suggested 95%]</w:t>
            </w:r>
          </w:p>
        </w:tc>
        <w:tc>
          <w:tcPr/>
          <w:p>
            <w:pPr>
              <w:pStyle w:val="TableContents"/>
            </w:pPr>
            <w:r>
              <w:t>Monthly</w:t>
            </w:r>
          </w:p>
        </w:tc>
        <w:tc>
          <w:tcPr/>
          <w:p>
            <w:pPr>
              <w:pStyle w:val="TableContents"/>
            </w:pPr>
            <w:r>
              <w:t>HSESC Advisor</w:t>
            </w:r>
          </w:p>
        </w:tc>
      </w:tr>
      <w:tr>
        <w:tc>
          <w:tcPr/>
          <w:p>
            <w:pPr>
              <w:pStyle w:val="TableContents"/>
            </w:pPr>
            <w:r>
              <w:t>Inspection programme completion rate</w:t>
            </w:r>
          </w:p>
        </w:tc>
        <w:tc>
          <w:tcPr/>
          <w:p>
            <w:pPr>
              <w:pStyle w:val="TableContents"/>
            </w:pPr>
            <w:r>
              <w:rPr>
                <w:b/>
                <w:bCs/>
                <w:color w:val="0059D1"/>
              </w:rPr>
              <w:t>[INSERT: target %, suggested 95%]</w:t>
            </w:r>
          </w:p>
        </w:tc>
        <w:tc>
          <w:tcPr/>
          <w:p>
            <w:pPr>
              <w:pStyle w:val="TableContents"/>
            </w:pPr>
            <w:r>
              <w:t>Monthly</w:t>
            </w:r>
          </w:p>
        </w:tc>
        <w:tc>
          <w:tcPr/>
          <w:p>
            <w:pPr>
              <w:pStyle w:val="TableContents"/>
            </w:pPr>
            <w:r>
              <w:t>HSESC Advisor</w:t>
            </w:r>
          </w:p>
        </w:tc>
      </w:tr>
      <w:tr>
        <w:tc>
          <w:tcPr/>
          <w:p>
            <w:pPr>
              <w:pStyle w:val="TableContents"/>
            </w:pPr>
            <w:r>
              <w:rPr>
                <w:b/>
                <w:bCs/>
                <w:color w:val="0059D1"/>
              </w:rPr>
              <w:t>[INSERT: indicator]</w:t>
            </w:r>
          </w:p>
        </w:tc>
        <w:tc>
          <w:tcPr/>
          <w:p>
            <w:pPr>
              <w:pStyle w:val="TableContents"/>
            </w:pPr>
            <w:r>
              <w:rPr>
                <w:b/>
                <w:bCs/>
                <w:color w:val="0059D1"/>
              </w:rPr>
              <w:t>[INSERT: target]</w:t>
            </w:r>
          </w:p>
        </w:tc>
        <w:tc>
          <w:tcPr/>
          <w:p>
            <w:pPr>
              <w:pStyle w:val="TableContents"/>
            </w:pPr>
            <w:r>
              <w:rPr>
                <w:b/>
                <w:bCs/>
                <w:color w:val="0059D1"/>
              </w:rPr>
              <w:t>[INSERT: frequency]</w:t>
            </w:r>
          </w:p>
        </w:tc>
        <w:tc>
          <w:tcPr/>
          <w:p>
            <w:pPr>
              <w:pStyle w:val="TableContents"/>
            </w:pPr>
            <w:r>
              <w:rPr>
                <w:b/>
                <w:bCs/>
                <w:color w:val="0059D1"/>
              </w:rPr>
              <w:t>[INSERT: role]</w:t>
            </w:r>
          </w:p>
        </w:tc>
      </w:tr>
    </w:tbl>
    <w:p>
      <w:pPr>
        <w:pStyle w:val="Default"/>
      </w:pPr>
    </w:p>
    <w:p>
      <w:pPr>
        <w:pStyle w:val="Heading1Numbered"/>
      </w:pPr>
      <w:r>
        <w:t>6  Inspection Programme</w:t>
      </w:r>
    </w:p>
    <w:p>
      <w:pPr>
        <w:pStyle w:val="NormalNumberedtext"/>
      </w:pPr>
      <w:r>
        <w:t>This section defines the planned HSESC inspection programme, inspection types, frequencies, inspector competency requirements, documentation requirements, and obligations for accommodating Company audits.</w:t>
      </w:r>
    </w:p>
    <w:p>
      <w:pPr>
        <w:pStyle w:val="Heading2Numbered"/>
      </w:pPr>
      <w:r>
        <w:t>6.1  Planned Inspection Types and Frequencies</w:t>
      </w:r>
    </w:p>
    <w:p>
      <w:pPr>
        <w:pStyle w:val="NormalNumberedtext"/>
      </w:pPr>
      <w:r>
        <w:t>This section defines each planned inspection type, the required frequency, and the competency required of the person conducting it.</w:t>
      </w:r>
    </w:p>
    <w:p>
      <w:pPr>
        <w:pStyle w:val="NormalNumberedtext"/>
      </w:pPr>
      <w:r>
        <w:t>The HSESC Advisor maintains a planned inspection programme covering all inspection types listed below, consistent with APPC Appendix C, C-1 §40 requirements. The inspection programme is recorded in the project HSESC monitoring programme schedule at Appendix A.</w:t>
      </w:r>
    </w:p>
    <w:p>
      <w:pPr>
        <w:pStyle w:val="NormalNumberedtext"/>
      </w:pPr>
      <w:r>
        <w:t>Table 4: Planned Inspection Programme</w:t>
      </w:r>
    </w:p>
    <w:tbl>
      <w:tblPr>
        <w:tblStyle w:val="TableOption2"/>
        <w:tblW w:type="pct" w:w="5000"/>
      </w:tblPr>
      <w:tr>
        <w:trPr>
          <w:tblHeader/>
        </w:trPr>
        <w:tc>
          <w:tcPr>
            <w:shd w:val="clear" w:color="auto" w:fill="1F3864"/>
          </w:tcPr>
          <w:p>
            <w:pPr>
              <w:pStyle w:val="TableContents"/>
            </w:pPr>
            <w:r>
              <w:rPr>
                <w:b/>
                <w:bCs/>
                <w:color w:val="FFFFFF"/>
              </w:rPr>
              <w:t>Inspection Type</w:t>
            </w:r>
          </w:p>
        </w:tc>
        <w:tc>
          <w:tcPr>
            <w:shd w:val="clear" w:color="auto" w:fill="1F3864"/>
          </w:tcPr>
          <w:p>
            <w:pPr>
              <w:pStyle w:val="TableContents"/>
            </w:pPr>
            <w:r>
              <w:rPr>
                <w:b/>
                <w:bCs/>
                <w:color w:val="FFFFFF"/>
              </w:rPr>
              <w:t>Minimum Frequency</w:t>
            </w:r>
          </w:p>
        </w:tc>
        <w:tc>
          <w:tcPr>
            <w:shd w:val="clear" w:color="auto" w:fill="1F3864"/>
          </w:tcPr>
          <w:p>
            <w:pPr>
              <w:pStyle w:val="TableContents"/>
            </w:pPr>
            <w:r>
              <w:rPr>
                <w:b/>
                <w:bCs/>
                <w:color w:val="FFFFFF"/>
              </w:rPr>
              <w:t>Required Inspector Competency</w:t>
            </w:r>
          </w:p>
        </w:tc>
        <w:tc>
          <w:tcPr>
            <w:shd w:val="clear" w:color="auto" w:fill="1F3864"/>
          </w:tcPr>
          <w:p>
            <w:pPr>
              <w:pStyle w:val="TableContents"/>
            </w:pPr>
            <w:r>
              <w:rPr>
                <w:b/>
                <w:bCs/>
                <w:color w:val="FFFFFF"/>
              </w:rPr>
              <w:t>Documentation Requirement</w:t>
            </w:r>
          </w:p>
        </w:tc>
      </w:tr>
      <w:tr>
        <w:tc>
          <w:tcPr/>
          <w:p>
            <w:pPr>
              <w:pStyle w:val="TableContents"/>
            </w:pPr>
            <w:r>
              <w:t>General site HSESC inspection</w:t>
            </w:r>
          </w:p>
        </w:tc>
        <w:tc>
          <w:tcPr/>
          <w:p>
            <w:pPr>
              <w:pStyle w:val="TableContents"/>
            </w:pPr>
            <w:r>
              <w:t>Weekly</w:t>
            </w:r>
          </w:p>
        </w:tc>
        <w:tc>
          <w:tcPr/>
          <w:p>
            <w:pPr>
              <w:pStyle w:val="TableContents"/>
            </w:pPr>
            <w:r>
              <w:t>HSESC Advisor or delegated HSESC Representative</w:t>
            </w:r>
          </w:p>
        </w:tc>
        <w:tc>
          <w:tcPr/>
          <w:p>
            <w:pPr>
              <w:pStyle w:val="TableContents"/>
            </w:pPr>
            <w:r>
              <w:t>Completed inspection checklist recorded in project action tracking system</w:t>
            </w:r>
          </w:p>
        </w:tc>
      </w:tr>
      <w:tr>
        <w:tc>
          <w:tcPr/>
          <w:p>
            <w:pPr>
              <w:pStyle w:val="TableContents"/>
            </w:pPr>
            <w:r>
              <w:t>Equipment inspection — safety-critical equipment</w:t>
            </w:r>
          </w:p>
        </w:tc>
        <w:tc>
          <w:tcPr/>
          <w:p>
            <w:pPr>
              <w:pStyle w:val="TableContents"/>
            </w:pPr>
            <w:r>
              <w:rPr>
                <w:b/>
                <w:bCs/>
                <w:color w:val="0059D1"/>
              </w:rPr>
              <w:t>[INSERT: frequency, suggested per manufacturer recommendation or monthly minimum]</w:t>
            </w:r>
          </w:p>
        </w:tc>
        <w:tc>
          <w:tcPr/>
          <w:p>
            <w:pPr>
              <w:pStyle w:val="TableContents"/>
            </w:pPr>
            <w:r>
              <w:t>Competent person as defined in the relevant equipment standard</w:t>
            </w:r>
          </w:p>
        </w:tc>
        <w:tc>
          <w:tcPr/>
          <w:p>
            <w:pPr>
              <w:pStyle w:val="TableContents"/>
            </w:pPr>
            <w:r>
              <w:t>Completed inspection record stored in equipment register</w:t>
            </w:r>
          </w:p>
        </w:tc>
      </w:tr>
      <w:tr>
        <w:tc>
          <w:tcPr/>
          <w:p>
            <w:pPr>
              <w:pStyle w:val="TableContents"/>
            </w:pPr>
            <w:r>
              <w:t>CRM Critical Control Field Verification (CCFV)</w:t>
            </w:r>
          </w:p>
        </w:tc>
        <w:tc>
          <w:tcPr/>
          <w:p>
            <w:pPr>
              <w:pStyle w:val="TableContents"/>
            </w:pPr>
            <w:r>
              <w:t>Refer Section 4.2</w:t>
            </w:r>
          </w:p>
        </w:tc>
        <w:tc>
          <w:tcPr/>
          <w:p>
            <w:pPr>
              <w:pStyle w:val="TableContents"/>
            </w:pPr>
            <w:r>
              <w:t>HSESC Advisor or HSESC Manager</w:t>
            </w:r>
          </w:p>
        </w:tc>
        <w:tc>
          <w:tcPr/>
          <w:p>
            <w:pPr>
              <w:pStyle w:val="TableContents"/>
            </w:pPr>
            <w:r>
              <w:t>CCFV record in CRM verification register</w:t>
            </w:r>
          </w:p>
        </w:tc>
      </w:tr>
      <w:tr>
        <w:tc>
          <w:tcPr/>
          <w:p>
            <w:pPr>
              <w:pStyle w:val="TableContents"/>
            </w:pPr>
            <w:r>
              <w:t>PTW system compliance check</w:t>
            </w:r>
          </w:p>
        </w:tc>
        <w:tc>
          <w:tcPr/>
          <w:p>
            <w:pPr>
              <w:pStyle w:val="TableContents"/>
            </w:pPr>
            <w:r>
              <w:rPr>
                <w:b/>
                <w:bCs/>
                <w:color w:val="0059D1"/>
              </w:rPr>
              <w:t>[INSERT: frequency, suggested weekly]</w:t>
            </w:r>
          </w:p>
        </w:tc>
        <w:tc>
          <w:tcPr/>
          <w:p>
            <w:pPr>
              <w:pStyle w:val="TableContents"/>
            </w:pPr>
            <w:r>
              <w:t>HSESC Advisor</w:t>
            </w:r>
          </w:p>
        </w:tc>
        <w:tc>
          <w:tcPr/>
          <w:p>
            <w:pPr>
              <w:pStyle w:val="TableContents"/>
            </w:pPr>
            <w:r>
              <w:t>Completed PTW compliance check record in project action tracking system</w:t>
            </w:r>
          </w:p>
        </w:tc>
      </w:tr>
      <w:tr>
        <w:tc>
          <w:tcPr/>
          <w:p>
            <w:pPr>
              <w:pStyle w:val="TableContents"/>
            </w:pPr>
            <w:r>
              <w:t>Process safety proof test</w:t>
            </w:r>
          </w:p>
        </w:tc>
        <w:tc>
          <w:tcPr/>
          <w:p>
            <w:pPr>
              <w:pStyle w:val="TableContents"/>
            </w:pPr>
            <w:r>
              <w:rPr>
                <w:b/>
                <w:bCs/>
                <w:color w:val="0059D1"/>
              </w:rPr>
              <w:t>[INSERT: frequency per engineering basis of design]</w:t>
            </w:r>
          </w:p>
        </w:tc>
        <w:tc>
          <w:tcPr/>
          <w:p>
            <w:pPr>
              <w:pStyle w:val="TableContents"/>
            </w:pPr>
            <w:r>
              <w:rPr>
                <w:b/>
                <w:bCs/>
                <w:color w:val="0059D1"/>
              </w:rPr>
              <w:t>[INSERT: qualified engineer or competent person as defined by discipline]</w:t>
            </w:r>
          </w:p>
        </w:tc>
        <w:tc>
          <w:tcPr/>
          <w:p>
            <w:pPr>
              <w:pStyle w:val="TableContents"/>
            </w:pPr>
            <w:r>
              <w:t>Completed proof test record stored in process safety register</w:t>
            </w:r>
          </w:p>
        </w:tc>
      </w:tr>
      <w:tr>
        <w:tc>
          <w:tcPr/>
          <w:p>
            <w:pPr>
              <w:pStyle w:val="TableContents"/>
            </w:pPr>
            <w:r>
              <w:rPr>
                <w:b/>
                <w:bCs/>
                <w:color w:val="0059D1"/>
              </w:rPr>
              <w:t>[INSERT: inspection type]</w:t>
            </w:r>
          </w:p>
        </w:tc>
        <w:tc>
          <w:tcPr/>
          <w:p>
            <w:pPr>
              <w:pStyle w:val="TableContents"/>
            </w:pPr>
            <w:r>
              <w:rPr>
                <w:b/>
                <w:bCs/>
                <w:color w:val="0059D1"/>
              </w:rPr>
              <w:t>[INSERT: frequency]</w:t>
            </w:r>
          </w:p>
        </w:tc>
        <w:tc>
          <w:tcPr/>
          <w:p>
            <w:pPr>
              <w:pStyle w:val="TableContents"/>
            </w:pPr>
            <w:r>
              <w:rPr>
                <w:b/>
                <w:bCs/>
                <w:color w:val="0059D1"/>
              </w:rPr>
              <w:t>[INSERT: competency]</w:t>
            </w:r>
          </w:p>
        </w:tc>
        <w:tc>
          <w:tcPr/>
          <w:p>
            <w:pPr>
              <w:pStyle w:val="TableContents"/>
            </w:pPr>
            <w:r>
              <w:rPr>
                <w:b/>
                <w:bCs/>
                <w:color w:val="0059D1"/>
              </w:rPr>
              <w:t>[INSERT: documentation requirement]</w:t>
            </w:r>
          </w:p>
        </w:tc>
      </w:tr>
    </w:tbl>
    <w:p>
      <w:pPr>
        <w:pStyle w:val="Default"/>
      </w:pPr>
    </w:p>
    <w:p>
      <w:pPr>
        <w:pStyle w:val="NormalNumberedtext"/>
      </w:pPr>
      <w:r>
        <w:t xml:space="preserve">The Works Supervisor conducts regular workplace inspections to identify new or recurring hazards. Inspection findings are documented in the project action tracking system, </w:t>
      </w:r>
    </w:p>
    <w:p>
      <w:pPr>
        <w:pStyle w:val="NormalNumberedtext"/>
      </w:pPr>
      <w:r>
        <w:rPr>
          <w:b/>
          <w:bCs/>
          <w:color w:val="0059D1"/>
        </w:rPr>
        <w:t>[INSERT: action_tracking_system_name] — Enter the name and reference of the project action tracking system</w:t>
      </w:r>
    </w:p>
    <w:p>
      <w:pPr>
        <w:pStyle w:val="NormalNumberedtext"/>
      </w:pPr>
      <w:r>
        <w:t>, with assigned corrective actions, responsible roles, and due dates recorded at the time of inspection. All corrective actions arising from inspection findings are implemented within a mutually agreed timeframe and tracked to closure.</w:t>
      </w:r>
    </w:p>
    <w:p>
      <w:pPr>
        <w:pStyle w:val="Heading2Numbered"/>
      </w:pPr>
      <w:r>
        <w:t>6.2  Critical Control Field Verifications</w:t>
      </w:r>
    </w:p>
    <w:p>
      <w:pPr>
        <w:pStyle w:val="NormalNumberedtext"/>
      </w:pPr>
      <w:r>
        <w:t>This section defines CCFV requirements, the verification schedule, target completion rates, and reporting format to the project owner.</w:t>
      </w:r>
    </w:p>
    <w:p>
      <w:pPr>
        <w:pStyle w:val="NormalNumberedtext"/>
      </w:pPr>
      <w:r>
        <w:t>The HSESC Advisor maintains the project CRM verification schedule, which defines the frequency of CCFVs by critical risk, the target CCFV completion rate, and the reporting format to the project owner. The CRM verification schedule is developed from the critical risk register maintained under RTPR-HSE-PRO-0002.</w:t>
      </w:r>
    </w:p>
    <w:p>
      <w:pPr>
        <w:pStyle w:val="NormalNumberedtext"/>
      </w:pPr>
      <w:r>
        <w:t>Table 5: CRM Verification Schedule</w:t>
      </w:r>
    </w:p>
    <w:tbl>
      <w:tblPr>
        <w:tblStyle w:val="TableOption2"/>
        <w:tblW w:type="pct" w:w="5000"/>
      </w:tblPr>
      <w:tr>
        <w:trPr>
          <w:tblHeader/>
        </w:trPr>
        <w:tc>
          <w:tcPr>
            <w:shd w:val="clear" w:color="auto" w:fill="1F3864"/>
          </w:tcPr>
          <w:p>
            <w:pPr>
              <w:pStyle w:val="TableContents"/>
            </w:pPr>
            <w:r>
              <w:rPr>
                <w:b/>
                <w:bCs/>
                <w:color w:val="FFFFFF"/>
              </w:rPr>
              <w:t>Critical Risk</w:t>
            </w:r>
          </w:p>
        </w:tc>
        <w:tc>
          <w:tcPr>
            <w:shd w:val="clear" w:color="auto" w:fill="1F3864"/>
          </w:tcPr>
          <w:p>
            <w:pPr>
              <w:pStyle w:val="TableContents"/>
            </w:pPr>
            <w:r>
              <w:rPr>
                <w:b/>
                <w:bCs/>
                <w:color w:val="FFFFFF"/>
              </w:rPr>
              <w:t>CCFV Frequency</w:t>
            </w:r>
          </w:p>
        </w:tc>
        <w:tc>
          <w:tcPr>
            <w:shd w:val="clear" w:color="auto" w:fill="1F3864"/>
          </w:tcPr>
          <w:p>
            <w:pPr>
              <w:pStyle w:val="TableContents"/>
            </w:pPr>
            <w:r>
              <w:rPr>
                <w:b/>
                <w:bCs/>
                <w:color w:val="FFFFFF"/>
              </w:rPr>
              <w:t>Target Completion Rate</w:t>
            </w:r>
          </w:p>
        </w:tc>
        <w:tc>
          <w:tcPr>
            <w:shd w:val="clear" w:color="auto" w:fill="1F3864"/>
          </w:tcPr>
          <w:p>
            <w:pPr>
              <w:pStyle w:val="TableContents"/>
            </w:pPr>
            <w:r>
              <w:rPr>
                <w:b/>
                <w:bCs/>
                <w:color w:val="FFFFFF"/>
              </w:rPr>
              <w:t>Responsible Role</w:t>
            </w:r>
          </w:p>
        </w:tc>
        <w:tc>
          <w:tcPr>
            <w:shd w:val="clear" w:color="auto" w:fill="1F3864"/>
          </w:tcPr>
          <w:p>
            <w:pPr>
              <w:pStyle w:val="TableContents"/>
            </w:pPr>
            <w:r>
              <w:rPr>
                <w:b/>
                <w:bCs/>
                <w:color w:val="FFFFFF"/>
              </w:rPr>
              <w:t>Reporting Format</w:t>
            </w:r>
          </w:p>
        </w:tc>
      </w:tr>
      <w:tr>
        <w:tc>
          <w:tcPr/>
          <w:p>
            <w:pPr>
              <w:pStyle w:val="TableContents"/>
            </w:pPr>
            <w:r>
              <w:rPr>
                <w:b/>
                <w:bCs/>
                <w:color w:val="0059D1"/>
              </w:rPr>
              <w:t>[INSERT: critical risk 1, e.g. Working at Height]</w:t>
            </w:r>
          </w:p>
        </w:tc>
        <w:tc>
          <w:tcPr/>
          <w:p>
            <w:pPr>
              <w:pStyle w:val="TableContents"/>
            </w:pPr>
            <w:r>
              <w:rPr>
                <w:b/>
                <w:bCs/>
                <w:color w:val="0059D1"/>
              </w:rPr>
              <w:t>[INSERT: frequency, suggested monthly]</w:t>
            </w:r>
          </w:p>
        </w:tc>
        <w:tc>
          <w:tcPr/>
          <w:p>
            <w:pPr>
              <w:pStyle w:val="TableContents"/>
            </w:pPr>
            <w:r>
              <w:rPr>
                <w:b/>
                <w:bCs/>
                <w:color w:val="0059D1"/>
              </w:rPr>
              <w:t>[INSERT: target %, suggested 95%]</w:t>
            </w:r>
          </w:p>
        </w:tc>
        <w:tc>
          <w:tcPr/>
          <w:p>
            <w:pPr>
              <w:pStyle w:val="TableContents"/>
            </w:pPr>
            <w:r>
              <w:t>HSESC Advisor</w:t>
            </w:r>
          </w:p>
        </w:tc>
        <w:tc>
          <w:tcPr/>
          <w:p>
            <w:pPr>
              <w:pStyle w:val="TableContents"/>
            </w:pPr>
            <w:r>
              <w:t>Monthly HSESC report — Section [INSERT: section reference]</w:t>
            </w:r>
          </w:p>
        </w:tc>
      </w:tr>
      <w:tr>
        <w:tc>
          <w:tcPr/>
          <w:p>
            <w:pPr>
              <w:pStyle w:val="TableContents"/>
            </w:pPr>
            <w:r>
              <w:rPr>
                <w:b/>
                <w:bCs/>
                <w:color w:val="0059D1"/>
              </w:rPr>
              <w:t>[INSERT: critical risk 2]</w:t>
            </w:r>
          </w:p>
        </w:tc>
        <w:tc>
          <w:tcPr/>
          <w:p>
            <w:pPr>
              <w:pStyle w:val="TableContents"/>
            </w:pPr>
            <w:r>
              <w:rPr>
                <w:b/>
                <w:bCs/>
                <w:color w:val="0059D1"/>
              </w:rPr>
              <w:t>[INSERT: frequency]</w:t>
            </w:r>
          </w:p>
        </w:tc>
        <w:tc>
          <w:tcPr/>
          <w:p>
            <w:pPr>
              <w:pStyle w:val="TableContents"/>
            </w:pPr>
            <w:r>
              <w:rPr>
                <w:b/>
                <w:bCs/>
                <w:color w:val="0059D1"/>
              </w:rPr>
              <w:t>[INSERT: target %]</w:t>
            </w:r>
          </w:p>
        </w:tc>
        <w:tc>
          <w:tcPr/>
          <w:p>
            <w:pPr>
              <w:pStyle w:val="TableContents"/>
            </w:pPr>
            <w:r>
              <w:t>HSESC Advisor</w:t>
            </w:r>
          </w:p>
        </w:tc>
        <w:tc>
          <w:tcPr/>
          <w:p>
            <w:pPr>
              <w:pStyle w:val="TableContents"/>
            </w:pPr>
            <w:r>
              <w:t>Monthly HSESC report</w:t>
            </w:r>
          </w:p>
        </w:tc>
      </w:tr>
      <w:tr>
        <w:tc>
          <w:tcPr/>
          <w:p>
            <w:pPr>
              <w:pStyle w:val="TableContents"/>
            </w:pPr>
            <w:r>
              <w:rPr>
                <w:b/>
                <w:bCs/>
                <w:color w:val="0059D1"/>
              </w:rPr>
              <w:t>[INSERT: critical risk 3]</w:t>
            </w:r>
          </w:p>
        </w:tc>
        <w:tc>
          <w:tcPr/>
          <w:p>
            <w:pPr>
              <w:pStyle w:val="TableContents"/>
            </w:pPr>
            <w:r>
              <w:rPr>
                <w:b/>
                <w:bCs/>
                <w:color w:val="0059D1"/>
              </w:rPr>
              <w:t>[INSERT: frequency]</w:t>
            </w:r>
          </w:p>
        </w:tc>
        <w:tc>
          <w:tcPr/>
          <w:p>
            <w:pPr>
              <w:pStyle w:val="TableContents"/>
            </w:pPr>
            <w:r>
              <w:rPr>
                <w:b/>
                <w:bCs/>
                <w:color w:val="0059D1"/>
              </w:rPr>
              <w:t>[INSERT: target %]</w:t>
            </w:r>
          </w:p>
        </w:tc>
        <w:tc>
          <w:tcPr/>
          <w:p>
            <w:pPr>
              <w:pStyle w:val="TableContents"/>
            </w:pPr>
            <w:r>
              <w:t>HSESC Advisor</w:t>
            </w:r>
          </w:p>
        </w:tc>
        <w:tc>
          <w:tcPr/>
          <w:p>
            <w:pPr>
              <w:pStyle w:val="TableContents"/>
            </w:pPr>
            <w:r>
              <w:t>Monthly HSESC report</w:t>
            </w:r>
          </w:p>
        </w:tc>
      </w:tr>
    </w:tbl>
    <w:p>
      <w:pPr>
        <w:pStyle w:val="Default"/>
      </w:pPr>
    </w:p>
    <w:tbl>
      <w:tblPr>
        <w:tblStyle w:val="TableOption1"/>
        <w:tblW w:type="pct" w:w="5000"/>
      </w:tblPr>
      <w:tr>
        <w:tc>
          <w:tcPr>
            <w:shd w:val="clear" w:color="auto" w:fill="FFF2CC"/>
          </w:tcPr>
          <w:p>
            <w:pPr>
              <w:pStyle w:val="Instructions"/>
            </w:pPr>
            <w:r>
              <w:rPr>
                <w:b/>
                <w:bCs/>
                <w:color w:val="C55A11"/>
              </w:rPr>
              <w:t>Project Completion: Develop the full project CRM verification schedule for all material critical risks identified in RTPR-HSE-PRO-0002. Define the frequency of CCFVs by critical risk, the target completion rate, and the reporting format for each risk category. Insert the completed schedule in Appendix A.</w:t>
            </w:r>
          </w:p>
        </w:tc>
      </w:tr>
    </w:tbl>
    <w:p>
      <w:pPr>
        <w:pStyle w:val="Default"/>
      </w:pPr>
    </w:p>
    <w:p>
      <w:pPr>
        <w:pStyle w:val="Heading2Numbered"/>
      </w:pPr>
      <w:r>
        <w:t>6.3  Company Audit Access and Inspection Outcomes</w:t>
      </w:r>
    </w:p>
    <w:p>
      <w:pPr>
        <w:pStyle w:val="NormalNumberedtext"/>
      </w:pPr>
      <w:r>
        <w:t>This section defines obligations for accommodating Company HSESC audits and for implementing instructions arising from inspection findings.</w:t>
      </w:r>
    </w:p>
    <w:p>
      <w:pPr>
        <w:pStyle w:val="NormalNumberedtext"/>
      </w:pPr>
      <w:r>
        <w:t>The project makes all reasonable efforts to accommodate Company HSESC audits, consistent with APPC Appendix C, C-1 §40.1.1. The project provides unrestricted access to facilities, equipment, materials, personnel, and records for the purpose of Company audits. Company audits are conducted with a minimum of two working days notice. Audit activities conducted under RTPR-HSE-PRO-0044 form part of the overall HSESC performance assessment framework and are not reproduced here.</w:t>
      </w:r>
    </w:p>
    <w:p>
      <w:pPr>
        <w:pStyle w:val="NormalNumberedtext"/>
      </w:pPr>
      <w:r>
        <w:t>Instructions issued by the Company based on inspection findings are implemented within a mutually agreed timeframe, consistent with APPC Appendix C, C-1 §40.2.1. Inspection outcomes are recorded in the project action tracking system and corrective actions are tracked to ensure timely resolution. The HSESC Advisor reports on the status of open corrective actions in the monthly HSESC report.</w:t>
      </w:r>
    </w:p>
    <w:p>
      <w:pPr>
        <w:pStyle w:val="Heading1Numbered"/>
      </w:pPr>
      <w:r>
        <w:t>7  Measuring Equipment Calibration</w:t>
      </w:r>
    </w:p>
    <w:p>
      <w:pPr>
        <w:pStyle w:val="NormalNumberedtext"/>
      </w:pPr>
      <w:r>
        <w:t>This section defines calibration requirements for safety-critical and environmental measuring equipment, QA/QC requirements, and gas detector bump-testing requirements.</w:t>
      </w:r>
    </w:p>
    <w:p>
      <w:pPr>
        <w:pStyle w:val="Heading2Numbered"/>
      </w:pPr>
      <w:r>
        <w:t>7.1  Calibration Requirements</w:t>
      </w:r>
    </w:p>
    <w:p>
      <w:pPr>
        <w:pStyle w:val="NormalNumberedtext"/>
      </w:pPr>
      <w:r>
        <w:t>This section defines the calibration standard, record-keeping obligations, and the roles responsible for maintaining calibration status.</w:t>
      </w:r>
    </w:p>
    <w:p>
      <w:pPr>
        <w:pStyle w:val="NormalNumberedtext"/>
      </w:pPr>
      <w:r>
        <w:t xml:space="preserve">All safety-critical measuring and monitoring equipment used on the project is calibrated in accordance with manufacturer requirements. Calibration records are maintained in the project calibration register, </w:t>
      </w:r>
    </w:p>
    <w:p>
      <w:pPr>
        <w:pStyle w:val="NormalNumberedtext"/>
      </w:pPr>
      <w:r>
        <w:rPr>
          <w:b/>
          <w:bCs/>
          <w:color w:val="0059D1"/>
        </w:rPr>
        <w:t>[INSERT: calibration_register_name_location] — Enter the name and storage location of the project calibration register</w:t>
      </w:r>
    </w:p>
    <w:p>
      <w:pPr>
        <w:pStyle w:val="NormalNumberedtext"/>
      </w:pPr>
      <w:r>
        <w:t>. The Contractor HSESC Representative ensures that contractor-owned measuring equipment is included in the calibration register and that records are available for inspection at any time.</w:t>
      </w:r>
    </w:p>
    <w:p>
      <w:pPr>
        <w:pStyle w:val="NormalNumberedtext"/>
      </w:pPr>
      <w:r>
        <w:t>The project calibration register records the following for each item of safety-critical measuring or monitoring equipment:</w:t>
      </w:r>
    </w:p>
    <w:p>
      <w:pPr>
        <w:pStyle w:val="NormalNumberedtext"/>
      </w:pPr>
      <w:r>
        <w:t>The calibration register records:</w:t>
      </w:r>
    </w:p>
    <w:p>
      <w:pPr>
        <w:pStyle w:val="NumberedBulletL1"/>
      </w:pPr>
      <w:r>
        <w:t>Equipment description and unique identifier.</w:t>
      </w:r>
    </w:p>
    <w:p>
      <w:pPr>
        <w:pStyle w:val="NumberedBulletL1"/>
      </w:pPr>
      <w:r>
        <w:t>Manufacturer calibration interval and method.</w:t>
      </w:r>
    </w:p>
    <w:p>
      <w:pPr>
        <w:pStyle w:val="NumberedBulletL1"/>
      </w:pPr>
      <w:r>
        <w:t>Date of last calibration and name of the person or organisation who conducted it.</w:t>
      </w:r>
    </w:p>
    <w:p>
      <w:pPr>
        <w:pStyle w:val="NumberedBulletL1"/>
      </w:pPr>
      <w:r>
        <w:t>Date of next required calibration.</w:t>
      </w:r>
    </w:p>
    <w:p>
      <w:pPr>
        <w:pStyle w:val="NumberedBulletL1"/>
      </w:pPr>
      <w:r>
        <w:t>Calibration certificate reference or record location.</w:t>
      </w:r>
    </w:p>
    <w:p>
      <w:pPr>
        <w:pStyle w:val="NumberedBulletL1"/>
      </w:pPr>
      <w:r>
        <w:rPr>
          <w:color w:val="C55A11"/>
        </w:rPr>
        <w:t>Out-of-service status and action taken where equipment is found to be out of calibration.</w:t>
      </w:r>
    </w:p>
    <w:tbl>
      <w:tblPr>
        <w:tblStyle w:val="TableOption1"/>
        <w:tblW w:type="pct" w:w="5000"/>
      </w:tblPr>
      <w:tr>
        <w:tc>
          <w:tcPr>
            <w:shd w:val="clear" w:color="auto" w:fill="FFF2CC"/>
          </w:tcPr>
          <w:p>
            <w:pPr>
              <w:pStyle w:val="Instructions"/>
            </w:pPr>
            <w:r>
              <w:rPr>
                <w:b/>
                <w:bCs/>
                <w:color w:val="C55A11"/>
              </w:rPr>
              <w:t>Project Completion: Define the project gas detector calibration register and bump-test recording system. The procedure requires calibration records to be maintained — define the project-specific record format and storage location and insert the reference as [INSERT: RTPR-HSE-PRO-0042 Calibration Register].</w:t>
            </w:r>
          </w:p>
        </w:tc>
      </w:tr>
    </w:tbl>
    <w:p>
      <w:pPr>
        <w:pStyle w:val="Default"/>
      </w:pPr>
    </w:p>
    <w:p>
      <w:pPr>
        <w:pStyle w:val="Heading2Numbered"/>
      </w:pPr>
      <w:r>
        <w:t>7.2  Gas Detector Bump-Testing</w:t>
      </w:r>
    </w:p>
    <w:p>
      <w:pPr>
        <w:pStyle w:val="NormalNumberedtext"/>
      </w:pPr>
      <w:r>
        <w:t>This section defines the gas detector bump-test requirement, the recording obligation, and the link to the permit to work system.</w:t>
      </w:r>
    </w:p>
    <w:p>
      <w:pPr>
        <w:pStyle w:val="NormalNumberedtext"/>
      </w:pPr>
      <w:r>
        <w:t>Gas detectors are bump-tested before each use. The Works Supervisor confirms the bump-test result is recorded on the relevant permit before work commences. Workers raise a permit via the site PTW system before commencing work, refer RTPR-HSE-PRO-0021. A failed bump-test result renders the detector out of service until it is recalibrated and confirmed functional.</w:t>
      </w:r>
    </w:p>
    <w:p>
      <w:pPr>
        <w:pStyle w:val="NormalNumberedtext"/>
      </w:pPr>
      <w:r>
        <w:t xml:space="preserve">Bump-test records are maintained in </w:t>
      </w:r>
    </w:p>
    <w:p>
      <w:pPr>
        <w:pStyle w:val="NormalNumberedtext"/>
      </w:pPr>
      <w:r>
        <w:rPr>
          <w:b/>
          <w:bCs/>
          <w:color w:val="0059D1"/>
        </w:rPr>
        <w:t>[INSERT: bump_test_record_location] — Enter the record format and storage location for bump-test results, e.g. paper permit attachment filed in the PTW archive</w:t>
      </w:r>
    </w:p>
    <w:p>
      <w:pPr>
        <w:pStyle w:val="NormalNumberedtext"/>
      </w:pPr>
      <w:r>
        <w:t>and are available for inspection at any time.</w:t>
      </w:r>
    </w:p>
    <w:p>
      <w:pPr>
        <w:pStyle w:val="Heading2Numbered"/>
      </w:pPr>
      <w:r>
        <w:t>7.3  Environmental Monitoring Equipment Standards</w:t>
      </w:r>
    </w:p>
    <w:p>
      <w:pPr>
        <w:pStyle w:val="NormalNumberedtext"/>
      </w:pPr>
      <w:r>
        <w:t>This section defines the analytical and sampling standards required for environmental monitoring equipment and data quality verification.</w:t>
      </w:r>
    </w:p>
    <w:p>
      <w:pPr>
        <w:pStyle w:val="NormalNumberedtext"/>
      </w:pPr>
      <w:r>
        <w:t>Environmental monitoring uses methods consistent with nationally or internationally recognised analytical and sampling standards, consistent with IFC EHS General Guidelines §2.9. The HSESC Advisor confirms that the sampling methods, laboratory selection, and analytical protocols used on the project meet the standards specified in the project HSESC monitoring programme schedule at Appendix A.</w:t>
      </w:r>
    </w:p>
    <w:p>
      <w:pPr>
        <w:pStyle w:val="NormalNumberedtext"/>
      </w:pPr>
      <w:r>
        <w:t>Data quality is verified through QA/QC processes that include chain-of-custody documentation for all samples, use of accredited laboratories, duplicate and blank sample requirements, and results verification against project baseline data before results are reported. Any data quality failure is documented and the affected data set is flagged in the relevant monitoring report pending investigation.</w:t>
      </w:r>
    </w:p>
    <w:p>
      <w:pPr>
        <w:pStyle w:val="Heading1Numbered"/>
      </w:pPr>
      <w:r>
        <w:t>8  Trigger Action Response Plans</w:t>
      </w:r>
    </w:p>
    <w:p>
      <w:pPr>
        <w:pStyle w:val="NormalNumberedtext"/>
      </w:pPr>
      <w:r>
        <w:t>This section defines TARP requirements for all material environmental and safety risks, including trigger levels, responsible roles, required actions, escalation paths, and testing requirements.</w:t>
      </w:r>
    </w:p>
    <w:p>
      <w:pPr>
        <w:pStyle w:val="Heading2Numbered"/>
      </w:pPr>
      <w:r>
        <w:t>8.1  TARP Requirements</w:t>
      </w:r>
    </w:p>
    <w:p>
      <w:pPr>
        <w:pStyle w:val="NormalNumberedtext"/>
      </w:pPr>
      <w:r>
        <w:t>This section defines what each TARP must contain and the process for developing, approving, and maintaining the project TARP register.</w:t>
      </w:r>
    </w:p>
    <w:p>
      <w:pPr>
        <w:pStyle w:val="NormalNumberedtext"/>
      </w:pPr>
      <w:r>
        <w:t>The project develops and maintains Trigger Action Response Plans for all material environmental and safety risks, consistent with Rio Tinto Standard requirements. TARPs are developed from the material risks identified in the risk register maintained under RTPR-HSE-PRO-0002. Each TARP is specific to this project's monitoring locations and trigger thresholds.</w:t>
      </w:r>
    </w:p>
    <w:p>
      <w:pPr>
        <w:pStyle w:val="NormalNumberedtext"/>
      </w:pPr>
      <w:r>
        <w:t>Each TARP includes the following elements:</w:t>
      </w:r>
    </w:p>
    <w:p>
      <w:pPr>
        <w:pStyle w:val="NormalNumberedtext"/>
      </w:pPr>
      <w:r>
        <w:t>Each TARP defines:</w:t>
      </w:r>
    </w:p>
    <w:p>
      <w:pPr>
        <w:pStyle w:val="NumberedBulletL1"/>
      </w:pPr>
      <w:r>
        <w:t>The risk or monitoring parameter to which the TARP applies.</w:t>
      </w:r>
    </w:p>
    <w:p>
      <w:pPr>
        <w:pStyle w:val="NumberedBulletL1"/>
      </w:pPr>
      <w:r>
        <w:t>The trigger level that activates the TARP response, expressed as a measurable threshold.</w:t>
      </w:r>
    </w:p>
    <w:p>
      <w:pPr>
        <w:pStyle w:val="NumberedBulletL1"/>
      </w:pPr>
      <w:r>
        <w:t>The responsible role who is required to respond when the trigger level is reached.</w:t>
      </w:r>
    </w:p>
    <w:p>
      <w:pPr>
        <w:pStyle w:val="NumberedBulletL1"/>
      </w:pPr>
      <w:r>
        <w:t>The required action to be taken immediately upon trigger activation.</w:t>
      </w:r>
    </w:p>
    <w:p>
      <w:pPr>
        <w:pStyle w:val="NumberedBulletL1"/>
      </w:pPr>
      <w:r>
        <w:t>The escalation path, including the roles to be notified and the sequence of notification.</w:t>
      </w:r>
    </w:p>
    <w:p>
      <w:pPr>
        <w:pStyle w:val="NumberedBulletL1"/>
      </w:pPr>
      <w:r>
        <w:t>The response timeframe within which the required action must be completed.</w:t>
      </w:r>
    </w:p>
    <w:p>
      <w:pPr>
        <w:pStyle w:val="NumberedBulletL1"/>
      </w:pPr>
      <w:r>
        <w:rPr>
          <w:color w:val="C55A11"/>
        </w:rPr>
        <w:t>The verification step confirming the required action has been completed and the trigger condition has been resolved.</w:t>
      </w:r>
    </w:p>
    <w:p>
      <w:pPr>
        <w:pStyle w:val="NormalNumberedtext"/>
      </w:pPr>
      <w:r>
        <w:t xml:space="preserve">The HSESC Manager approves all project TARPs before the execution phase commences. TARPs are stored in </w:t>
      </w:r>
    </w:p>
    <w:p>
      <w:pPr>
        <w:pStyle w:val="NormalNumberedtext"/>
      </w:pPr>
      <w:r>
        <w:rPr>
          <w:b/>
          <w:bCs/>
          <w:color w:val="0059D1"/>
        </w:rPr>
        <w:t>[INSERT: tarp_register_location] — Enter the name and storage location of the project TARP register</w:t>
      </w:r>
    </w:p>
    <w:p>
      <w:pPr>
        <w:pStyle w:val="NormalNumberedtext"/>
      </w:pPr>
      <w:r>
        <w:t xml:space="preserve"> and are reviewed following any trigger event or at a minimum annually.</w:t>
      </w:r>
    </w:p>
    <w:tbl>
      <w:tblPr>
        <w:tblStyle w:val="TableOption1"/>
        <w:tblW w:type="pct" w:w="5000"/>
      </w:tblPr>
      <w:tr>
        <w:tc>
          <w:tcPr>
            <w:shd w:val="clear" w:color="auto" w:fill="FFF2CC"/>
          </w:tcPr>
          <w:p>
            <w:pPr>
              <w:pStyle w:val="Instructions"/>
            </w:pPr>
            <w:r>
              <w:rPr>
                <w:b/>
                <w:bCs/>
                <w:color w:val="C55A11"/>
              </w:rPr>
              <w:t>Project Completion: Develop TARPs for all material environmental and safety risks identified in RTPR-HSE-PRO-0002. Each TARP must be specific to this project's monitoring locations and trigger thresholds. Insert the completed TARP register as [INSERT: RTPR-HSE-PRO-0042 Appendix B: Project TARP Register].</w:t>
            </w:r>
          </w:p>
        </w:tc>
      </w:tr>
    </w:tbl>
    <w:p>
      <w:pPr>
        <w:pStyle w:val="Default"/>
      </w:pPr>
    </w:p>
    <w:p>
      <w:pPr>
        <w:pStyle w:val="Heading2Numbered"/>
      </w:pPr>
      <w:r>
        <w:t>8.2  TARP Testing and Adaptive Management</w:t>
      </w:r>
    </w:p>
    <w:p>
      <w:pPr>
        <w:pStyle w:val="NormalNumberedtext"/>
      </w:pPr>
      <w:r>
        <w:t>This section defines the requirement to test TARPs through drills and to verify and record the effectiveness of corrective actions taken following trigger events.</w:t>
      </w:r>
    </w:p>
    <w:p>
      <w:pPr>
        <w:pStyle w:val="NormalNumberedtext"/>
      </w:pPr>
      <w:r>
        <w:t>TARPs are tested through drills and exercises at defined intervals to confirm that responsible roles understand the trigger levels, required actions, and escalation paths. The HSESC Advisor records drill outcomes in the project action tracking system and reports results in the monthly HSESC report.</w:t>
      </w:r>
    </w:p>
    <w:p>
      <w:pPr>
        <w:pStyle w:val="NormalNumberedtext"/>
      </w:pPr>
      <w:r>
        <w:t>Table 6: TARP Testing Schedule</w:t>
      </w:r>
    </w:p>
    <w:tbl>
      <w:tblPr>
        <w:tblStyle w:val="TableOption2"/>
        <w:tblW w:type="pct" w:w="5000"/>
      </w:tblPr>
      <w:tr>
        <w:trPr>
          <w:tblHeader/>
        </w:trPr>
        <w:tc>
          <w:tcPr>
            <w:shd w:val="clear" w:color="auto" w:fill="1F3864"/>
          </w:tcPr>
          <w:p>
            <w:pPr>
              <w:pStyle w:val="TableContents"/>
            </w:pPr>
            <w:r>
              <w:rPr>
                <w:b/>
                <w:bCs/>
                <w:color w:val="FFFFFF"/>
              </w:rPr>
              <w:t>TARP Category</w:t>
            </w:r>
          </w:p>
        </w:tc>
        <w:tc>
          <w:tcPr>
            <w:shd w:val="clear" w:color="auto" w:fill="1F3864"/>
          </w:tcPr>
          <w:p>
            <w:pPr>
              <w:pStyle w:val="TableContents"/>
            </w:pPr>
            <w:r>
              <w:rPr>
                <w:b/>
                <w:bCs/>
                <w:color w:val="FFFFFF"/>
              </w:rPr>
              <w:t>Testing Frequency</w:t>
            </w:r>
          </w:p>
        </w:tc>
        <w:tc>
          <w:tcPr>
            <w:shd w:val="clear" w:color="auto" w:fill="1F3864"/>
          </w:tcPr>
          <w:p>
            <w:pPr>
              <w:pStyle w:val="TableContents"/>
            </w:pPr>
            <w:r>
              <w:rPr>
                <w:b/>
                <w:bCs/>
                <w:color w:val="FFFFFF"/>
              </w:rPr>
              <w:t>Testing Method</w:t>
            </w:r>
          </w:p>
        </w:tc>
        <w:tc>
          <w:tcPr>
            <w:shd w:val="clear" w:color="auto" w:fill="1F3864"/>
          </w:tcPr>
          <w:p>
            <w:pPr>
              <w:pStyle w:val="TableContents"/>
            </w:pPr>
            <w:r>
              <w:rPr>
                <w:b/>
                <w:bCs/>
                <w:color w:val="FFFFFF"/>
              </w:rPr>
              <w:t>Responsible Role</w:t>
            </w:r>
          </w:p>
        </w:tc>
        <w:tc>
          <w:tcPr>
            <w:shd w:val="clear" w:color="auto" w:fill="1F3864"/>
          </w:tcPr>
          <w:p>
            <w:pPr>
              <w:pStyle w:val="TableContents"/>
            </w:pPr>
            <w:r>
              <w:rPr>
                <w:b/>
                <w:bCs/>
                <w:color w:val="FFFFFF"/>
              </w:rPr>
              <w:t>Record Location</w:t>
            </w:r>
          </w:p>
        </w:tc>
      </w:tr>
      <w:tr>
        <w:tc>
          <w:tcPr/>
          <w:p>
            <w:pPr>
              <w:pStyle w:val="TableContents"/>
            </w:pPr>
            <w:r>
              <w:t>Environmental monitoring TARPs</w:t>
            </w:r>
          </w:p>
        </w:tc>
        <w:tc>
          <w:tcPr/>
          <w:p>
            <w:pPr>
              <w:pStyle w:val="TableContents"/>
            </w:pPr>
            <w:r>
              <w:rPr>
                <w:b/>
                <w:bCs/>
                <w:color w:val="0059D1"/>
              </w:rPr>
              <w:t>[INSERT: frequency, suggested six-monthly]</w:t>
            </w:r>
          </w:p>
        </w:tc>
        <w:tc>
          <w:tcPr/>
          <w:p>
            <w:pPr>
              <w:pStyle w:val="TableContents"/>
            </w:pPr>
            <w:r>
              <w:t>Tabletop exercise or simulated trigger event</w:t>
            </w:r>
          </w:p>
        </w:tc>
        <w:tc>
          <w:tcPr/>
          <w:p>
            <w:pPr>
              <w:pStyle w:val="TableContents"/>
            </w:pPr>
            <w:r>
              <w:t>HSESC Advisor</w:t>
            </w:r>
          </w:p>
        </w:tc>
        <w:tc>
          <w:tcPr/>
          <w:p>
            <w:pPr>
              <w:pStyle w:val="TableContents"/>
            </w:pPr>
            <w:r>
              <w:t>Project action tracking system</w:t>
            </w:r>
          </w:p>
        </w:tc>
      </w:tr>
      <w:tr>
        <w:tc>
          <w:tcPr/>
          <w:p>
            <w:pPr>
              <w:pStyle w:val="TableContents"/>
            </w:pPr>
            <w:r>
              <w:t>Safety risk TARPs</w:t>
            </w:r>
          </w:p>
        </w:tc>
        <w:tc>
          <w:tcPr/>
          <w:p>
            <w:pPr>
              <w:pStyle w:val="TableContents"/>
            </w:pPr>
            <w:r>
              <w:rPr>
                <w:b/>
                <w:bCs/>
                <w:color w:val="0059D1"/>
              </w:rPr>
              <w:t>[INSERT: frequency, suggested six-monthly]</w:t>
            </w:r>
          </w:p>
        </w:tc>
        <w:tc>
          <w:tcPr/>
          <w:p>
            <w:pPr>
              <w:pStyle w:val="TableContents"/>
            </w:pPr>
            <w:r>
              <w:t>Simulated trigger event with full response walkthrough</w:t>
            </w:r>
          </w:p>
        </w:tc>
        <w:tc>
          <w:tcPr/>
          <w:p>
            <w:pPr>
              <w:pStyle w:val="TableContents"/>
            </w:pPr>
            <w:r>
              <w:t>HSESC Advisor</w:t>
            </w:r>
          </w:p>
        </w:tc>
        <w:tc>
          <w:tcPr/>
          <w:p>
            <w:pPr>
              <w:pStyle w:val="TableContents"/>
            </w:pPr>
            <w:r>
              <w:t>Project action tracking system</w:t>
            </w:r>
          </w:p>
        </w:tc>
      </w:tr>
      <w:tr>
        <w:tc>
          <w:tcPr/>
          <w:p>
            <w:pPr>
              <w:pStyle w:val="TableContents"/>
            </w:pPr>
            <w:r>
              <w:rPr>
                <w:b/>
                <w:bCs/>
                <w:color w:val="0059D1"/>
              </w:rPr>
              <w:t>[INSERT: TARP category]</w:t>
            </w:r>
          </w:p>
        </w:tc>
        <w:tc>
          <w:tcPr/>
          <w:p>
            <w:pPr>
              <w:pStyle w:val="TableContents"/>
            </w:pPr>
            <w:r>
              <w:rPr>
                <w:b/>
                <w:bCs/>
                <w:color w:val="0059D1"/>
              </w:rPr>
              <w:t>[INSERT: frequency]</w:t>
            </w:r>
          </w:p>
        </w:tc>
        <w:tc>
          <w:tcPr/>
          <w:p>
            <w:pPr>
              <w:pStyle w:val="TableContents"/>
            </w:pPr>
            <w:r>
              <w:rPr>
                <w:b/>
                <w:bCs/>
                <w:color w:val="0059D1"/>
              </w:rPr>
              <w:t>[INSERT: testing method]</w:t>
            </w:r>
          </w:p>
        </w:tc>
        <w:tc>
          <w:tcPr/>
          <w:p>
            <w:pPr>
              <w:pStyle w:val="TableContents"/>
            </w:pPr>
            <w:r>
              <w:rPr>
                <w:b/>
                <w:bCs/>
                <w:color w:val="0059D1"/>
              </w:rPr>
              <w:t>[INSERT: role]</w:t>
            </w:r>
          </w:p>
        </w:tc>
        <w:tc>
          <w:tcPr/>
          <w:p>
            <w:pPr>
              <w:pStyle w:val="TableContents"/>
            </w:pPr>
            <w:r>
              <w:rPr>
                <w:b/>
                <w:bCs/>
                <w:color w:val="0059D1"/>
              </w:rPr>
              <w:t>[INSERT: record location]</w:t>
            </w:r>
          </w:p>
        </w:tc>
      </w:tr>
    </w:tbl>
    <w:p>
      <w:pPr>
        <w:pStyle w:val="Default"/>
      </w:pPr>
    </w:p>
    <w:p>
      <w:pPr>
        <w:pStyle w:val="NormalNumberedtext"/>
      </w:pPr>
      <w:r>
        <w:t>When a TARP is activated by a real trigger event, the HSESC Advisor records the event, the response taken, and the timeframe of that response, consistent with IFC PS1 §11 adaptive management requirements. The effectiveness of the corrective action is verified before the TARP status is closed. Verification outcomes are recorded in the project action tracking system and summarised in the next monthly HSESC report. Incidents associated with TARP activation are reported per project requirements, refer RTPR-HSE-PRO-0009.</w:t>
      </w:r>
    </w:p>
    <w:p>
      <w:pPr>
        <w:pStyle w:val="NormalNumberedtext"/>
      </w:pPr>
      <w:r>
        <w:t>Where a corrective action is found to be ineffective following verification, the HSESC Manager initiates a review of the relevant TARP and the underlying risk control, and records the outcome as an improvement action under RTPR-HSE-PRO-0007.</w:t>
      </w:r>
    </w:p>
    <w:p>
      <w:pPr>
        <w:pStyle w:val="Heading1Numbered"/>
      </w:pPr>
      <w:r>
        <w:t>9  Monthly HSESC Reporting</w:t>
      </w:r>
    </w:p>
    <w:p>
      <w:pPr>
        <w:pStyle w:val="NormalNumberedtext"/>
      </w:pPr>
      <w:r>
        <w:t>This section defines the content requirements for the monthly HSESC report, the reporting cycle, and the roles responsible for preparing and receiving the report.</w:t>
      </w:r>
    </w:p>
    <w:p>
      <w:pPr>
        <w:pStyle w:val="Heading2Numbered"/>
      </w:pPr>
      <w:r>
        <w:t>9.1  Monthly Report Content Requirements</w:t>
      </w:r>
    </w:p>
    <w:p>
      <w:pPr>
        <w:pStyle w:val="NormalNumberedtext"/>
      </w:pPr>
      <w:r>
        <w:t>This section defines the mandatory content of the monthly HSESC report and the process for preparing, reviewing, and distributing it.</w:t>
      </w:r>
    </w:p>
    <w:p>
      <w:pPr>
        <w:pStyle w:val="NormalNumberedtext"/>
      </w:pPr>
      <w:r>
        <w:t xml:space="preserve">The HSESC Advisor prepares the monthly HSESC report and submits it to the HSESC Manager for review and endorsement before distribution to the Project Manager. The report is issued no later than </w:t>
      </w:r>
    </w:p>
    <w:p>
      <w:pPr>
        <w:pStyle w:val="NormalNumberedtext"/>
      </w:pPr>
      <w:r>
        <w:rPr>
          <w:b/>
          <w:bCs/>
          <w:color w:val="0059D1"/>
        </w:rPr>
        <w:t>[INSERT: monthly_report_due_date] — Enter the due date for the monthly HSESC report, e.g. the 10th calendar day of the following month</w:t>
      </w:r>
    </w:p>
    <w:p>
      <w:pPr>
        <w:pStyle w:val="NormalNumberedtext"/>
      </w:pPr>
      <w:r>
        <w:t xml:space="preserve"> each month. The monthly HSESC report is aligned to the RT Appendix C-8 template requirements.</w:t>
      </w:r>
    </w:p>
    <w:tbl>
      <w:tblPr>
        <w:tblStyle w:val="TableOption1"/>
        <w:tblW w:type="pct" w:w="5000"/>
      </w:tblPr>
      <w:tr>
        <w:tc>
          <w:tcPr>
            <w:shd w:val="clear" w:color="auto" w:fill="FFF2CC"/>
          </w:tcPr>
          <w:p>
            <w:pPr>
              <w:pStyle w:val="Instructions"/>
            </w:pPr>
            <w:r>
              <w:rPr>
                <w:b/>
                <w:bCs/>
                <w:color w:val="C55A11"/>
              </w:rPr>
              <w:t>Project Completion: Define the project monthly HSESC report template, aligned to the RT Appendix C-8 template requirements. This procedure defines the required content — the project team produces the formatted template and inserts the reference as [INSERT: RTPR-HSE-PRO-0042 Monthly HSESC Report Template].</w:t>
            </w:r>
          </w:p>
        </w:tc>
      </w:tr>
    </w:tbl>
    <w:p>
      <w:pPr>
        <w:pStyle w:val="Default"/>
      </w:pPr>
    </w:p>
    <w:p>
      <w:pPr>
        <w:pStyle w:val="NormalNumberedtext"/>
      </w:pPr>
      <w:r>
        <w:t>The monthly HSESC report includes the following content as a minimum:</w:t>
      </w:r>
    </w:p>
    <w:p>
      <w:pPr>
        <w:pStyle w:val="NormalNumberedtext"/>
      </w:pPr>
      <w:r>
        <w:t>Table 7: Monthly HSESC Report Content Requirements</w:t>
      </w:r>
    </w:p>
    <w:tbl>
      <w:tblPr>
        <w:tblStyle w:val="TableOption2"/>
        <w:tblW w:type="pct" w:w="5000"/>
      </w:tblPr>
      <w:tr>
        <w:trPr>
          <w:tblHeader/>
        </w:trPr>
        <w:tc>
          <w:tcPr>
            <w:shd w:val="clear" w:color="auto" w:fill="1F3864"/>
          </w:tcPr>
          <w:p>
            <w:pPr>
              <w:pStyle w:val="TableContents"/>
            </w:pPr>
            <w:r>
              <w:rPr>
                <w:b/>
                <w:bCs/>
                <w:color w:val="FFFFFF"/>
              </w:rPr>
              <w:t>Report Section</w:t>
            </w:r>
          </w:p>
        </w:tc>
        <w:tc>
          <w:tcPr>
            <w:shd w:val="clear" w:color="auto" w:fill="1F3864"/>
          </w:tcPr>
          <w:p>
            <w:pPr>
              <w:pStyle w:val="TableContents"/>
            </w:pPr>
            <w:r>
              <w:rPr>
                <w:b/>
                <w:bCs/>
                <w:color w:val="FFFFFF"/>
              </w:rPr>
              <w:t>Required Content</w:t>
            </w:r>
          </w:p>
        </w:tc>
        <w:tc>
          <w:tcPr>
            <w:shd w:val="clear" w:color="auto" w:fill="1F3864"/>
          </w:tcPr>
          <w:p>
            <w:pPr>
              <w:pStyle w:val="TableContents"/>
            </w:pPr>
            <w:r>
              <w:rPr>
                <w:b/>
                <w:bCs/>
                <w:color w:val="FFFFFF"/>
              </w:rPr>
              <w:t>Data Source</w:t>
            </w:r>
          </w:p>
        </w:tc>
      </w:tr>
      <w:tr>
        <w:tc>
          <w:tcPr/>
          <w:p>
            <w:pPr>
              <w:pStyle w:val="TableContents"/>
            </w:pPr>
            <w:r>
              <w:t>Safety performance — lagging indicators</w:t>
            </w:r>
          </w:p>
        </w:tc>
        <w:tc>
          <w:tcPr/>
          <w:p>
            <w:pPr>
              <w:pStyle w:val="TableContents"/>
            </w:pPr>
            <w:r>
              <w:t>TRIF, LTIF, HiPo frequency, severity rate — reported against monthly and cumulative targets</w:t>
            </w:r>
          </w:p>
        </w:tc>
        <w:tc>
          <w:tcPr/>
          <w:p>
            <w:pPr>
              <w:pStyle w:val="TableContents"/>
            </w:pPr>
            <w:r>
              <w:t>Incident register per RTPR-HSE-PRO-0009</w:t>
            </w:r>
          </w:p>
        </w:tc>
      </w:tr>
      <w:tr>
        <w:tc>
          <w:tcPr/>
          <w:p>
            <w:pPr>
              <w:pStyle w:val="TableContents"/>
            </w:pPr>
            <w:r>
              <w:t>Safety performance — leading indicators</w:t>
            </w:r>
          </w:p>
        </w:tc>
        <w:tc>
          <w:tcPr/>
          <w:p>
            <w:pPr>
              <w:pStyle w:val="TableContents"/>
            </w:pPr>
            <w:r>
              <w:t>Inspection completion rate, CCFV completion rate by critical risk, toolbox talk frequency, stop-work events, PTW compliance check results</w:t>
            </w:r>
          </w:p>
        </w:tc>
        <w:tc>
          <w:tcPr/>
          <w:p>
            <w:pPr>
              <w:pStyle w:val="TableContents"/>
            </w:pPr>
            <w:r>
              <w:t>Inspection programme records; CRM verification register</w:t>
            </w:r>
          </w:p>
        </w:tc>
      </w:tr>
      <w:tr>
        <w:tc>
          <w:tcPr/>
          <w:p>
            <w:pPr>
              <w:pStyle w:val="TableContents"/>
            </w:pPr>
            <w:r>
              <w:t>Occupational health and hygiene</w:t>
            </w:r>
          </w:p>
        </w:tc>
        <w:tc>
          <w:tcPr/>
          <w:p>
            <w:pPr>
              <w:pStyle w:val="TableContents"/>
            </w:pPr>
            <w:r>
              <w:t>Summary of monitoring results for the period against applicable limits; any exceedances and actions taken</w:t>
            </w:r>
          </w:p>
        </w:tc>
        <w:tc>
          <w:tcPr/>
          <w:p>
            <w:pPr>
              <w:pStyle w:val="TableContents"/>
            </w:pPr>
            <w:r>
              <w:t>Hygiene monitoring records per Appendix A schedule</w:t>
            </w:r>
          </w:p>
        </w:tc>
      </w:tr>
      <w:tr>
        <w:tc>
          <w:tcPr/>
          <w:p>
            <w:pPr>
              <w:pStyle w:val="TableContents"/>
            </w:pPr>
            <w:r>
              <w:t>Environmental monitoring</w:t>
            </w:r>
          </w:p>
        </w:tc>
        <w:tc>
          <w:tcPr/>
          <w:p>
            <w:pPr>
              <w:pStyle w:val="TableContents"/>
            </w:pPr>
            <w:r>
              <w:t>Summary of monitoring results for the period against applicable limits and TARP trigger levels; any exceedances, TARP activations, and corrective actions</w:t>
            </w:r>
          </w:p>
        </w:tc>
        <w:tc>
          <w:tcPr/>
          <w:p>
            <w:pPr>
              <w:pStyle w:val="TableContents"/>
            </w:pPr>
            <w:r>
              <w:t>Environmental monitoring records per RTPR-HSE-PRO-0034/0035/0038 and Appendix A schedule</w:t>
            </w:r>
          </w:p>
        </w:tc>
      </w:tr>
      <w:tr>
        <w:tc>
          <w:tcPr/>
          <w:p>
            <w:pPr>
              <w:pStyle w:val="TableContents"/>
            </w:pPr>
            <w:r>
              <w:t>CRM verification performance</w:t>
            </w:r>
          </w:p>
        </w:tc>
        <w:tc>
          <w:tcPr/>
          <w:p>
            <w:pPr>
              <w:pStyle w:val="TableContents"/>
            </w:pPr>
            <w:r>
              <w:t>CCFV completion rate by critical risk; summary of any critical control failures and corrective actions</w:t>
            </w:r>
          </w:p>
        </w:tc>
        <w:tc>
          <w:tcPr/>
          <w:p>
            <w:pPr>
              <w:pStyle w:val="TableContents"/>
            </w:pPr>
            <w:r>
              <w:t>CRM verification register</w:t>
            </w:r>
          </w:p>
        </w:tc>
      </w:tr>
      <w:tr>
        <w:tc>
          <w:tcPr/>
          <w:p>
            <w:pPr>
              <w:pStyle w:val="TableContents"/>
            </w:pPr>
            <w:r>
              <w:t>Social and community performance</w:t>
            </w:r>
          </w:p>
        </w:tc>
        <w:tc>
          <w:tcPr/>
          <w:p>
            <w:pPr>
              <w:pStyle w:val="TableContents"/>
            </w:pPr>
            <w:r>
              <w:t>Grievance receipt and closure rates; community engagement activities completed; any community incidents</w:t>
            </w:r>
          </w:p>
        </w:tc>
        <w:tc>
          <w:tcPr/>
          <w:p>
            <w:pPr>
              <w:pStyle w:val="TableContents"/>
            </w:pPr>
            <w:r>
              <w:t>Community performance register</w:t>
            </w:r>
          </w:p>
        </w:tc>
      </w:tr>
      <w:tr>
        <w:tc>
          <w:tcPr/>
          <w:p>
            <w:pPr>
              <w:pStyle w:val="TableContents"/>
            </w:pPr>
            <w:r>
              <w:t>TARP status</w:t>
            </w:r>
          </w:p>
        </w:tc>
        <w:tc>
          <w:tcPr/>
          <w:p>
            <w:pPr>
              <w:pStyle w:val="TableContents"/>
            </w:pPr>
            <w:r>
              <w:t>Summary of TARP activations in the period; response actions taken; verification outcomes; drill results</w:t>
            </w:r>
          </w:p>
        </w:tc>
        <w:tc>
          <w:tcPr/>
          <w:p>
            <w:pPr>
              <w:pStyle w:val="TableContents"/>
            </w:pPr>
            <w:r>
              <w:t>Project action tracking system</w:t>
            </w:r>
          </w:p>
        </w:tc>
      </w:tr>
      <w:tr>
        <w:tc>
          <w:tcPr/>
          <w:p>
            <w:pPr>
              <w:pStyle w:val="TableContents"/>
            </w:pPr>
            <w:r>
              <w:t>Inspection and audit findings</w:t>
            </w:r>
          </w:p>
        </w:tc>
        <w:tc>
          <w:tcPr/>
          <w:p>
            <w:pPr>
              <w:pStyle w:val="TableContents"/>
            </w:pPr>
            <w:r>
              <w:t>Summary of open corrective actions; status of actions from previous periods; actions closed in the period</w:t>
            </w:r>
          </w:p>
        </w:tc>
        <w:tc>
          <w:tcPr/>
          <w:p>
            <w:pPr>
              <w:pStyle w:val="TableContents"/>
            </w:pPr>
            <w:r>
              <w:t>Project action tracking system; RTPR-HSE-PRO-0044</w:t>
            </w:r>
          </w:p>
        </w:tc>
      </w:tr>
      <w:tr>
        <w:tc>
          <w:tcPr/>
          <w:p>
            <w:pPr>
              <w:pStyle w:val="TableContents"/>
            </w:pPr>
            <w:r>
              <w:t>Improvement actions</w:t>
            </w:r>
          </w:p>
        </w:tc>
        <w:tc>
          <w:tcPr/>
          <w:p>
            <w:pPr>
              <w:pStyle w:val="TableContents"/>
            </w:pPr>
            <w:r>
              <w:t>Summary of monitoring-driven improvement actions raised in the period; status of open improvement actions</w:t>
            </w:r>
          </w:p>
        </w:tc>
        <w:tc>
          <w:tcPr/>
          <w:p>
            <w:pPr>
              <w:pStyle w:val="TableContents"/>
            </w:pPr>
            <w:r>
              <w:t>RTPR-HSE-PRO-0007</w:t>
            </w:r>
          </w:p>
        </w:tc>
      </w:tr>
      <w:tr>
        <w:tc>
          <w:tcPr/>
          <w:p>
            <w:pPr>
              <w:pStyle w:val="TableContents"/>
            </w:pPr>
            <w:r>
              <w:rPr>
                <w:b/>
                <w:bCs/>
                <w:color w:val="0059D1"/>
              </w:rPr>
              <w:t>[INSERT: report section]</w:t>
            </w:r>
          </w:p>
        </w:tc>
        <w:tc>
          <w:tcPr/>
          <w:p>
            <w:pPr>
              <w:pStyle w:val="TableContents"/>
            </w:pPr>
            <w:r>
              <w:rPr>
                <w:b/>
                <w:bCs/>
                <w:color w:val="0059D1"/>
              </w:rPr>
              <w:t>[INSERT: required content]</w:t>
            </w:r>
          </w:p>
        </w:tc>
        <w:tc>
          <w:tcPr/>
          <w:p>
            <w:pPr>
              <w:pStyle w:val="TableContents"/>
            </w:pPr>
            <w:r>
              <w:rPr>
                <w:b/>
                <w:bCs/>
                <w:color w:val="0059D1"/>
              </w:rPr>
              <w:t>[INSERT: data source]</w:t>
            </w:r>
          </w:p>
        </w:tc>
      </w:tr>
    </w:tbl>
    <w:p>
      <w:pPr>
        <w:pStyle w:val="Default"/>
      </w:pPr>
    </w:p>
    <w:p>
      <w:pPr>
        <w:pStyle w:val="NormalNumberedtext"/>
      </w:pPr>
      <w:r>
        <w:t xml:space="preserve">Annual HSESC performance reporting includes an analysis of all monitoring data collected across the reporting year, performance against all targets defined in Table 3, and outcomes from the SMM maturity assessment. The HSESC Manager presents the annual performance report to </w:t>
      </w:r>
    </w:p>
    <w:p>
      <w:pPr>
        <w:pStyle w:val="NormalNumberedtext"/>
      </w:pPr>
      <w:r>
        <w:rPr>
          <w:b/>
          <w:bCs/>
          <w:color w:val="0059D1"/>
        </w:rPr>
        <w:t>[INSERT: annual_report_audience] — Enter the governance body or role to whom the annual HSESC performance report is presented, e.g. the Project Steering Committee</w:t>
      </w:r>
    </w:p>
    <w:p>
      <w:pPr>
        <w:pStyle w:val="NormalNumberedtext"/>
      </w:pPr>
      <w:r>
        <w:t>. Annual analysis findings are used as inputs to the improvement planning process under RTPR-HSE-PRO-0007.</w:t>
      </w:r>
    </w:p>
    <w:p>
      <w:pPr>
        <w:pStyle w:val="Heading1Numbered"/>
      </w:pPr>
      <w:r>
        <w:t>10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HSESC</w:t>
            </w:r>
          </w:p>
        </w:tc>
        <w:tc>
          <w:tcPr/>
          <w:p>
            <w:pPr>
              <w:pStyle w:val="TableContents"/>
            </w:pPr>
            <w:r>
              <w:t>Health, Safety, Environment and Security and Community — the integrated discipline framework governing all related management activities on Rio Tinto owner-led projects.</w:t>
            </w:r>
          </w:p>
        </w:tc>
      </w:tr>
      <w:tr>
        <w:tc>
          <w:tcPr/>
          <w:p>
            <w:pPr>
              <w:pStyle w:val="TableContents"/>
            </w:pPr>
            <w:r>
              <w:t>KPI</w:t>
            </w:r>
          </w:p>
        </w:tc>
        <w:tc>
          <w:tcPr/>
          <w:p>
            <w:pPr>
              <w:pStyle w:val="TableContents"/>
            </w:pPr>
            <w:r>
              <w:t>Key Performance Indicator — a quantifiable measure used to evaluate the success of an organisation or activity in meeting objectives for HSESC performance.</w:t>
            </w:r>
          </w:p>
        </w:tc>
      </w:tr>
      <w:tr>
        <w:tc>
          <w:tcPr/>
          <w:p>
            <w:pPr>
              <w:pStyle w:val="TableContents"/>
            </w:pPr>
            <w:r>
              <w:t>TARP</w:t>
            </w:r>
          </w:p>
        </w:tc>
        <w:tc>
          <w:tcPr/>
          <w:p>
            <w:pPr>
              <w:pStyle w:val="TableContents"/>
            </w:pPr>
            <w:r>
              <w:t>Trigger Action Response Plan — a pre-defined escalation framework that specifies the actions to be taken when a monitored parameter reaches or exceeds a defined threshold or trigger level.</w:t>
            </w:r>
          </w:p>
        </w:tc>
      </w:tr>
      <w:tr>
        <w:tc>
          <w:tcPr/>
          <w:p>
            <w:pPr>
              <w:pStyle w:val="TableContents"/>
            </w:pPr>
            <w:r>
              <w:t>LTI</w:t>
            </w:r>
          </w:p>
        </w:tc>
        <w:tc>
          <w:tcPr/>
          <w:p>
            <w:pPr>
              <w:pStyle w:val="TableContents"/>
            </w:pPr>
            <w:r>
              <w:t>Lost Time Injury — a work-related injury or illness that results in the affected person being unable to perform their normal duties on any day subsequent to the day of the incident.</w:t>
            </w:r>
          </w:p>
        </w:tc>
      </w:tr>
      <w:tr>
        <w:tc>
          <w:tcPr/>
          <w:p>
            <w:pPr>
              <w:pStyle w:val="TableContents"/>
            </w:pPr>
            <w:r>
              <w:t>LTIFR</w:t>
            </w:r>
          </w:p>
        </w:tc>
        <w:tc>
          <w:tcPr/>
          <w:p>
            <w:pPr>
              <w:pStyle w:val="TableContents"/>
            </w:pPr>
            <w:r>
              <w:t>Lost Time Injury Frequency Rate — the number of lost time injuries per million hours worked, used as a lagging indicator of safety performance.</w:t>
            </w:r>
          </w:p>
        </w:tc>
      </w:tr>
      <w:tr>
        <w:tc>
          <w:tcPr/>
          <w:p>
            <w:pPr>
              <w:pStyle w:val="TableContents"/>
            </w:pPr>
            <w:r>
              <w:t>TRIFR</w:t>
            </w:r>
          </w:p>
        </w:tc>
        <w:tc>
          <w:tcPr/>
          <w:p>
            <w:pPr>
              <w:pStyle w:val="TableContents"/>
            </w:pPr>
            <w:r>
              <w:t>Total Recordable Injury Frequency Rate — the number of recordable injuries per million hours worked, encompassing lost time injuries, restricted work cases and medical treatment cases.</w:t>
            </w:r>
          </w:p>
        </w:tc>
      </w:tr>
      <w:tr>
        <w:tc>
          <w:tcPr/>
          <w:p>
            <w:pPr>
              <w:pStyle w:val="TableContents"/>
            </w:pPr>
            <w:r>
              <w:t>MTC</w:t>
            </w:r>
          </w:p>
        </w:tc>
        <w:tc>
          <w:tcPr/>
          <w:p>
            <w:pPr>
              <w:pStyle w:val="TableContents"/>
            </w:pPr>
            <w:r>
              <w:t>Medical Treatment Case — a work-related injury or illness that requires treatment by a medical professional beyond first aid but does not result in lost time or restricted work.</w:t>
            </w:r>
          </w:p>
        </w:tc>
      </w:tr>
      <w:tr>
        <w:tc>
          <w:tcPr/>
          <w:p>
            <w:pPr>
              <w:pStyle w:val="TableContents"/>
            </w:pPr>
            <w:r>
              <w:t>RWC</w:t>
            </w:r>
          </w:p>
        </w:tc>
        <w:tc>
          <w:tcPr/>
          <w:p>
            <w:pPr>
              <w:pStyle w:val="TableContents"/>
            </w:pPr>
            <w:r>
              <w:t>Restricted Work Case — a work-related injury or illness where the affected person is unable to perform one or more of their routine job functions on any day subsequent to the day of the incident.</w:t>
            </w:r>
          </w:p>
        </w:tc>
      </w:tr>
      <w:tr>
        <w:tc>
          <w:tcPr/>
          <w:p>
            <w:pPr>
              <w:pStyle w:val="TableContents"/>
            </w:pPr>
            <w:r>
              <w:t>NCR</w:t>
            </w:r>
          </w:p>
        </w:tc>
        <w:tc>
          <w:tcPr/>
          <w:p>
            <w:pPr>
              <w:pStyle w:val="TableContents"/>
            </w:pPr>
            <w:r>
              <w:t>Non-Conformance Report — a formal document recording a deviation from a specified requirement, standard, procedure or plan, requiring corrective or preventive action.</w:t>
            </w:r>
          </w:p>
        </w:tc>
      </w:tr>
      <w:tr>
        <w:tc>
          <w:tcPr/>
          <w:p>
            <w:pPr>
              <w:pStyle w:val="TableContents"/>
            </w:pPr>
            <w:r>
              <w:t>PRO</w:t>
            </w:r>
          </w:p>
        </w:tc>
        <w:tc>
          <w:tcPr/>
          <w:p>
            <w:pPr>
              <w:pStyle w:val="TableContents"/>
            </w:pPr>
            <w:r>
              <w:t>Procedure — a documented set of instructions specifying the manner in which an activity or process is to be carried out within the project management system.</w:t>
            </w:r>
          </w:p>
        </w:tc>
      </w:tr>
      <w:tr>
        <w:tc>
          <w:tcPr/>
          <w:p>
            <w:pPr>
              <w:pStyle w:val="TableContents"/>
            </w:pPr>
            <w:r>
              <w:t>RT</w:t>
            </w:r>
          </w:p>
        </w:tc>
        <w:tc>
          <w:tcPr/>
          <w:p>
            <w:pPr>
              <w:pStyle w:val="TableContents"/>
            </w:pPr>
            <w:r>
              <w:t>Rio Tinto — the project owner and parent organisation responsible for setting the overarching standards, frameworks and requirements applicable to all owner-led projects.</w:t>
            </w:r>
          </w:p>
        </w:tc>
      </w:tr>
      <w:tr>
        <w:tc>
          <w:tcPr/>
          <w:p>
            <w:pPr>
              <w:pStyle w:val="TableContents"/>
            </w:pPr>
            <w:r>
              <w:t>RTPR</w:t>
            </w:r>
          </w:p>
        </w:tc>
        <w:tc>
          <w:tcPr/>
          <w:p>
            <w:pPr>
              <w:pStyle w:val="TableContents"/>
            </w:pPr>
            <w:r>
              <w:t>Rio Tinto Projects — the owner-led project delivery function of Rio Tinto responsible for implementing and maintaining the HSESC management system on capital projects.</w:t>
            </w:r>
          </w:p>
        </w:tc>
      </w:tr>
      <w:tr>
        <w:tc>
          <w:tcPr/>
          <w:p>
            <w:pPr>
              <w:pStyle w:val="TableContents"/>
            </w:pPr>
            <w:r>
              <w:t>HSE</w:t>
            </w:r>
          </w:p>
        </w:tc>
        <w:tc>
          <w:tcPr/>
          <w:p>
            <w:pPr>
              <w:pStyle w:val="TableContents"/>
            </w:pPr>
            <w:r>
              <w:t>Health, Safety and Environment — the combined discipline area covering occupational health, workplace safety and environmental management obligations.</w:t>
            </w:r>
          </w:p>
        </w:tc>
      </w:tr>
      <w:tr>
        <w:tc>
          <w:tcPr/>
          <w:p>
            <w:pPr>
              <w:pStyle w:val="TableContents"/>
            </w:pPr>
            <w:r>
              <w:t>ITP</w:t>
            </w:r>
          </w:p>
        </w:tc>
        <w:tc>
          <w:tcPr/>
          <w:p>
            <w:pPr>
              <w:pStyle w:val="TableContents"/>
            </w:pPr>
            <w:r>
              <w:t>Inspection and Test Plan — a quality and HSESC document that identifies the inspections, tests and hold or witness points required to verify that work activities comply with specified requirements.</w:t>
            </w:r>
          </w:p>
        </w:tc>
      </w:tr>
      <w:tr>
        <w:tc>
          <w:tcPr/>
          <w:p>
            <w:pPr>
              <w:pStyle w:val="TableContents"/>
            </w:pPr>
            <w:r>
              <w:t>PPE</w:t>
            </w:r>
          </w:p>
        </w:tc>
        <w:tc>
          <w:tcPr/>
          <w:p>
            <w:pPr>
              <w:pStyle w:val="TableContents"/>
            </w:pPr>
            <w:r>
              <w:t>Personal Protective Equipment — equipment worn or used by a person to minimise exposure to hazards that could cause injury or illness in the workplace.</w:t>
            </w:r>
          </w:p>
        </w:tc>
      </w:tr>
      <w:tr>
        <w:tc>
          <w:tcPr/>
          <w:p>
            <w:pPr>
              <w:pStyle w:val="TableContents"/>
            </w:pPr>
            <w:r>
              <w:t>OHS</w:t>
            </w:r>
          </w:p>
        </w:tc>
        <w:tc>
          <w:tcPr/>
          <w:p>
            <w:pPr>
              <w:pStyle w:val="TableContents"/>
            </w:pPr>
            <w:r>
              <w:t>Occupational Health and Safety — the discipline concerned with the safety, health and welfare of people engaged in work or employment, used interchangeably with WHS in some jurisdictions.</w:t>
            </w:r>
          </w:p>
        </w:tc>
      </w:tr>
      <w:tr>
        <w:tc>
          <w:tcPr/>
          <w:p>
            <w:pPr>
              <w:pStyle w:val="TableContents"/>
            </w:pPr>
            <w:r>
              <w:t>WHS</w:t>
            </w:r>
          </w:p>
        </w:tc>
        <w:tc>
          <w:tcPr/>
          <w:p>
            <w:pPr>
              <w:pStyle w:val="TableContents"/>
            </w:pPr>
            <w:r>
              <w:t>Work Health and Safety — the legislative and management framework governing the health and safety of workers and others affected by work activities, as defined under applicable Australian legislation.</w:t>
            </w:r>
          </w:p>
        </w:tc>
      </w:tr>
      <w:tr>
        <w:tc>
          <w:tcPr/>
          <w:p>
            <w:pPr>
              <w:pStyle w:val="TableContents"/>
            </w:pPr>
            <w:r>
              <w:t>PCBU</w:t>
            </w:r>
          </w:p>
        </w:tc>
        <w:tc>
          <w:tcPr/>
          <w:p>
            <w:pPr>
              <w:pStyle w:val="TableContents"/>
            </w:pPr>
            <w:r>
              <w:t>Person Conducting a Business or Undertaking — a legal term under the Work Health and Safety Act 2011 (Cth) referring to any entity that conducts a business or undertaking, including Rio Tinto as the project owner.</w:t>
            </w:r>
          </w:p>
        </w:tc>
      </w:tr>
      <w:tr>
        <w:tc>
          <w:tcPr/>
          <w:p>
            <w:pPr>
              <w:pStyle w:val="TableContents"/>
            </w:pPr>
            <w:r>
              <w:t>ISO</w:t>
            </w:r>
          </w:p>
        </w:tc>
        <w:tc>
          <w:tcPr/>
          <w:p>
            <w:pPr>
              <w:pStyle w:val="TableContents"/>
            </w:pPr>
            <w:r>
              <w:t>International Organization for Standardization — the international body responsible for developing and publishing voluntary international standards, including ISO 14001 and ISO 45001 applicable to HSESC management systems.</w:t>
            </w:r>
          </w:p>
        </w:tc>
      </w:tr>
      <w:tr>
        <w:tc>
          <w:tcPr/>
          <w:p>
            <w:pPr>
              <w:pStyle w:val="TableContents"/>
            </w:pPr>
            <w:r>
              <w:t>CAPA</w:t>
            </w:r>
          </w:p>
        </w:tc>
        <w:tc>
          <w:tcPr/>
          <w:p>
            <w:pPr>
              <w:pStyle w:val="TableContents"/>
            </w:pPr>
            <w:r>
              <w:t>Corrective and Preventive Action — a systematic process for identifying, documenting, analysing and resolving non-conformances and for preventing recurrence or occurrence of potential non-conformances.</w:t>
            </w:r>
          </w:p>
        </w:tc>
      </w:tr>
      <w:tr>
        <w:tc>
          <w:tcPr/>
          <w:p>
            <w:pPr>
              <w:pStyle w:val="TableContents"/>
            </w:pPr>
            <w:r>
              <w:t>PMT</w:t>
            </w:r>
          </w:p>
        </w:tc>
        <w:tc>
          <w:tcPr/>
          <w:p>
            <w:pPr>
              <w:pStyle w:val="TableContents"/>
            </w:pPr>
            <w:r>
              <w:t>Project Management Team — the owner-led team responsible for directing, overseeing and administering all aspects of a capital project on behalf of Rio Tinto, including HSESC compliance.</w:t>
            </w:r>
          </w:p>
        </w:tc>
      </w:tr>
      <w:tr>
        <w:tc>
          <w:tcPr/>
          <w:p>
            <w:pPr>
              <w:pStyle w:val="TableContents"/>
            </w:pPr>
            <w:r>
              <w:t>HSESC MS</w:t>
            </w:r>
          </w:p>
        </w:tc>
        <w:tc>
          <w:tcPr/>
          <w:p>
            <w:pPr>
              <w:pStyle w:val="TableContents"/>
            </w:pPr>
            <w:r>
              <w:t>HSESC Management System — the integrated suite of policies, standards, procedures, plans and records that collectively define how HSESC obligations are managed on Rio Tinto owner-led projects.</w:t>
            </w:r>
          </w:p>
        </w:tc>
      </w:tr>
      <w:tr>
        <w:tc>
          <w:tcPr/>
          <w:p>
            <w:pPr>
              <w:pStyle w:val="TableContents"/>
            </w:pPr>
            <w:r>
              <w:t>EMS</w:t>
            </w:r>
          </w:p>
        </w:tc>
        <w:tc>
          <w:tcPr/>
          <w:p>
            <w:pPr>
              <w:pStyle w:val="TableContents"/>
            </w:pPr>
            <w:r>
              <w:t>Environmental Management System — the component of the overall management system used to manage environmental aspects, impacts, obligations and performance in accordance with ISO 14001 or equivalent framework.</w:t>
            </w:r>
          </w:p>
        </w:tc>
      </w:tr>
      <w:tr>
        <w:tc>
          <w:tcPr/>
          <w:p>
            <w:pPr>
              <w:pStyle w:val="TableContents"/>
            </w:pPr>
            <w:r>
              <w:t>SMP</w:t>
            </w:r>
          </w:p>
        </w:tc>
        <w:tc>
          <w:tcPr/>
          <w:p>
            <w:pPr>
              <w:pStyle w:val="TableContents"/>
            </w:pPr>
            <w:r>
              <w:t>Site Management Plan — a high-level document that describes how HSESC and project requirements will be managed and implemented for a specific site or project phase.</w:t>
            </w:r>
          </w:p>
        </w:tc>
      </w:tr>
      <w:tr>
        <w:tc>
          <w:tcPr/>
          <w:p>
            <w:pPr>
              <w:pStyle w:val="TableContents"/>
            </w:pPr>
            <w:r>
              <w:t>CEMP</w:t>
            </w:r>
          </w:p>
        </w:tc>
        <w:tc>
          <w:tcPr/>
          <w:p>
            <w:pPr>
              <w:pStyle w:val="TableContents"/>
            </w:pPr>
            <w:r>
              <w:t>Construction Environmental Management Plan — a document that describes the environmental management measures, monitoring requirements and responsibilities to be applied during construction activities.</w:t>
            </w:r>
          </w:p>
        </w:tc>
      </w:tr>
      <w:tr>
        <w:tc>
          <w:tcPr/>
          <w:p>
            <w:pPr>
              <w:pStyle w:val="TableContents"/>
            </w:pPr>
            <w:r>
              <w:t>AIR</w:t>
            </w:r>
          </w:p>
        </w:tc>
        <w:tc>
          <w:tcPr/>
          <w:p>
            <w:pPr>
              <w:pStyle w:val="TableContents"/>
            </w:pPr>
            <w:r>
              <w:t>Action Item Register — a tracked record of all identified actions, responsibilities, due dates and completion statuses arising from inspections, audits, incidents, TARPs and monitoring activities.</w:t>
            </w:r>
          </w:p>
        </w:tc>
      </w:tr>
      <w:tr>
        <w:tc>
          <w:tcPr/>
          <w:p>
            <w:pPr>
              <w:pStyle w:val="TableContents"/>
            </w:pPr>
            <w:r>
              <w:t>BoW</w:t>
            </w:r>
          </w:p>
        </w:tc>
        <w:tc>
          <w:tcPr/>
          <w:p>
            <w:pPr>
              <w:pStyle w:val="TableContents"/>
            </w:pPr>
            <w:r>
              <w:t>Basis of Work — the documented scope, schedule and cost baseline against which project performance is measured and managed.</w:t>
            </w:r>
          </w:p>
        </w:tc>
      </w:tr>
      <w:tr>
        <w:tc>
          <w:tcPr/>
          <w:p>
            <w:pPr>
              <w:pStyle w:val="TableContents"/>
            </w:pPr>
            <w:r>
              <w:t>SIMOPS</w:t>
            </w:r>
          </w:p>
        </w:tc>
        <w:tc>
          <w:tcPr/>
          <w:p>
            <w:pPr>
              <w:pStyle w:val="TableContents"/>
            </w:pPr>
            <w:r>
              <w:t>Simultaneous Operations — a condition in which two or more operations or activities are conducted at the same time or in the same location, requiring enhanced hazard identification, monitoring and coordination controls.</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11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Improvement Planning Procedure</w:t>
            </w:r>
          </w:p>
        </w:tc>
        <w:tc>
          <w:tcPr/>
          <w:p>
            <w:pPr>
              <w:pStyle w:val="TableContents"/>
            </w:pPr>
            <w:r>
              <w:t>RTPR-HSE-PRO-0007</w:t>
            </w:r>
          </w:p>
        </w:tc>
        <w:tc>
          <w:tcPr/>
          <w:p>
            <w:pPr>
              <w:pStyle w:val="TableContents"/>
            </w:pPr>
            <w:r>
              <w:t>Internal procedure</w:t>
            </w:r>
          </w:p>
        </w:tc>
      </w:tr>
      <w:tr>
        <w:tc>
          <w:tcPr/>
          <w:p>
            <w:pPr>
              <w:pStyle w:val="TableContents"/>
            </w:pPr>
            <w:r>
              <w:t>Auditing Procedure</w:t>
            </w:r>
          </w:p>
        </w:tc>
        <w:tc>
          <w:tcPr/>
          <w:p>
            <w:pPr>
              <w:pStyle w:val="TableContents"/>
            </w:pPr>
            <w:r>
              <w:t>RTPR-HSE-PRO-0044</w:t>
            </w:r>
          </w:p>
        </w:tc>
        <w:tc>
          <w:tcPr/>
          <w:p>
            <w:pPr>
              <w:pStyle w:val="TableContents"/>
            </w:pPr>
            <w:r>
              <w:t>Internal procedure</w:t>
            </w:r>
          </w:p>
        </w:tc>
      </w:tr>
      <w:tr>
        <w:tc>
          <w:tcPr/>
          <w:p>
            <w:pPr>
              <w:pStyle w:val="TableContents"/>
            </w:pPr>
            <w:r>
              <w:t>Environmental Procedure — Air Quality Management</w:t>
            </w:r>
          </w:p>
        </w:tc>
        <w:tc>
          <w:tcPr/>
          <w:p>
            <w:pPr>
              <w:pStyle w:val="TableContents"/>
            </w:pPr>
            <w:r>
              <w:t>RTPR-HSE-PRO-0034</w:t>
            </w:r>
          </w:p>
        </w:tc>
        <w:tc>
          <w:tcPr/>
          <w:p>
            <w:pPr>
              <w:pStyle w:val="TableContents"/>
            </w:pPr>
            <w:r>
              <w:t>Internal procedure</w:t>
            </w:r>
          </w:p>
        </w:tc>
      </w:tr>
      <w:tr>
        <w:tc>
          <w:tcPr/>
          <w:p>
            <w:pPr>
              <w:pStyle w:val="TableContents"/>
            </w:pPr>
            <w:r>
              <w:t>Environmental Procedure — Water Management</w:t>
            </w:r>
          </w:p>
        </w:tc>
        <w:tc>
          <w:tcPr/>
          <w:p>
            <w:pPr>
              <w:pStyle w:val="TableContents"/>
            </w:pPr>
            <w:r>
              <w:t>RTPR-HSE-PRO-0035</w:t>
            </w:r>
          </w:p>
        </w:tc>
        <w:tc>
          <w:tcPr/>
          <w:p>
            <w:pPr>
              <w:pStyle w:val="TableContents"/>
            </w:pPr>
            <w:r>
              <w:t>Internal procedure</w:t>
            </w:r>
          </w:p>
        </w:tc>
      </w:tr>
      <w:tr>
        <w:tc>
          <w:tcPr/>
          <w:p>
            <w:pPr>
              <w:pStyle w:val="TableContents"/>
            </w:pPr>
            <w:r>
              <w:t>Environmental Procedure — Contamination and Waste Management</w:t>
            </w:r>
          </w:p>
        </w:tc>
        <w:tc>
          <w:tcPr/>
          <w:p>
            <w:pPr>
              <w:pStyle w:val="TableContents"/>
            </w:pPr>
            <w:r>
              <w:t>RTPR-HSE-PRO-0038</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 Monitoring and Review Requirements</w:t>
            </w:r>
          </w:p>
        </w:tc>
        <w:tc>
          <w:tcPr/>
          <w:p>
            <w:pPr>
              <w:pStyle w:val="TableContents"/>
            </w:pPr>
            <w:r>
              <w:t>RT Risk Management Standard — Appendix C, C-1</w:t>
            </w:r>
          </w:p>
        </w:tc>
        <w:tc>
          <w:tcPr/>
          <w:p>
            <w:pPr>
              <w:pStyle w:val="TableContents"/>
            </w:pPr>
            <w:r>
              <w:t>External RT</w:t>
            </w:r>
          </w:p>
        </w:tc>
      </w:tr>
      <w:tr>
        <w:tc>
          <w:tcPr/>
          <w:p>
            <w:pPr>
              <w:pStyle w:val="TableContents"/>
            </w:pPr>
            <w:r>
              <w:t>Rio Tinto Health, Safety and Environment Policy</w:t>
            </w:r>
          </w:p>
        </w:tc>
        <w:tc>
          <w:tcPr/>
          <w:p>
            <w:pPr>
              <w:pStyle w:val="TableContents"/>
            </w:pPr>
            <w:r>
              <w:t>RT HSE Policy</w:t>
            </w:r>
          </w:p>
        </w:tc>
        <w:tc>
          <w:tcPr/>
          <w:p>
            <w:pPr>
              <w:pStyle w:val="TableContents"/>
            </w:pPr>
            <w:r>
              <w:t>External RT</w:t>
            </w:r>
          </w:p>
        </w:tc>
      </w:tr>
      <w:tr>
        <w:tc>
          <w:tcPr/>
          <w:p>
            <w:pPr>
              <w:pStyle w:val="TableContents"/>
            </w:pPr>
            <w:r>
              <w:t>Rio Tinto Security and Community Standards</w:t>
            </w:r>
          </w:p>
        </w:tc>
        <w:tc>
          <w:tcPr/>
          <w:p>
            <w:pPr>
              <w:pStyle w:val="TableContents"/>
            </w:pPr>
            <w:r>
              <w:t>RT Security and Community Standards</w:t>
            </w:r>
          </w:p>
        </w:tc>
        <w:tc>
          <w:tcPr/>
          <w:p>
            <w:pPr>
              <w:pStyle w:val="TableContents"/>
            </w:pPr>
            <w:r>
              <w:t>External RT</w:t>
            </w:r>
          </w:p>
        </w:tc>
      </w:tr>
      <w:tr>
        <w:tc>
          <w:tcPr/>
          <w:p>
            <w:pPr>
              <w:pStyle w:val="TableContents"/>
            </w:pPr>
            <w:r>
              <w:t>Occupational Health and Safety Management Systems — Requirements with Guidance for Use</w:t>
            </w:r>
          </w:p>
        </w:tc>
        <w:tc>
          <w:tcPr/>
          <w:p>
            <w:pPr>
              <w:pStyle w:val="TableContents"/>
            </w:pPr>
            <w:r>
              <w:t>ISO 45001:2018</w:t>
            </w:r>
          </w:p>
        </w:tc>
        <w:tc>
          <w:tcPr/>
          <w:p>
            <w:pPr>
              <w:pStyle w:val="TableContents"/>
            </w:pPr>
            <w:r>
              <w:t>External framework</w:t>
            </w:r>
          </w:p>
        </w:tc>
      </w:tr>
      <w:tr>
        <w:tc>
          <w:tcPr/>
          <w:p>
            <w:pPr>
              <w:pStyle w:val="TableContents"/>
            </w:pPr>
            <w:r>
              <w:t>Environmental Management Systems — Requirements with Guidance for Use</w:t>
            </w:r>
          </w:p>
        </w:tc>
        <w:tc>
          <w:tcPr/>
          <w:p>
            <w:pPr>
              <w:pStyle w:val="TableContents"/>
            </w:pPr>
            <w:r>
              <w:t>ISO 14001:2015</w:t>
            </w:r>
          </w:p>
        </w:tc>
        <w:tc>
          <w:tcPr/>
          <w:p>
            <w:pPr>
              <w:pStyle w:val="TableContents"/>
            </w:pPr>
            <w:r>
              <w:t>External framework</w:t>
            </w:r>
          </w:p>
        </w:tc>
      </w:tr>
      <w:tr>
        <w:tc>
          <w:tcPr/>
          <w:p>
            <w:pPr>
              <w:pStyle w:val="TableContents"/>
            </w:pPr>
            <w:r>
              <w:t>Measurement Management Systems — Requirements for Measurement Processes and Measuring Equipment</w:t>
            </w:r>
          </w:p>
        </w:tc>
        <w:tc>
          <w:tcPr/>
          <w:p>
            <w:pPr>
              <w:pStyle w:val="TableContents"/>
            </w:pPr>
            <w:r>
              <w:t>ISO 10012:2003</w:t>
            </w:r>
          </w:p>
        </w:tc>
        <w:tc>
          <w:tcPr/>
          <w:p>
            <w:pPr>
              <w:pStyle w:val="TableContents"/>
            </w:pPr>
            <w:r>
              <w:t>External framework</w:t>
            </w:r>
          </w:p>
        </w:tc>
      </w:tr>
      <w:tr>
        <w:tc>
          <w:tcPr/>
          <w:p>
            <w:pPr>
              <w:pStyle w:val="TableContents"/>
            </w:pPr>
            <w:r>
              <w:t>Work Health and Safety Act</w:t>
            </w:r>
          </w:p>
        </w:tc>
        <w:tc>
          <w:tcPr/>
          <w:p>
            <w:pPr>
              <w:pStyle w:val="TableContents"/>
            </w:pPr>
            <w:r>
              <w:t>WHS Act 2011 (Cth)</w:t>
            </w:r>
          </w:p>
        </w:tc>
        <w:tc>
          <w:tcPr/>
          <w:p>
            <w:pPr>
              <w:pStyle w:val="TableContents"/>
            </w:pPr>
            <w:r>
              <w:t>External framework</w:t>
            </w:r>
          </w:p>
        </w:tc>
      </w:tr>
      <w:tr>
        <w:tc>
          <w:tcPr/>
          <w:p>
            <w:pPr>
              <w:pStyle w:val="TableContents"/>
            </w:pPr>
            <w:r>
              <w:t>Work Health and Safety Regulations</w:t>
            </w:r>
          </w:p>
        </w:tc>
        <w:tc>
          <w:tcPr/>
          <w:p>
            <w:pPr>
              <w:pStyle w:val="TableContents"/>
            </w:pPr>
            <w:r>
              <w:t>WHS Regulations 2011 (Cth)</w:t>
            </w:r>
          </w:p>
        </w:tc>
        <w:tc>
          <w:tcPr/>
          <w:p>
            <w:pPr>
              <w:pStyle w:val="TableContents"/>
            </w:pPr>
            <w:r>
              <w:t>External framework</w:t>
            </w:r>
          </w:p>
        </w:tc>
      </w:tr>
      <w:tr>
        <w:tc>
          <w:tcPr/>
          <w:p>
            <w:pPr>
              <w:pStyle w:val="TableContents"/>
            </w:pPr>
            <w:r>
              <w:t>Rio Tinto Projects HSESC Management System Manual</w:t>
            </w:r>
          </w:p>
        </w:tc>
        <w:tc>
          <w:tcPr/>
          <w:p>
            <w:pPr>
              <w:pStyle w:val="TableContents"/>
            </w:pPr>
            <w:r>
              <w:t>RTPR-HSE-MAN-0001</w:t>
            </w:r>
          </w:p>
        </w:tc>
        <w:tc>
          <w:tcPr/>
          <w:p>
            <w:pPr>
              <w:pStyle w:val="TableContents"/>
            </w:pPr>
            <w:r>
              <w:t>Internal procedure</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12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13  Source Requirements Traceability (DELETE BEFORE ISSUE)</w:t>
      </w:r>
    </w:p>
    <w:p>
      <w:pPr>
        <w:pStyle w:val="Heading2Numbered"/>
      </w:pPr>
      <w:r>
        <w:t>13.1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RT Standard RT – Management &amp; Compliance Standard</w:t>
            </w:r>
          </w:p>
        </w:tc>
        <w:tc>
          <w:tcPr/>
          <w:p>
            <w:pPr>
              <w:pStyle w:val="TableContents"/>
            </w:pPr>
            <w:r>
              <w:t>Requires definition of the HSESC monitoring programme scope covering safety, health, environmental, CRM, SMM and social performance indicators.</w:t>
            </w:r>
          </w:p>
        </w:tc>
        <w:tc>
          <w:tcPr/>
          <w:p>
            <w:pPr>
              <w:pStyle w:val="TableContents"/>
            </w:pPr>
            <w:r>
              <w:t>Full</w:t>
            </w:r>
          </w:p>
        </w:tc>
      </w:tr>
      <w:tr>
        <w:tc>
          <w:tcPr/>
          <w:p>
            <w:pPr>
              <w:pStyle w:val="TableContents"/>
            </w:pPr>
            <w:r>
              <w:rPr>
                <w:b/>
                <w:bCs/>
                <w:color w:val="0059D1"/>
              </w:rPr>
              <w:t>[INSERT: section]</w:t>
            </w:r>
          </w:p>
        </w:tc>
        <w:tc>
          <w:tcPr/>
          <w:p>
            <w:pPr>
              <w:pStyle w:val="TableContents"/>
            </w:pPr>
            <w:r>
              <w:t>RT Standard RT Environment and Nature – General Requirements Standard</w:t>
            </w:r>
          </w:p>
        </w:tc>
        <w:tc>
          <w:tcPr/>
          <w:p>
            <w:pPr>
              <w:pStyle w:val="TableContents"/>
            </w:pPr>
            <w:r>
              <w:t>Requires Trigger Action Response Plans for all material environmental and safety risks with defined trigger levels, actions, escalation paths and response timeframes.</w:t>
            </w:r>
          </w:p>
        </w:tc>
        <w:tc>
          <w:tcPr/>
          <w:p>
            <w:pPr>
              <w:pStyle w:val="TableContents"/>
            </w:pPr>
            <w:r>
              <w:t>Full</w:t>
            </w:r>
          </w:p>
        </w:tc>
      </w:tr>
      <w:tr>
        <w:tc>
          <w:tcPr/>
          <w:p>
            <w:pPr>
              <w:pStyle w:val="TableContents"/>
            </w:pPr>
            <w:r>
              <w:rPr>
                <w:b/>
                <w:bCs/>
                <w:color w:val="0059D1"/>
              </w:rPr>
              <w:t>[INSERT: section]</w:t>
            </w:r>
          </w:p>
        </w:tc>
        <w:tc>
          <w:tcPr/>
          <w:p>
            <w:pPr>
              <w:pStyle w:val="TableContents"/>
            </w:pPr>
            <w:r>
              <w:t>RT Standard RT C5 – Confined Space Standard / RT C2 – Electrical Safety Standard</w:t>
            </w:r>
          </w:p>
        </w:tc>
        <w:tc>
          <w:tcPr/>
          <w:p>
            <w:pPr>
              <w:pStyle w:val="TableContents"/>
            </w:pPr>
            <w:r>
              <w:t>Requires all safety-critical measuring and monitoring equipment to be calibrated per manufacturer requirements and gas detectors to be bump-tested before each use.</w:t>
            </w:r>
          </w:p>
        </w:tc>
        <w:tc>
          <w:tcPr/>
          <w:p>
            <w:pPr>
              <w:pStyle w:val="TableContents"/>
            </w:pPr>
            <w:r>
              <w:t>Full</w:t>
            </w:r>
          </w:p>
        </w:tc>
      </w:tr>
      <w:tr>
        <w:tc>
          <w:tcPr/>
          <w:p>
            <w:pPr>
              <w:pStyle w:val="TableContents"/>
            </w:pPr>
            <w:r>
              <w:rPr>
                <w:b/>
                <w:bCs/>
                <w:color w:val="0059D1"/>
              </w:rPr>
              <w:t>[INSERT: section]</w:t>
            </w:r>
          </w:p>
        </w:tc>
        <w:tc>
          <w:tcPr/>
          <w:p>
            <w:pPr>
              <w:pStyle w:val="TableContents"/>
            </w:pPr>
            <w:r>
              <w:t>Appendix C C-1 §40</w:t>
            </w:r>
          </w:p>
        </w:tc>
        <w:tc>
          <w:tcPr/>
          <w:p>
            <w:pPr>
              <w:pStyle w:val="TableContents"/>
            </w:pPr>
            <w:r>
              <w:t>Requires a planned HSESC inspection programme covering site inspections, equipment inspections, CCFVs, PTW compliance checks and process safety proof tests.</w:t>
            </w:r>
          </w:p>
        </w:tc>
        <w:tc>
          <w:tcPr/>
          <w:p>
            <w:pPr>
              <w:pStyle w:val="TableContents"/>
            </w:pPr>
            <w:r>
              <w:t>Full</w:t>
            </w:r>
          </w:p>
        </w:tc>
      </w:tr>
      <w:tr>
        <w:tc>
          <w:tcPr/>
          <w:p>
            <w:pPr>
              <w:pStyle w:val="TableContents"/>
            </w:pPr>
            <w:r>
              <w:rPr>
                <w:b/>
                <w:bCs/>
                <w:color w:val="0059D1"/>
              </w:rPr>
              <w:t>[INSERT: section]</w:t>
            </w:r>
          </w:p>
        </w:tc>
        <w:tc>
          <w:tcPr/>
          <w:p>
            <w:pPr>
              <w:pStyle w:val="TableContents"/>
            </w:pPr>
            <w:r>
              <w:t>IFC PS1 §22</w:t>
            </w:r>
          </w:p>
        </w:tc>
        <w:tc>
          <w:tcPr/>
          <w:p>
            <w:pPr>
              <w:pStyle w:val="TableContents"/>
            </w:pPr>
            <w:r>
              <w:t>Requires monitoring frequency, methodology, QA/QC, responsible roles and data recording to be defined, with monitoring data analysed and interpreted at least annually.</w:t>
            </w:r>
          </w:p>
        </w:tc>
        <w:tc>
          <w:tcPr/>
          <w:p>
            <w:pPr>
              <w:pStyle w:val="TableContents"/>
            </w:pPr>
            <w:r>
              <w:t>Full</w:t>
            </w:r>
          </w:p>
        </w:tc>
      </w:tr>
      <w:tr>
        <w:tc>
          <w:tcPr/>
          <w:p>
            <w:pPr>
              <w:pStyle w:val="TableContents"/>
            </w:pPr>
            <w:r>
              <w:rPr>
                <w:b/>
                <w:bCs/>
                <w:color w:val="0059D1"/>
              </w:rPr>
              <w:t>[INSERT: section]</w:t>
            </w:r>
          </w:p>
        </w:tc>
        <w:tc>
          <w:tcPr/>
          <w:p>
            <w:pPr>
              <w:pStyle w:val="TableContents"/>
            </w:pPr>
            <w:r>
              <w:t>IFC PS1 §11</w:t>
            </w:r>
          </w:p>
        </w:tc>
        <w:tc>
          <w:tcPr/>
          <w:p>
            <w:pPr>
              <w:pStyle w:val="TableContents"/>
            </w:pPr>
            <w:r>
              <w:t>Requires adaptive management responses to monitoring trigger events to be implemented promptly and the effectiveness of corrective actions to be verified and recorded.</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§2.9</w:t>
            </w:r>
          </w:p>
        </w:tc>
        <w:tc>
          <w:tcPr/>
          <w:p>
            <w:pPr>
              <w:pStyle w:val="TableContents"/>
            </w:pPr>
            <w:r>
              <w:t>Requires environmental monitoring to use nationally or internationally recognised analytical and sampling standards with data quality verified through QA/QC processes.</w:t>
            </w:r>
          </w:p>
        </w:tc>
        <w:tc>
          <w:tcPr/>
          <w:p>
            <w:pPr>
              <w:pStyle w:val="TableContents"/>
            </w:pPr>
            <w:r>
              <w:t>Full</w:t>
            </w:r>
          </w:p>
        </w:tc>
      </w:tr>
      <w:tr>
        <w:tc>
          <w:tcPr/>
          <w:p>
            <w:pPr>
              <w:pStyle w:val="TableContents"/>
            </w:pPr>
            <w:r>
              <w:rPr>
                <w:b/>
                <w:bCs/>
                <w:color w:val="0059D1"/>
              </w:rPr>
              <w:t>[INSERT: section]</w:t>
            </w:r>
          </w:p>
        </w:tc>
        <w:tc>
          <w:tcPr/>
          <w:p>
            <w:pPr>
              <w:pStyle w:val="TableContents"/>
            </w:pPr>
            <w:r>
              <w:t>TSM TSM – Safe, Healthy and Respectful Workplaces Protocol, Indicator SH2</w:t>
            </w:r>
          </w:p>
        </w:tc>
        <w:tc>
          <w:tcPr/>
          <w:p>
            <w:pPr>
              <w:pStyle w:val="TableContents"/>
            </w:pPr>
            <w:r>
              <w:t>Requires measurable safety and health targets to be set and monitored, with performance reported as part of the monthly and annual HSESC performance reporting cycle.</w:t>
            </w:r>
          </w:p>
        </w:tc>
        <w:tc>
          <w:tcPr/>
          <w:p>
            <w:pPr>
              <w:pStyle w:val="TableContents"/>
            </w:pPr>
            <w:r>
              <w:t>Full</w:t>
            </w:r>
          </w:p>
        </w:tc>
      </w:tr>
      <w:tr>
        <w:tc>
          <w:tcPr/>
          <w:p>
            <w:pPr>
              <w:pStyle w:val="TableContents"/>
            </w:pPr>
            <w:r>
              <w:rPr>
                <w:b/>
                <w:bCs/>
                <w:color w:val="0059D1"/>
              </w:rPr>
              <w:t>[INSERT: section]</w:t>
            </w:r>
          </w:p>
        </w:tc>
        <w:tc>
          <w:tcPr/>
          <w:p>
            <w:pPr>
              <w:pStyle w:val="TableContents"/>
            </w:pPr>
            <w:r>
              <w:t>OSHA OSHA RP 2016 – Hazard Identification and Assessment</w:t>
            </w:r>
          </w:p>
        </w:tc>
        <w:tc>
          <w:tcPr/>
          <w:p>
            <w:pPr>
              <w:pStyle w:val="TableContents"/>
            </w:pPr>
            <w:r>
              <w:t>Requires regular workplace inspections to identify new or recurring hazards with findings documented in the project action tracking system.</w:t>
            </w:r>
          </w:p>
        </w:tc>
        <w:tc>
          <w:tcPr/>
          <w:p>
            <w:pPr>
              <w:pStyle w:val="TableContents"/>
            </w:pPr>
            <w:r>
              <w:t>Full</w:t>
            </w:r>
          </w:p>
        </w:tc>
      </w:tr>
    </w:tbl>
    <w:p>
      <w:pPr>
        <w:pStyle w:val="Default"/>
      </w:pPr>
    </w:p>
    <w:p>
      <w:pPr>
        <w:pStyle w:val="Heading2Numbered"/>
      </w:pPr>
      <w:r>
        <w:t>13.2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