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Cranes and Lifting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Cranes and Lifting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crane and lifting operations - including all crane types, hoists, rigging equipment, and any equipment used as a crane - across the owner-led project. All crane operators, riggers, dogmen, and lift supervisors (whether RT or contractor personnel) must operate in accordance with this procedure.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cranes and lifting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Lifting Equipment Register</w:t>
      </w:r>
    </w:p>
    <w:p>
      <w:pPr>
        <w:pStyle w:val="NormalNumberedtext"/>
      </w:pPr>
      <w:r>
        <w:t>This section defines the minimum content requirements for the Lifting Equipment Register and the scope of equipment that must be included before any lifting operation commences on the project.</w:t>
      </w:r>
    </w:p>
    <w:p>
      <w:pPr>
        <w:pStyle w:val="NormalNumberedtext"/>
      </w:pPr>
      <w:r>
        <w:t>The Project Controls Manager maintains a Lifting Equipment Register [INSERT: Project Document Number] covering all cranes, hoists, rigging attachments, slings rated greater than one tonne, chain blocks, and lever hoists operating on the project. The register is established before mobilisation and updated whenever equipment is added to or removed from the project.</w:t>
      </w:r>
    </w:p>
    <w:p>
      <w:pPr>
        <w:pStyle w:val="NormalNumberedtext"/>
      </w:pPr>
      <w:r>
        <w:t>The Lifting Equipment Register includes, at a minimum, the following fields for each item of equipment:</w:t>
      </w:r>
    </w:p>
    <w:p>
      <w:pPr>
        <w:pStyle w:val="NumberedBulletL1"/>
      </w:pPr>
      <w:r>
        <w:t>Unique identifier</w:t>
      </w:r>
    </w:p>
    <w:p>
      <w:pPr>
        <w:pStyle w:val="NumberedBulletL1"/>
      </w:pPr>
      <w:r>
        <w:t>Equipment configuration and type</w:t>
      </w:r>
    </w:p>
    <w:p>
      <w:pPr>
        <w:pStyle w:val="NumberedBulletL1"/>
      </w:pPr>
      <w:r>
        <w:t>Commissioning date</w:t>
      </w:r>
    </w:p>
    <w:p>
      <w:pPr>
        <w:pStyle w:val="NumberedBulletL1"/>
      </w:pPr>
      <w:r>
        <w:t>Last inspection date and condition rating</w:t>
      </w:r>
    </w:p>
    <w:p>
      <w:pPr>
        <w:pStyle w:val="NumberedBulletL1"/>
      </w:pPr>
      <w:r>
        <w:t>Rated capacity and Safe Working Load (SWL)</w:t>
      </w:r>
    </w:p>
    <w:p>
      <w:pPr>
        <w:pStyle w:val="NormalNumberedtext"/>
      </w:pPr>
      <w:r>
        <w:t>The register includes all contractor-owned lifting equipment operating on the project, not only equipment owned by the project. Contractor equipment is entered into [INSERT: Project Document Number] before first use on site.</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 xml:space="preserve">PROJECT COMPLETION REQUIRED: Populate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with all cranes, hoists, and lifting equipment expected on this project before mobilisation. The register must reflect all contractor-owned equipment as well as project-owned equipment.</w:t>
            </w:r>
          </w:p>
        </w:tc>
      </w:tr>
    </w:tbl>
    <w:p>
      <w:pPr>
        <w:pStyle w:val="NormalNumberedtext"/>
      </w:pPr>
    </w:p>
    <w:p>
      <w:pPr>
        <w:pStyle w:val="Normal"/>
      </w:pPr>
      <w:r>
        <w:rPr>
          <w:b/>
          <w:bCs/>
          <w:color w:val="0059D1"/>
        </w:rPr>
        <w:t>[INSERT: Lifting Equipment Register pre-mobilisation population] — Confirm the date by which the initial register must be populated and who is responsible for coordinating contractor equipment entries into RTPR-HSE-REG-0008 before mobilisation.</w:t>
      </w:r>
    </w:p>
    <w:p>
      <w:pPr>
        <w:pStyle w:val="NormalNumberedtext"/>
      </w:pPr>
    </w:p>
    <w:p>
      <w:pPr>
        <w:pStyle w:val="Heading1Numbered"/>
        <w:numPr>
          <w:ilvl w:val="0"/>
          <w:numId w:val="1"/>
        </w:numPr>
      </w:pPr>
      <w:r>
        <w:rPr>
          <w:rFonts w:ascii="Arial" w:hAnsi="Arial" w:cs="Arial" w:eastAsia="Arial"/>
        </w:rPr>
        <w:t>Risk Assessment and Lift Planning</w:t>
      </w:r>
    </w:p>
    <w:p>
      <w:pPr>
        <w:pStyle w:val="NormalNumberedtext"/>
      </w:pPr>
      <w:r>
        <w:t>This section defines the risk assessment and lift planning requirements that apply to all lifts, including the classification criteria and minimum content requirements for critical lift plans.</w:t>
      </w:r>
    </w:p>
    <w:p>
      <w:pPr>
        <w:pStyle w:val="NormalNumberedtext"/>
      </w:pPr>
    </w:p>
    <w:p>
      <w:pPr>
        <w:pStyle w:val="Heading2Numbered"/>
        <w:numPr>
          <w:ilvl w:val="1"/>
          <w:numId w:val="1"/>
        </w:numPr>
      </w:pPr>
      <w:r>
        <w:rPr>
          <w:rFonts w:ascii="Arial" w:hAnsi="Arial" w:cs="Arial" w:eastAsia="Arial"/>
        </w:rPr>
        <w:t>Lift Risk Assessment</w:t>
      </w:r>
    </w:p>
    <w:p>
      <w:pPr>
        <w:pStyle w:val="NormalNumberedtext"/>
      </w:pPr>
      <w:r>
        <w:t>A risk assessment is required for all lifts before the lift commences. The risk assessment scope and depth are proportionate to the complexity and hazard profile of the lift.</w:t>
      </w:r>
    </w:p>
    <w:p>
      <w:pPr>
        <w:pStyle w:val="NormalNumberedtext"/>
      </w:pPr>
      <w:r>
        <w:t>The Lift Supervisor ensures a risk assessment is completed for every lift before work commences, using the project risk assessment process defined in [INSERT: Project Document Number]. The risk assessment is documented and held at the work site for the duration of the lift.</w:t>
      </w:r>
    </w:p>
    <w:p>
      <w:pPr>
        <w:pStyle w:val="NormalNumberedtext"/>
      </w:pPr>
      <w:r>
        <w:t>The lift risk assessment addresses all of the following factors as a minimum:</w:t>
      </w:r>
    </w:p>
    <w:p>
      <w:pPr>
        <w:pStyle w:val="NumberedBulletL1"/>
      </w:pPr>
      <w:r>
        <w:t>Lift complexity and sequencing</w:t>
      </w:r>
    </w:p>
    <w:p>
      <w:pPr>
        <w:pStyle w:val="NumberedBulletL1"/>
      </w:pPr>
      <w:r>
        <w:t>Environmental conditions including wind, visibility, and temperature</w:t>
      </w:r>
    </w:p>
    <w:p>
      <w:pPr>
        <w:pStyle w:val="NumberedBulletL1"/>
      </w:pPr>
      <w:r>
        <w:t>Ground bearing capacity beneath outrigger positions and travel paths</w:t>
      </w:r>
    </w:p>
    <w:p>
      <w:pPr>
        <w:pStyle w:val="NumberedBulletL1"/>
      </w:pPr>
      <w:r>
        <w:t>Proximity to energised powerlines, underground services, and other hazards</w:t>
      </w:r>
    </w:p>
    <w:p>
      <w:pPr>
        <w:pStyle w:val="NumberedBulletL1"/>
      </w:pPr>
      <w:r>
        <w:t>Equipment selection and rated capacity verification</w:t>
      </w:r>
    </w:p>
    <w:p>
      <w:pPr>
        <w:pStyle w:val="NumberedBulletL1"/>
      </w:pPr>
      <w:r>
        <w:t>Competency requirements for the crane operator, rigger, dogman, and lift supervisor</w:t>
      </w:r>
    </w:p>
    <w:p>
      <w:pPr>
        <w:pStyle w:val="NumberedBulletL1"/>
      </w:pPr>
      <w:r>
        <w:t>Ground conditions, crane configuration, and identification of persons within the swing radius and drop zone</w:t>
      </w:r>
    </w:p>
    <w:p>
      <w:pPr>
        <w:pStyle w:val="NormalNumberedtext"/>
      </w:pPr>
      <w:r>
        <w:t>Lifting permits are raised via the site PTW system before any lifting operation commences; refer [INSERT: Project Document Number]. Where a lift takes place near energised electrical plant, energy isolation requirements are governed by [INSERT: Project Document Number].</w:t>
      </w:r>
    </w:p>
    <w:p>
      <w:pPr>
        <w:pStyle w:val="NormalNumberedtext"/>
      </w:pPr>
    </w:p>
    <w:p>
      <w:pPr>
        <w:pStyle w:val="Heading2Numbered"/>
        <w:numPr>
          <w:ilvl w:val="1"/>
          <w:numId w:val="1"/>
        </w:numPr>
      </w:pPr>
      <w:r>
        <w:rPr>
          <w:rFonts w:ascii="Arial" w:hAnsi="Arial" w:cs="Arial" w:eastAsia="Arial"/>
        </w:rPr>
        <w:t>Critical Lift Classification and Planning</w:t>
      </w:r>
    </w:p>
    <w:p>
      <w:pPr>
        <w:pStyle w:val="NormalNumberedtext"/>
      </w:pPr>
      <w:r>
        <w:t>Lifts meeting one or more critical lift criteria require a documented critical lift plan developed with crane drivers and rigging crews before the lift is authorised to proceed.</w:t>
      </w:r>
    </w:p>
    <w:p>
      <w:pPr>
        <w:pStyle w:val="NormalNumberedtext"/>
      </w:pPr>
      <w:r>
        <w:t>A lift is classified as a critical lift when it meets any of the following criteria:</w:t>
      </w:r>
    </w:p>
    <w:p>
      <w:pPr>
        <w:pStyle w:val="NumberedBulletL1"/>
      </w:pPr>
      <w:r>
        <w:t>Multiple crane lifts involving two or more cranes simultaneously</w:t>
      </w:r>
    </w:p>
    <w:p>
      <w:pPr>
        <w:pStyle w:val="NumberedBulletL1"/>
      </w:pPr>
      <w:r>
        <w:t>Lifts over occupied or operational facilities</w:t>
      </w:r>
    </w:p>
    <w:p>
      <w:pPr>
        <w:pStyle w:val="NumberedBulletL1"/>
      </w:pPr>
      <w:r>
        <w:t>Lifts near energised overhead powerlines</w:t>
      </w:r>
    </w:p>
    <w:p>
      <w:pPr>
        <w:pStyle w:val="NumberedBulletL1"/>
      </w:pPr>
      <w:r>
        <w:t>Lifts involving a personnel cage or man-riding arrangement</w:t>
      </w:r>
    </w:p>
    <w:p>
      <w:pPr>
        <w:pStyle w:val="NumberedBulletL1"/>
      </w:pPr>
      <w:r>
        <w:t>Lifts exceeding 80% of the crane's rated capacity</w:t>
      </w:r>
    </w:p>
    <w:p>
      <w:pPr>
        <w:pStyle w:val="NumberedBulletL1"/>
      </w:pPr>
      <w:r>
        <w:t>Lifts with limited visibility or high environmental influence</w:t>
      </w:r>
    </w:p>
    <w:p>
      <w:pPr>
        <w:pStyle w:val="NormalNumberedtext"/>
      </w:pPr>
      <w:r>
        <w:t>The Lift Supervisor, in consultation with the crane driver and rigging crew, prepares a documented critical lift plan for each critical lift before the lift is submitted for approval. The critical lift plan addresses ground conditions, crane configuration, rated capacity verification, and identification of all persons within the swing radius and drop zone.</w:t>
      </w:r>
    </w:p>
    <w:p>
      <w:pPr>
        <w:pStyle w:val="NormalNumberedtext"/>
      </w:pPr>
      <w:r>
        <w:t>The critical lift plan includes, at a minimum, the following content:</w:t>
      </w:r>
    </w:p>
    <w:p>
      <w:pPr>
        <w:pStyle w:val="NumberedBulletL1"/>
      </w:pPr>
      <w:r>
        <w:t>Lift description and sequence of operations</w:t>
      </w:r>
    </w:p>
    <w:p>
      <w:pPr>
        <w:pStyle w:val="NumberedBulletL1"/>
      </w:pPr>
      <w:r>
        <w:t>Crane type, configuration, and boom length</w:t>
      </w:r>
    </w:p>
    <w:p>
      <w:pPr>
        <w:pStyle w:val="NumberedBulletL1"/>
      </w:pPr>
      <w:r>
        <w:t>Load weight, centre of gravity, and rigging arrangement</w:t>
      </w:r>
    </w:p>
    <w:p>
      <w:pPr>
        <w:pStyle w:val="NumberedBulletL1"/>
      </w:pPr>
      <w:r>
        <w:t>Percentage of rated capacity at each stage of the lift</w:t>
      </w:r>
    </w:p>
    <w:p>
      <w:pPr>
        <w:pStyle w:val="NumberedBulletL1"/>
      </w:pPr>
      <w:r>
        <w:t>Ground conditions assessment and outrigger bearing calculations</w:t>
      </w:r>
    </w:p>
    <w:p>
      <w:pPr>
        <w:pStyle w:val="NumberedBulletL1"/>
      </w:pPr>
      <w:r>
        <w:t>Exclusion zone dimensions and barricade locations</w:t>
      </w:r>
    </w:p>
    <w:p>
      <w:pPr>
        <w:pStyle w:val="NumberedBulletL1"/>
      </w:pPr>
      <w:r>
        <w:t>Communication protocol between operator, rigger, and spotters</w:t>
      </w:r>
    </w:p>
    <w:p>
      <w:pPr>
        <w:pStyle w:val="NumberedBulletL1"/>
      </w:pPr>
      <w:r>
        <w:t>Environmental limits for lift approval and suspension</w:t>
      </w:r>
    </w:p>
    <w:p>
      <w:pPr>
        <w:pStyle w:val="NumberedBulletL1"/>
      </w:pPr>
      <w:r>
        <w:rPr>
          <w:color w:val="C55A11"/>
        </w:rPr>
        <w:t>Pre-lift briefing record signed by all participating personnel</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critical lift approval authority for this project. Complete the table below to specify who approves critical lift plans and what the minimum notification period to the project owner is.</w:t>
            </w:r>
          </w:p>
        </w:tc>
      </w:tr>
    </w:tbl>
    <w:p>
      <w:pPr>
        <w:pStyle w:val="NormalNumberedtext"/>
      </w:pPr>
    </w:p>
    <w:p>
      <w:pPr>
        <w:pStyle w:val="NormalNumberedtext"/>
      </w:pPr>
      <w:r>
        <w:t>Table: Critical Lift Approval Authority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Lift 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Approval Authority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Minimum Notification Period to Project Owner</w:t>
            </w:r>
          </w:p>
        </w:tc>
      </w:tr>
      <w:tr>
        <w:tc>
          <w:tcPr>
            <w:tcW w:type="dxa" w:w="3008"/>
          </w:tcPr>
          <w:p>
            <w:pPr>
              <w:pStyle w:val="TableContents"/>
              <w:spacing w:before="0" w:after="0" w:line="240" w:lineRule="atLeast"/>
            </w:pPr>
            <w:r>
              <w:rPr>
                <w:rFonts w:ascii="Arial" w:hAnsi="Arial" w:cs="Arial" w:eastAsia="Arial"/>
                <w:sz w:val="16"/>
                <w:szCs w:val="16"/>
              </w:rPr>
              <w:t>Multiple crane lift</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 e.g. 48 hours]</w:t>
            </w:r>
          </w:p>
        </w:tc>
      </w:tr>
      <w:tr>
        <w:tc>
          <w:tcPr>
            <w:tcW w:type="dxa" w:w="3008"/>
          </w:tcPr>
          <w:p>
            <w:pPr>
              <w:pStyle w:val="TableContents"/>
              <w:spacing w:before="0" w:after="0" w:line="240" w:lineRule="atLeast"/>
            </w:pPr>
            <w:r>
              <w:rPr>
                <w:rFonts w:ascii="Arial" w:hAnsi="Arial" w:cs="Arial" w:eastAsia="Arial"/>
                <w:sz w:val="16"/>
                <w:szCs w:val="16"/>
              </w:rPr>
              <w:t>Lift over occupied facility</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w:t>
            </w:r>
          </w:p>
        </w:tc>
      </w:tr>
      <w:tr>
        <w:tc>
          <w:tcPr>
            <w:tcW w:type="dxa" w:w="3008"/>
          </w:tcPr>
          <w:p>
            <w:pPr>
              <w:pStyle w:val="TableContents"/>
              <w:spacing w:before="0" w:after="0" w:line="240" w:lineRule="atLeast"/>
            </w:pPr>
            <w:r>
              <w:rPr>
                <w:rFonts w:ascii="Arial" w:hAnsi="Arial" w:cs="Arial" w:eastAsia="Arial"/>
                <w:sz w:val="16"/>
                <w:szCs w:val="16"/>
              </w:rPr>
              <w:t>Lift near energised powerlines</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w:t>
            </w:r>
          </w:p>
        </w:tc>
      </w:tr>
      <w:tr>
        <w:tc>
          <w:tcPr>
            <w:tcW w:type="dxa" w:w="3008"/>
          </w:tcPr>
          <w:p>
            <w:pPr>
              <w:pStyle w:val="TableContents"/>
              <w:spacing w:before="0" w:after="0" w:line="240" w:lineRule="atLeast"/>
            </w:pPr>
            <w:r>
              <w:rPr>
                <w:rFonts w:ascii="Arial" w:hAnsi="Arial" w:cs="Arial" w:eastAsia="Arial"/>
                <w:sz w:val="16"/>
                <w:szCs w:val="16"/>
              </w:rPr>
              <w:t>Personnel cage lift</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w:t>
            </w:r>
          </w:p>
        </w:tc>
      </w:tr>
      <w:tr>
        <w:tc>
          <w:tcPr>
            <w:tcW w:type="dxa" w:w="3008"/>
          </w:tcPr>
          <w:p>
            <w:pPr>
              <w:pStyle w:val="TableContents"/>
              <w:spacing w:before="0" w:after="0" w:line="240" w:lineRule="atLeast"/>
            </w:pPr>
            <w:r>
              <w:rPr>
                <w:rFonts w:ascii="Arial" w:hAnsi="Arial" w:cs="Arial" w:eastAsia="Arial"/>
                <w:sz w:val="16"/>
                <w:szCs w:val="16"/>
              </w:rPr>
              <w:t>Lift exceeding 80% rated capacity</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w:t>
            </w:r>
          </w:p>
        </w:tc>
      </w:tr>
      <w:tr>
        <w:tc>
          <w:tcPr>
            <w:tcW w:type="dxa" w:w="3008"/>
          </w:tcPr>
          <w:p>
            <w:pPr>
              <w:pStyle w:val="TableContents"/>
              <w:spacing w:before="0" w:after="0" w:line="240" w:lineRule="atLeast"/>
            </w:pPr>
            <w:r>
              <w:rPr>
                <w:rFonts w:ascii="Arial" w:hAnsi="Arial" w:cs="Arial" w:eastAsia="Arial"/>
                <w:sz w:val="16"/>
                <w:szCs w:val="16"/>
              </w:rPr>
              <w:t>Limited visibility or high environmental influence</w:t>
            </w:r>
          </w:p>
        </w:tc>
        <w:tc>
          <w:tcPr>
            <w:tcW w:type="dxa" w:w="3008"/>
          </w:tcPr>
          <w:p>
            <w:pPr>
              <w:pStyle w:val="TableContents"/>
              <w:spacing w:before="0" w:after="0" w:line="240" w:lineRule="atLeast"/>
            </w:pPr>
            <w:r>
              <w:rPr>
                <w:rFonts w:ascii="Arial" w:hAnsi="Arial" w:cs="Arial" w:eastAsia="Arial"/>
                <w:b/>
                <w:bCs/>
                <w:color w:val="0059D1"/>
                <w:sz w:val="16"/>
                <w:szCs w:val="16"/>
              </w:rPr>
              <w:t>[INSERT: role title]</w:t>
            </w:r>
          </w:p>
        </w:tc>
        <w:tc>
          <w:tcPr>
            <w:tcW w:type="dxa" w:w="3010"/>
          </w:tcPr>
          <w:p>
            <w:pPr>
              <w:pStyle w:val="TableContents"/>
              <w:spacing w:before="0" w:after="0" w:line="240" w:lineRule="atLeast"/>
            </w:pPr>
            <w:r>
              <w:rPr>
                <w:rFonts w:ascii="Arial" w:hAnsi="Arial" w:cs="Arial" w:eastAsia="Arial"/>
                <w:b/>
                <w:bCs/>
                <w:color w:val="0059D1"/>
                <w:sz w:val="16"/>
                <w:szCs w:val="16"/>
              </w:rPr>
              <w:t>[INSERT: period]</w:t>
            </w:r>
          </w:p>
        </w:tc>
      </w:tr>
    </w:tbl>
    <w:p>
      <w:pPr>
        <w:pStyle w:val="NormalNumberedtext"/>
      </w:pPr>
    </w:p>
    <w:p>
      <w:pPr>
        <w:pStyle w:val="Heading1Numbered"/>
        <w:numPr>
          <w:ilvl w:val="0"/>
          <w:numId w:val="1"/>
        </w:numPr>
      </w:pPr>
      <w:r>
        <w:rPr>
          <w:rFonts w:ascii="Arial" w:hAnsi="Arial" w:cs="Arial" w:eastAsia="Arial"/>
        </w:rPr>
        <w:t>Equipment Integrity and Safety Devices</w:t>
      </w:r>
    </w:p>
    <w:p>
      <w:pPr>
        <w:pStyle w:val="NormalNumberedtext"/>
      </w:pPr>
      <w:r>
        <w:t>This section defines the safety device, inspection, certification, and removal-from-service requirements that apply to all cranes and lifting equipment operating on the project.</w:t>
      </w:r>
    </w:p>
    <w:p>
      <w:pPr>
        <w:pStyle w:val="NormalNumberedtext"/>
      </w:pPr>
    </w:p>
    <w:p>
      <w:pPr>
        <w:pStyle w:val="Heading2Numbered"/>
        <w:numPr>
          <w:ilvl w:val="1"/>
          <w:numId w:val="1"/>
        </w:numPr>
      </w:pPr>
      <w:r>
        <w:rPr>
          <w:rFonts w:ascii="Arial" w:hAnsi="Arial" w:cs="Arial" w:eastAsia="Arial"/>
        </w:rPr>
        <w:t>Required Safety Devices</w:t>
      </w:r>
    </w:p>
    <w:p>
      <w:pPr>
        <w:pStyle w:val="NormalNumberedtext"/>
      </w:pPr>
      <w:r>
        <w:t>All cranes must be fitted with the mandatory safety devices listed in this section before first use on the project. Operation with any safety device disabled or bypassed is prohibited.</w:t>
      </w:r>
    </w:p>
    <w:p>
      <w:pPr>
        <w:pStyle w:val="NormalNumberedtext"/>
      </w:pPr>
      <w:r>
        <w:t>All cranes operating on the project are fitted with the following safety devices as a minimum:</w:t>
      </w:r>
    </w:p>
    <w:p>
      <w:pPr>
        <w:pStyle w:val="NumberedBulletL1"/>
      </w:pPr>
      <w:r>
        <w:t>Anti-two-block system</w:t>
      </w:r>
    </w:p>
    <w:p>
      <w:pPr>
        <w:pStyle w:val="NumberedBulletL1"/>
      </w:pPr>
      <w:r>
        <w:t>Load measurement and indication system where lift weight is uncertain</w:t>
      </w:r>
    </w:p>
    <w:p>
      <w:pPr>
        <w:pStyle w:val="NumberedBulletL1"/>
      </w:pPr>
      <w:r>
        <w:t>Travel alarm for overhead cranes where personnel or vehicle interaction is possible</w:t>
      </w:r>
    </w:p>
    <w:p>
      <w:pPr>
        <w:pStyle w:val="NumberedBulletL1"/>
      </w:pPr>
      <w:r>
        <w:t>Rated capacity indicator accessible to the operator at the control station</w:t>
      </w:r>
    </w:p>
    <w:p>
      <w:pPr>
        <w:pStyle w:val="NormalNumberedtext"/>
      </w:pPr>
      <w:r>
        <w:t>The crane operator confirms all safety devices are operational during the pre-operational check before each shift. The crane operator does not operate any crane with an inoperable, defective, or overridden safety device, and reports the defect to the Lift Supervisor immediately.</w:t>
      </w:r>
    </w:p>
    <w:p>
      <w:pPr>
        <w:pStyle w:val="NormalNumberedtext"/>
      </w:pPr>
      <w:r>
        <w:t>Safety latches are fitted to all lifting hooks unless a specific risk assessment has determined an alternative control and that alternative is formally documented and approved. All lifting equipment displays colour coding, tagging, or an equivalent visible system showing current inspection status and rated SWL.</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colour-coding and inspection tagging system for this project. Complete the table below with the colours and inspection intervals that will apply. The procedure requires a visible inspection status system - the project selects the implementation.</w:t>
            </w:r>
          </w:p>
        </w:tc>
      </w:tr>
    </w:tbl>
    <w:p>
      <w:pPr>
        <w:pStyle w:val="NormalNumberedtext"/>
      </w:pPr>
    </w:p>
    <w:p>
      <w:pPr>
        <w:pStyle w:val="NormalNumberedtext"/>
      </w:pPr>
      <w:r>
        <w:t>Table: Lifting Equipment Colour-Coding and Inspection Tagging System</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Colour / Tag</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Inspection Period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Valid From</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Valid To</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Applied By</w:t>
            </w:r>
          </w:p>
        </w:tc>
      </w:tr>
      <w:tr>
        <w:tc>
          <w:tcPr>
            <w:tcW w:type="dxa" w:w="1805"/>
          </w:tcPr>
          <w:p>
            <w:pPr>
              <w:pStyle w:val="TableContents"/>
              <w:spacing w:before="0" w:after="0" w:line="240" w:lineRule="atLeast"/>
            </w:pPr>
            <w:r>
              <w:rPr>
                <w:rFonts w:ascii="Arial" w:hAnsi="Arial" w:cs="Arial" w:eastAsia="Arial"/>
                <w:sz w:val="16"/>
                <w:szCs w:val="16"/>
              </w:rPr>
              <w:t>Green</w:t>
            </w:r>
          </w:p>
        </w:tc>
        <w:tc>
          <w:tcPr>
            <w:tcW w:type="dxa" w:w="1805"/>
          </w:tcPr>
          <w:p>
            <w:pPr>
              <w:pStyle w:val="TableContents"/>
              <w:spacing w:before="0" w:after="0" w:line="240" w:lineRule="atLeast"/>
            </w:pPr>
            <w:r>
              <w:rPr>
                <w:rFonts w:ascii="Arial" w:hAnsi="Arial" w:cs="Arial" w:eastAsia="Arial"/>
                <w:sz w:val="16"/>
                <w:szCs w:val="16"/>
              </w:rPr>
              <w:t>Quarterly</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Blue</w:t>
            </w:r>
          </w:p>
        </w:tc>
        <w:tc>
          <w:tcPr>
            <w:tcW w:type="dxa" w:w="1805"/>
          </w:tcPr>
          <w:p>
            <w:pPr>
              <w:pStyle w:val="TableContents"/>
              <w:spacing w:before="0" w:after="0" w:line="240" w:lineRule="atLeast"/>
            </w:pPr>
            <w:r>
              <w:rPr>
                <w:rFonts w:ascii="Arial" w:hAnsi="Arial" w:cs="Arial" w:eastAsia="Arial"/>
                <w:sz w:val="16"/>
                <w:szCs w:val="16"/>
              </w:rPr>
              <w:t>Quarterly</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Yellow</w:t>
            </w:r>
          </w:p>
        </w:tc>
        <w:tc>
          <w:tcPr>
            <w:tcW w:type="dxa" w:w="1805"/>
          </w:tcPr>
          <w:p>
            <w:pPr>
              <w:pStyle w:val="TableContents"/>
              <w:spacing w:before="0" w:after="0" w:line="240" w:lineRule="atLeast"/>
            </w:pPr>
            <w:r>
              <w:rPr>
                <w:rFonts w:ascii="Arial" w:hAnsi="Arial" w:cs="Arial" w:eastAsia="Arial"/>
                <w:sz w:val="16"/>
                <w:szCs w:val="16"/>
              </w:rPr>
              <w:t>Quarterly</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5"/>
          </w:tcPr>
          <w:p>
            <w:pPr>
              <w:pStyle w:val="TableContents"/>
              <w:spacing w:before="0" w:after="0" w:line="240" w:lineRule="atLeast"/>
            </w:pPr>
            <w:r>
              <w:rPr>
                <w:rFonts w:ascii="Arial" w:hAnsi="Arial" w:cs="Arial" w:eastAsia="Arial"/>
                <w:b/>
                <w:bCs/>
                <w:color w:val="0059D1"/>
                <w:sz w:val="16"/>
                <w:szCs w:val="16"/>
              </w:rPr>
              <w:t>[INSERT: month]</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Red - Remove from service</w:t>
            </w:r>
          </w:p>
        </w:tc>
        <w:tc>
          <w:tcPr>
            <w:tcW w:type="dxa" w:w="1805"/>
          </w:tcPr>
          <w:p>
            <w:pPr>
              <w:pStyle w:val="TableContents"/>
              <w:spacing w:before="0" w:after="0" w:line="240" w:lineRule="atLeast"/>
            </w:pPr>
            <w:r>
              <w:rPr>
                <w:rFonts w:ascii="Arial" w:hAnsi="Arial" w:cs="Arial" w:eastAsia="Arial"/>
                <w:sz w:val="16"/>
                <w:szCs w:val="16"/>
              </w:rPr>
              <w:t>N/A - defect tag</w:t>
            </w:r>
          </w:p>
        </w:tc>
        <w:tc>
          <w:tcPr>
            <w:tcW w:type="dxa" w:w="1805"/>
          </w:tcPr>
          <w:p>
            <w:pPr>
              <w:pStyle w:val="TableContents"/>
              <w:spacing w:before="0" w:after="0" w:line="240" w:lineRule="atLeast"/>
            </w:pPr>
            <w:r>
              <w:rPr>
                <w:rFonts w:ascii="Arial" w:hAnsi="Arial" w:cs="Arial" w:eastAsia="Arial"/>
                <w:sz w:val="16"/>
                <w:szCs w:val="16"/>
              </w:rPr>
              <w:t>N/A</w:t>
            </w:r>
          </w:p>
        </w:tc>
        <w:tc>
          <w:tcPr>
            <w:tcW w:type="dxa" w:w="1805"/>
          </w:tcPr>
          <w:p>
            <w:pPr>
              <w:pStyle w:val="TableContents"/>
              <w:spacing w:before="0" w:after="0" w:line="240" w:lineRule="atLeast"/>
            </w:pPr>
            <w:r>
              <w:rPr>
                <w:rFonts w:ascii="Arial" w:hAnsi="Arial" w:cs="Arial" w:eastAsia="Arial"/>
                <w:sz w:val="16"/>
                <w:szCs w:val="16"/>
              </w:rPr>
              <w:t>Until cleared</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Heading2Numbered"/>
        <w:numPr>
          <w:ilvl w:val="1"/>
          <w:numId w:val="1"/>
        </w:numPr>
      </w:pPr>
      <w:r>
        <w:rPr>
          <w:rFonts w:ascii="Arial" w:hAnsi="Arial" w:cs="Arial" w:eastAsia="Arial"/>
        </w:rPr>
        <w:t>Inspection, Certification, and Removal from Service</w:t>
      </w:r>
    </w:p>
    <w:p>
      <w:pPr>
        <w:pStyle w:val="NormalNumberedtext"/>
      </w:pPr>
      <w:r>
        <w:t>All cranes and lifting equipment are inspected and certified before first use on the project and at defined intervals thereafter. Current certification must be available at the work site.</w:t>
      </w:r>
    </w:p>
    <w:p>
      <w:pPr>
        <w:pStyle w:val="NormalNumberedtext"/>
      </w:pPr>
      <w:r>
        <w:t>All lifting devices and equipment are certified within the preceding 12 months or per applicable local regulatory requirements, whichever interval is more stringent. Current certification documentation is available at the work site before any lifting operation commences and is recorded in the Lifting Equipment Register [INSERT: Project Document Number].</w:t>
      </w:r>
    </w:p>
    <w:p>
      <w:pPr>
        <w:pStyle w:val="NormalNumberedtext"/>
      </w:pPr>
      <w:r>
        <w:t>Lifting equipment with critical defects is removed from service immediately. The Lift Supervisor applies a defect tag, secures the equipment against use, and initiates the repair and re-inspection process before the equipment is returned to service. Removal from service and return to service events are recorded in [INSERT: Project Document Number].</w:t>
      </w:r>
    </w:p>
    <w:p>
      <w:pPr>
        <w:pStyle w:val="NormalNumberedtext"/>
      </w:pPr>
    </w:p>
    <w:p>
      <w:pPr>
        <w:pStyle w:val="Heading2Numbered"/>
        <w:numPr>
          <w:ilvl w:val="1"/>
          <w:numId w:val="1"/>
        </w:numPr>
      </w:pPr>
      <w:r>
        <w:rPr>
          <w:rFonts w:ascii="Arial" w:hAnsi="Arial" w:cs="Arial" w:eastAsia="Arial"/>
        </w:rPr>
        <w:t>Operations Near Energised Powerlines</w:t>
      </w:r>
    </w:p>
    <w:p>
      <w:pPr>
        <w:pStyle w:val="NormalNumberedtext"/>
      </w:pPr>
      <w:r>
        <w:t>Crane operations near energised overhead powerlines require insulated lifting links and a proximity permit defining exclusion zones and spotter duties before the lift commences.</w:t>
      </w:r>
    </w:p>
    <w:p>
      <w:pPr>
        <w:pStyle w:val="NormalNumberedtext"/>
      </w:pPr>
      <w:r>
        <w:t>Cranes working near energised overhead powerlines are fitted with insulated lifting links. A proximity permit defining exclusion zones and spotter duties is in place for all crane operations near energised powerlines before the lift commences. Energy isolation requirements that apply to lifts near energised electrical plant are governed by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crane proximity permit process for powerline work on this project. Complete the table below to specify who issues proximity permits and the approved approach distances for each voltage level relevant to this project.</w:t>
            </w:r>
          </w:p>
        </w:tc>
      </w:tr>
    </w:tbl>
    <w:p>
      <w:pPr>
        <w:pStyle w:val="NormalNumberedtext"/>
      </w:pPr>
    </w:p>
    <w:p>
      <w:pPr>
        <w:pStyle w:val="NormalNumberedtext"/>
      </w:pPr>
      <w:r>
        <w:t>Table: Crane Proximity Permit - Approved Approach Distances by Voltage Level</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Voltage Level (kV)</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Exclusion Zone Distance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Permit Issuer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Spotter Required (Y/N)</w:t>
            </w:r>
          </w:p>
        </w:tc>
      </w:tr>
      <w:tr>
        <w:tc>
          <w:tcPr>
            <w:tcW w:type="dxa" w:w="2256"/>
          </w:tcPr>
          <w:p>
            <w:pPr>
              <w:pStyle w:val="TableContents"/>
              <w:spacing w:before="0" w:after="0" w:line="240" w:lineRule="atLeast"/>
            </w:pPr>
            <w:r>
              <w:rPr>
                <w:rFonts w:ascii="Arial" w:hAnsi="Arial" w:cs="Arial" w:eastAsia="Arial"/>
                <w:b/>
                <w:bCs/>
                <w:color w:val="0059D1"/>
                <w:sz w:val="16"/>
                <w:szCs w:val="16"/>
              </w:rPr>
              <w:t>[INSERT: voltage level]</w:t>
            </w:r>
          </w:p>
        </w:tc>
        <w:tc>
          <w:tcPr>
            <w:tcW w:type="dxa" w:w="2256"/>
          </w:tcPr>
          <w:p>
            <w:pPr>
              <w:pStyle w:val="TableContents"/>
              <w:spacing w:before="0" w:after="0" w:line="240" w:lineRule="atLeast"/>
            </w:pPr>
            <w:r>
              <w:rPr>
                <w:rFonts w:ascii="Arial" w:hAnsi="Arial" w:cs="Arial" w:eastAsia="Arial"/>
                <w:b/>
                <w:bCs/>
                <w:color w:val="0059D1"/>
                <w:sz w:val="16"/>
                <w:szCs w:val="16"/>
              </w:rPr>
              <w:t>[INSERT: distance, e.g. 3 m]</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8"/>
          </w:tcPr>
          <w:p>
            <w:pPr>
              <w:pStyle w:val="TableContents"/>
              <w:spacing w:before="0" w:after="0" w:line="240" w:lineRule="atLeast"/>
            </w:pPr>
            <w:r>
              <w:rPr>
                <w:rFonts w:ascii="Arial" w:hAnsi="Arial" w:cs="Arial" w:eastAsia="Arial"/>
                <w:b/>
                <w:bCs/>
                <w:color w:val="0059D1"/>
                <w:sz w:val="16"/>
                <w:szCs w:val="16"/>
              </w:rPr>
              <w:t>[INSERT: Y/N]</w:t>
            </w:r>
          </w:p>
        </w:tc>
      </w:tr>
      <w:tr>
        <w:tc>
          <w:tcPr>
            <w:tcW w:type="dxa" w:w="2256"/>
          </w:tcPr>
          <w:p>
            <w:pPr>
              <w:pStyle w:val="TableContents"/>
              <w:spacing w:before="0" w:after="0" w:line="240" w:lineRule="atLeast"/>
            </w:pPr>
            <w:r>
              <w:rPr>
                <w:rFonts w:ascii="Arial" w:hAnsi="Arial" w:cs="Arial" w:eastAsia="Arial"/>
                <w:b/>
                <w:bCs/>
                <w:color w:val="0059D1"/>
                <w:sz w:val="16"/>
                <w:szCs w:val="16"/>
              </w:rPr>
              <w:t>[INSERT: voltage level]</w:t>
            </w:r>
          </w:p>
        </w:tc>
        <w:tc>
          <w:tcPr>
            <w:tcW w:type="dxa" w:w="2256"/>
          </w:tcPr>
          <w:p>
            <w:pPr>
              <w:pStyle w:val="TableContents"/>
              <w:spacing w:before="0" w:after="0" w:line="240" w:lineRule="atLeast"/>
            </w:pPr>
            <w:r>
              <w:rPr>
                <w:rFonts w:ascii="Arial" w:hAnsi="Arial" w:cs="Arial" w:eastAsia="Arial"/>
                <w:b/>
                <w:bCs/>
                <w:color w:val="0059D1"/>
                <w:sz w:val="16"/>
                <w:szCs w:val="16"/>
              </w:rPr>
              <w:t>[INSERT: distance]</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8"/>
          </w:tcPr>
          <w:p>
            <w:pPr>
              <w:pStyle w:val="TableContents"/>
              <w:spacing w:before="0" w:after="0" w:line="240" w:lineRule="atLeast"/>
            </w:pPr>
            <w:r>
              <w:rPr>
                <w:rFonts w:ascii="Arial" w:hAnsi="Arial" w:cs="Arial" w:eastAsia="Arial"/>
                <w:b/>
                <w:bCs/>
                <w:color w:val="0059D1"/>
                <w:sz w:val="16"/>
                <w:szCs w:val="16"/>
              </w:rPr>
              <w:t>[INSERT: Y/N]</w:t>
            </w:r>
          </w:p>
        </w:tc>
      </w:tr>
      <w:tr>
        <w:tc>
          <w:tcPr>
            <w:tcW w:type="dxa" w:w="2256"/>
          </w:tcPr>
          <w:p>
            <w:pPr>
              <w:pStyle w:val="TableContents"/>
              <w:spacing w:before="0" w:after="0" w:line="240" w:lineRule="atLeast"/>
            </w:pPr>
            <w:r>
              <w:rPr>
                <w:rFonts w:ascii="Arial" w:hAnsi="Arial" w:cs="Arial" w:eastAsia="Arial"/>
                <w:b/>
                <w:bCs/>
                <w:color w:val="0059D1"/>
                <w:sz w:val="16"/>
                <w:szCs w:val="16"/>
              </w:rPr>
              <w:t>[INSERT: voltage level]</w:t>
            </w:r>
          </w:p>
        </w:tc>
        <w:tc>
          <w:tcPr>
            <w:tcW w:type="dxa" w:w="2256"/>
          </w:tcPr>
          <w:p>
            <w:pPr>
              <w:pStyle w:val="TableContents"/>
              <w:spacing w:before="0" w:after="0" w:line="240" w:lineRule="atLeast"/>
            </w:pPr>
            <w:r>
              <w:rPr>
                <w:rFonts w:ascii="Arial" w:hAnsi="Arial" w:cs="Arial" w:eastAsia="Arial"/>
                <w:b/>
                <w:bCs/>
                <w:color w:val="0059D1"/>
                <w:sz w:val="16"/>
                <w:szCs w:val="16"/>
              </w:rPr>
              <w:t>[INSERT: distance]</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8"/>
          </w:tcPr>
          <w:p>
            <w:pPr>
              <w:pStyle w:val="TableContents"/>
              <w:spacing w:before="0" w:after="0" w:line="240" w:lineRule="atLeast"/>
            </w:pPr>
            <w:r>
              <w:rPr>
                <w:rFonts w:ascii="Arial" w:hAnsi="Arial" w:cs="Arial" w:eastAsia="Arial"/>
                <w:b/>
                <w:bCs/>
                <w:color w:val="0059D1"/>
                <w:sz w:val="16"/>
                <w:szCs w:val="16"/>
              </w:rPr>
              <w:t>[INSERT: Y/N]</w:t>
            </w:r>
          </w:p>
        </w:tc>
      </w:tr>
    </w:tbl>
    <w:p>
      <w:pPr>
        <w:pStyle w:val="NormalNumberedtext"/>
      </w:pPr>
    </w:p>
    <w:p>
      <w:pPr>
        <w:pStyle w:val="Heading1Numbered"/>
        <w:numPr>
          <w:ilvl w:val="0"/>
          <w:numId w:val="1"/>
        </w:numPr>
      </w:pPr>
      <w:r>
        <w:rPr>
          <w:rFonts w:ascii="Arial" w:hAnsi="Arial" w:cs="Arial" w:eastAsia="Arial"/>
        </w:rPr>
        <w:t>Pre-operational Checks</w:t>
      </w:r>
    </w:p>
    <w:p>
      <w:pPr>
        <w:pStyle w:val="NormalNumberedtext"/>
      </w:pPr>
      <w:r>
        <w:t>This section defines the pre-operational check requirements that apply before the use of any crane or lifting equipment at the start of each shift or period of use.</w:t>
      </w:r>
    </w:p>
    <w:p>
      <w:pPr>
        <w:pStyle w:val="NormalNumberedtext"/>
      </w:pPr>
      <w:r>
        <w:t>The crane operator completes a pre-operational safety check before placing any crane or lifting equipment into service. The check is crane-type specific and identifies defects that prevent safe operation. The completed check record is held at the work site for the duration of the shift.</w:t>
      </w:r>
    </w:p>
    <w:p>
      <w:pPr>
        <w:pStyle w:val="NormalNumberedtext"/>
      </w:pPr>
      <w:r>
        <w:t>The pre-operational check addresses the following as a minimum for each equipment type:</w:t>
      </w:r>
    </w:p>
    <w:p>
      <w:pPr>
        <w:pStyle w:val="NumberedBulletL1"/>
      </w:pPr>
      <w:r>
        <w:t>Condition and function of all mandatory safety devices</w:t>
      </w:r>
    </w:p>
    <w:p>
      <w:pPr>
        <w:pStyle w:val="NumberedBulletL1"/>
      </w:pPr>
      <w:r>
        <w:t>Condition of wire ropes, chains, slings, and rigging attachments</w:t>
      </w:r>
    </w:p>
    <w:p>
      <w:pPr>
        <w:pStyle w:val="NumberedBulletL1"/>
      </w:pPr>
      <w:r>
        <w:t>Safety latches on all hooks</w:t>
      </w:r>
    </w:p>
    <w:p>
      <w:pPr>
        <w:pStyle w:val="NumberedBulletL1"/>
      </w:pPr>
      <w:r>
        <w:t>Fluid levels, tyre condition, and structural integrity</w:t>
      </w:r>
    </w:p>
    <w:p>
      <w:pPr>
        <w:pStyle w:val="NumberedBulletL1"/>
      </w:pPr>
      <w:r>
        <w:t>Rated capacity indicator readability and accuracy</w:t>
      </w:r>
    </w:p>
    <w:p>
      <w:pPr>
        <w:pStyle w:val="NumberedBulletL1"/>
      </w:pPr>
      <w:r>
        <w:t>Outrigger condition and locking mechanisms</w:t>
      </w:r>
    </w:p>
    <w:p>
      <w:pPr>
        <w:pStyle w:val="NumberedBulletL1"/>
      </w:pPr>
      <w:r>
        <w:rPr>
          <w:color w:val="C55A11"/>
        </w:rPr>
        <w:t>Load chart availability and legibility in the operator's cab</w:t>
      </w:r>
    </w:p>
    <w:p>
      <w:pPr>
        <w:pStyle w:val="NormalNumberedtext"/>
      </w:pPr>
      <w:r>
        <w:t>The crane operator does not operate a crane with any inoperable, defective, or overridden safety device. Defects identified during the pre-operational check are reported to the Lift Supervisor immediately and recorded in [INSERT: Project Document Number] before the shift commences. Where a defect prevents safe operation, the equipment is removed from service and tagged out.</w:t>
      </w:r>
    </w:p>
    <w:p>
      <w:pPr>
        <w:pStyle w:val="NormalNumberedtext"/>
      </w:pPr>
    </w:p>
    <w:p>
      <w:pPr>
        <w:pStyle w:val="Heading1Numbered"/>
        <w:numPr>
          <w:ilvl w:val="0"/>
          <w:numId w:val="1"/>
        </w:numPr>
      </w:pPr>
      <w:r>
        <w:rPr>
          <w:rFonts w:ascii="Arial" w:hAnsi="Arial" w:cs="Arial" w:eastAsia="Arial"/>
        </w:rPr>
        <w:t>Lift Execution</w:t>
      </w:r>
    </w:p>
    <w:p>
      <w:pPr>
        <w:pStyle w:val="NormalNumberedtext"/>
      </w:pPr>
      <w:r>
        <w:t>This section defines the requirements that apply during the execution of all lifts, including exclusion zone enforcement, load control, communication, and no-person-under-load requirements.</w:t>
      </w:r>
    </w:p>
    <w:p>
      <w:pPr>
        <w:pStyle w:val="NormalNumberedtext"/>
      </w:pPr>
    </w:p>
    <w:p>
      <w:pPr>
        <w:pStyle w:val="Heading2Numbered"/>
        <w:numPr>
          <w:ilvl w:val="1"/>
          <w:numId w:val="1"/>
        </w:numPr>
      </w:pPr>
      <w:r>
        <w:rPr>
          <w:rFonts w:ascii="Arial" w:hAnsi="Arial" w:cs="Arial" w:eastAsia="Arial"/>
        </w:rPr>
        <w:t>Execution Requirements</w:t>
      </w:r>
    </w:p>
    <w:p>
      <w:pPr>
        <w:pStyle w:val="NormalNumberedtext"/>
      </w:pPr>
      <w:r>
        <w:t>All lifts are executed in accordance with an approved plan proportionate to the risk of the lift. The Lift Supervisor confirms all pre-lift conditions are met before the lift commences.</w:t>
      </w:r>
    </w:p>
    <w:p>
      <w:pPr>
        <w:pStyle w:val="NormalNumberedtext"/>
      </w:pPr>
      <w:r>
        <w:t>The Lift Supervisor confirms the following conditions are in place before any lift commences:</w:t>
      </w:r>
    </w:p>
    <w:p>
      <w:pPr>
        <w:pStyle w:val="NumberedBulletL1"/>
      </w:pPr>
      <w:r>
        <w:t>Rigging is confirmed as correct and secure before the load is raised</w:t>
      </w:r>
    </w:p>
    <w:p>
      <w:pPr>
        <w:pStyle w:val="NumberedBulletL1"/>
      </w:pPr>
      <w:r>
        <w:t>The rated capacity of the crane and all rigging components is not exceeded at any point in the lift</w:t>
      </w:r>
    </w:p>
    <w:p>
      <w:pPr>
        <w:pStyle w:val="NumberedBulletL1"/>
      </w:pPr>
      <w:r>
        <w:t>Exclusion zones under and within the swing radius of the crane load are barricaded and enforced</w:t>
      </w:r>
    </w:p>
    <w:p>
      <w:pPr>
        <w:pStyle w:val="NumberedBulletL1"/>
      </w:pPr>
      <w:r>
        <w:t>No person is positioned under a suspended load or in any location where they could be struck by a falling or swinging load</w:t>
      </w:r>
    </w:p>
    <w:p>
      <w:pPr>
        <w:pStyle w:val="NumberedBulletL1"/>
      </w:pPr>
      <w:r>
        <w:t>Agreed communication protocol is confirmed between the crane operator, rigger, and all spotters before the lift commences</w:t>
      </w:r>
    </w:p>
    <w:p>
      <w:pPr>
        <w:pStyle w:val="NumberedBulletL1"/>
      </w:pPr>
      <w:r>
        <w:t>Ground conditions beneath outrigger positions have been verified as suitable for the imposed load</w:t>
      </w:r>
    </w:p>
    <w:p>
      <w:pPr>
        <w:pStyle w:val="NumberedBulletL1"/>
      </w:pPr>
      <w:r>
        <w:t>Tag lines, poles, or other appropriate means are available as the primary method to control lifted loads</w:t>
      </w:r>
    </w:p>
    <w:p>
      <w:pPr>
        <w:pStyle w:val="NumberedBulletL1"/>
      </w:pPr>
      <w:r>
        <w:t>The crane operator remains at the controls for the full duration of the lift while the load is suspended</w:t>
      </w:r>
    </w:p>
    <w:p>
      <w:pPr>
        <w:pStyle w:val="NormalNumberedtext"/>
      </w:pPr>
      <w:r>
        <w:t>Exclusion zones under and within the swing radius of crane loads are enforced for the full duration of the lift. The Lift Supervisor is responsible for monitoring exclusion zone integrity throughout the lift and stopping the lift if an exclusion zone is breached.</w:t>
      </w:r>
    </w:p>
    <w:p>
      <w:pPr>
        <w:pStyle w:val="NormalNumberedtext"/>
      </w:pPr>
      <w:r>
        <w:t>Tag lines, poles, or equivalent means are used as the primary methods to control the orientation and steadying of lifted loads. Direct hand contact with a suspended load or its rigging is not permitted without a specific risk assessment and permit authorisation obtained before the lift commences.</w:t>
      </w:r>
    </w:p>
    <w:p>
      <w:pPr>
        <w:pStyle w:val="NormalNumberedtext"/>
      </w:pPr>
      <w:r>
        <w:t>No personnel are positioned under a suspended load or in any location where they could be struck by a falling or swinging load at any point during the lift. This requirement applies without exception and is not subject to override by any operational or schedule pressure.</w:t>
      </w:r>
    </w:p>
    <w:p>
      <w:pPr>
        <w:pStyle w:val="NormalNumberedtext"/>
      </w:pPr>
      <w:r>
        <w:t>Where crane operations interface with vehicle or pedestrian traffic, the traffic management requirements in [INSERT: Project Document Number] apply. All lifting incidents and near misses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Training and Competency</w:t>
      </w:r>
    </w:p>
    <w:p>
      <w:pPr>
        <w:pStyle w:val="NormalNumberedtext"/>
      </w:pPr>
      <w:r>
        <w:t>This section defines competency requirements for all roles involved in lifting operations and the verification process that applies to both project personnel and contractor personnel before site mobilisation.</w:t>
      </w:r>
    </w:p>
    <w:p>
      <w:pPr>
        <w:pStyle w:val="NormalNumberedtext"/>
      </w:pPr>
      <w:r>
        <w:t>Crane operators, riggers, dogmen, and lift supervisors hold formal competency assessments appropriate to their role before participating in any lifting operation on the project. Competency requirements, initial training records, refresher training schedules, and formal assessment records are documented in the project training register [INSERT: Project Document Number]; refer [INSERT: Project Document Number].</w:t>
      </w:r>
    </w:p>
    <w:p>
      <w:pPr>
        <w:pStyle w:val="NormalNumberedtext"/>
      </w:pPr>
      <w:r>
        <w:t>Table: Lifting Operations Competency Requirements by Role</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Minimum Qualification or Licence</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Refresher Frequency</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Critical Lift Assessment Required (Y/N)</w:t>
            </w:r>
          </w:p>
        </w:tc>
      </w:tr>
      <w:tr>
        <w:tc>
          <w:tcPr>
            <w:tcW w:type="dxa" w:w="2444"/>
          </w:tcPr>
          <w:p>
            <w:pPr>
              <w:pStyle w:val="TableContents"/>
              <w:spacing w:before="0" w:after="0" w:line="240" w:lineRule="atLeast"/>
            </w:pPr>
            <w:r>
              <w:rPr>
                <w:rFonts w:ascii="Arial" w:hAnsi="Arial" w:cs="Arial" w:eastAsia="Arial"/>
                <w:sz w:val="16"/>
                <w:szCs w:val="16"/>
              </w:rPr>
              <w:t>Crane Operator</w:t>
            </w:r>
          </w:p>
        </w:tc>
        <w:tc>
          <w:tcPr>
            <w:tcW w:type="dxa" w:w="2444"/>
          </w:tcPr>
          <w:p>
            <w:pPr>
              <w:pStyle w:val="TableContents"/>
              <w:spacing w:before="0" w:after="0" w:line="240" w:lineRule="atLeast"/>
            </w:pPr>
            <w:r>
              <w:rPr>
                <w:rFonts w:ascii="Arial" w:hAnsi="Arial" w:cs="Arial" w:eastAsia="Arial"/>
                <w:sz w:val="16"/>
                <w:szCs w:val="16"/>
              </w:rPr>
              <w:t>High Risk Work Licence - relevant crane class</w:t>
            </w:r>
          </w:p>
        </w:tc>
        <w:tc>
          <w:tcPr>
            <w:tcW w:type="dxa" w:w="2444"/>
          </w:tcPr>
          <w:p>
            <w:pPr>
              <w:pStyle w:val="TableContents"/>
              <w:spacing w:before="0" w:after="0" w:line="240" w:lineRule="atLeast"/>
            </w:pPr>
            <w:r>
              <w:rPr>
                <w:rFonts w:ascii="Arial" w:hAnsi="Arial" w:cs="Arial" w:eastAsia="Arial"/>
                <w:sz w:val="16"/>
                <w:szCs w:val="16"/>
              </w:rPr>
              <w:t>Every 2 years</w:t>
            </w:r>
          </w:p>
        </w:tc>
        <w:tc>
          <w:tcPr>
            <w:tcW w:type="dxa" w:w="2445"/>
          </w:tcPr>
          <w:p>
            <w:pPr>
              <w:pStyle w:val="TableContents"/>
              <w:spacing w:before="0" w:after="0" w:line="240" w:lineRule="atLeast"/>
            </w:pPr>
            <w:r>
              <w:rPr>
                <w:rFonts w:ascii="Arial" w:hAnsi="Arial" w:cs="Arial" w:eastAsia="Arial"/>
                <w:sz w:val="16"/>
                <w:szCs w:val="16"/>
              </w:rPr>
              <w:t>Y</w:t>
            </w:r>
          </w:p>
        </w:tc>
      </w:tr>
      <w:tr>
        <w:tc>
          <w:tcPr>
            <w:tcW w:type="dxa" w:w="2444"/>
          </w:tcPr>
          <w:p>
            <w:pPr>
              <w:pStyle w:val="TableContents"/>
              <w:spacing w:before="0" w:after="0" w:line="240" w:lineRule="atLeast"/>
            </w:pPr>
            <w:r>
              <w:rPr>
                <w:rFonts w:ascii="Arial" w:hAnsi="Arial" w:cs="Arial" w:eastAsia="Arial"/>
                <w:sz w:val="16"/>
                <w:szCs w:val="16"/>
              </w:rPr>
              <w:t>Rigger</w:t>
            </w:r>
          </w:p>
        </w:tc>
        <w:tc>
          <w:tcPr>
            <w:tcW w:type="dxa" w:w="2444"/>
          </w:tcPr>
          <w:p>
            <w:pPr>
              <w:pStyle w:val="TableContents"/>
              <w:spacing w:before="0" w:after="0" w:line="240" w:lineRule="atLeast"/>
            </w:pPr>
            <w:r>
              <w:rPr>
                <w:rFonts w:ascii="Arial" w:hAnsi="Arial" w:cs="Arial" w:eastAsia="Arial"/>
                <w:sz w:val="16"/>
                <w:szCs w:val="16"/>
              </w:rPr>
              <w:t>High Risk Work Licence - rigging class appropriate to task</w:t>
            </w:r>
          </w:p>
        </w:tc>
        <w:tc>
          <w:tcPr>
            <w:tcW w:type="dxa" w:w="2444"/>
          </w:tcPr>
          <w:p>
            <w:pPr>
              <w:pStyle w:val="TableContents"/>
              <w:spacing w:before="0" w:after="0" w:line="240" w:lineRule="atLeast"/>
            </w:pPr>
            <w:r>
              <w:rPr>
                <w:rFonts w:ascii="Arial" w:hAnsi="Arial" w:cs="Arial" w:eastAsia="Arial"/>
                <w:sz w:val="16"/>
                <w:szCs w:val="16"/>
              </w:rPr>
              <w:t>Every 2 years</w:t>
            </w:r>
          </w:p>
        </w:tc>
        <w:tc>
          <w:tcPr>
            <w:tcW w:type="dxa" w:w="2445"/>
          </w:tcPr>
          <w:p>
            <w:pPr>
              <w:pStyle w:val="TableContents"/>
              <w:spacing w:before="0" w:after="0" w:line="240" w:lineRule="atLeast"/>
            </w:pPr>
            <w:r>
              <w:rPr>
                <w:rFonts w:ascii="Arial" w:hAnsi="Arial" w:cs="Arial" w:eastAsia="Arial"/>
                <w:sz w:val="16"/>
                <w:szCs w:val="16"/>
              </w:rPr>
              <w:t>Y</w:t>
            </w:r>
          </w:p>
        </w:tc>
      </w:tr>
      <w:tr>
        <w:tc>
          <w:tcPr>
            <w:tcW w:type="dxa" w:w="2444"/>
          </w:tcPr>
          <w:p>
            <w:pPr>
              <w:pStyle w:val="TableContents"/>
              <w:spacing w:before="0" w:after="0" w:line="240" w:lineRule="atLeast"/>
            </w:pPr>
            <w:r>
              <w:rPr>
                <w:rFonts w:ascii="Arial" w:hAnsi="Arial" w:cs="Arial" w:eastAsia="Arial"/>
                <w:sz w:val="16"/>
                <w:szCs w:val="16"/>
              </w:rPr>
              <w:t>Dogman</w:t>
            </w:r>
          </w:p>
        </w:tc>
        <w:tc>
          <w:tcPr>
            <w:tcW w:type="dxa" w:w="2444"/>
          </w:tcPr>
          <w:p>
            <w:pPr>
              <w:pStyle w:val="TableContents"/>
              <w:spacing w:before="0" w:after="0" w:line="240" w:lineRule="atLeast"/>
            </w:pPr>
            <w:r>
              <w:rPr>
                <w:rFonts w:ascii="Arial" w:hAnsi="Arial" w:cs="Arial" w:eastAsia="Arial"/>
                <w:sz w:val="16"/>
                <w:szCs w:val="16"/>
              </w:rPr>
              <w:t>High Risk Work Licence - dogging</w:t>
            </w:r>
          </w:p>
        </w:tc>
        <w:tc>
          <w:tcPr>
            <w:tcW w:type="dxa" w:w="2444"/>
          </w:tcPr>
          <w:p>
            <w:pPr>
              <w:pStyle w:val="TableContents"/>
              <w:spacing w:before="0" w:after="0" w:line="240" w:lineRule="atLeast"/>
            </w:pPr>
            <w:r>
              <w:rPr>
                <w:rFonts w:ascii="Arial" w:hAnsi="Arial" w:cs="Arial" w:eastAsia="Arial"/>
                <w:sz w:val="16"/>
                <w:szCs w:val="16"/>
              </w:rPr>
              <w:t>Every 2 years</w:t>
            </w:r>
          </w:p>
        </w:tc>
        <w:tc>
          <w:tcPr>
            <w:tcW w:type="dxa" w:w="2445"/>
          </w:tcPr>
          <w:p>
            <w:pPr>
              <w:pStyle w:val="TableContents"/>
              <w:spacing w:before="0" w:after="0" w:line="240" w:lineRule="atLeast"/>
            </w:pPr>
            <w:r>
              <w:rPr>
                <w:rFonts w:ascii="Arial" w:hAnsi="Arial" w:cs="Arial" w:eastAsia="Arial"/>
                <w:sz w:val="16"/>
                <w:szCs w:val="16"/>
              </w:rPr>
              <w:t>Y</w:t>
            </w:r>
          </w:p>
        </w:tc>
      </w:tr>
      <w:tr>
        <w:tc>
          <w:tcPr>
            <w:tcW w:type="dxa" w:w="2444"/>
          </w:tcPr>
          <w:p>
            <w:pPr>
              <w:pStyle w:val="TableContents"/>
              <w:spacing w:before="0" w:after="0" w:line="240" w:lineRule="atLeast"/>
            </w:pPr>
            <w:r>
              <w:rPr>
                <w:rFonts w:ascii="Arial" w:hAnsi="Arial" w:cs="Arial" w:eastAsia="Arial"/>
                <w:sz w:val="16"/>
                <w:szCs w:val="16"/>
              </w:rPr>
              <w:t>Lift Supervisor</w:t>
            </w:r>
          </w:p>
        </w:tc>
        <w:tc>
          <w:tcPr>
            <w:tcW w:type="dxa" w:w="2444"/>
          </w:tcPr>
          <w:p>
            <w:pPr>
              <w:pStyle w:val="TableContents"/>
              <w:spacing w:before="0" w:after="0" w:line="240" w:lineRule="atLeast"/>
            </w:pPr>
            <w:r>
              <w:rPr>
                <w:rFonts w:ascii="Arial" w:hAnsi="Arial" w:cs="Arial" w:eastAsia="Arial"/>
                <w:sz w:val="16"/>
                <w:szCs w:val="16"/>
              </w:rPr>
              <w:t>Formal lift supervisor competency assessment</w:t>
            </w:r>
          </w:p>
        </w:tc>
        <w:tc>
          <w:tcPr>
            <w:tcW w:type="dxa" w:w="2444"/>
          </w:tcPr>
          <w:p>
            <w:pPr>
              <w:pStyle w:val="TableContents"/>
              <w:spacing w:before="0" w:after="0" w:line="240" w:lineRule="atLeast"/>
            </w:pPr>
            <w:r>
              <w:rPr>
                <w:rFonts w:ascii="Arial" w:hAnsi="Arial" w:cs="Arial" w:eastAsia="Arial"/>
                <w:sz w:val="16"/>
                <w:szCs w:val="16"/>
              </w:rPr>
              <w:t>Every 2 years</w:t>
            </w:r>
          </w:p>
        </w:tc>
        <w:tc>
          <w:tcPr>
            <w:tcW w:type="dxa" w:w="2445"/>
          </w:tcPr>
          <w:p>
            <w:pPr>
              <w:pStyle w:val="TableContents"/>
              <w:spacing w:before="0" w:after="0" w:line="240" w:lineRule="atLeast"/>
            </w:pPr>
            <w:r>
              <w:rPr>
                <w:rFonts w:ascii="Arial" w:hAnsi="Arial" w:cs="Arial" w:eastAsia="Arial"/>
                <w:sz w:val="16"/>
                <w:szCs w:val="16"/>
              </w:rPr>
              <w:t>Y</w:t>
            </w:r>
          </w:p>
        </w:tc>
      </w:tr>
      <w:tr>
        <w:tc>
          <w:tcPr>
            <w:tcW w:type="dxa" w:w="2444"/>
          </w:tcPr>
          <w:p>
            <w:pPr>
              <w:pStyle w:val="TableContents"/>
              <w:spacing w:before="0" w:after="0" w:line="240" w:lineRule="atLeast"/>
            </w:pPr>
            <w:r>
              <w:rPr>
                <w:rFonts w:ascii="Arial" w:hAnsi="Arial" w:cs="Arial" w:eastAsia="Arial"/>
                <w:b/>
                <w:bCs/>
                <w:color w:val="0059D1"/>
                <w:sz w:val="16"/>
                <w:szCs w:val="16"/>
              </w:rPr>
              <w:t>[INSERT: additional role]</w:t>
            </w:r>
          </w:p>
        </w:tc>
        <w:tc>
          <w:tcPr>
            <w:tcW w:type="dxa" w:w="2444"/>
          </w:tcPr>
          <w:p>
            <w:pPr>
              <w:pStyle w:val="TableContents"/>
              <w:spacing w:before="0" w:after="0" w:line="240" w:lineRule="atLeast"/>
            </w:pPr>
            <w:r>
              <w:rPr>
                <w:rFonts w:ascii="Arial" w:hAnsi="Arial" w:cs="Arial" w:eastAsia="Arial"/>
                <w:b/>
                <w:bCs/>
                <w:color w:val="0059D1"/>
                <w:sz w:val="16"/>
                <w:szCs w:val="16"/>
              </w:rPr>
              <w:t>[INSERT: qualification]</w:t>
            </w:r>
          </w:p>
        </w:tc>
        <w:tc>
          <w:tcPr>
            <w:tcW w:type="dxa" w:w="2444"/>
          </w:tcPr>
          <w:p>
            <w:pPr>
              <w:pStyle w:val="TableContents"/>
              <w:spacing w:before="0" w:after="0" w:line="240" w:lineRule="atLeast"/>
            </w:pPr>
            <w:r>
              <w:rPr>
                <w:rFonts w:ascii="Arial" w:hAnsi="Arial" w:cs="Arial" w:eastAsia="Arial"/>
                <w:b/>
                <w:bCs/>
                <w:color w:val="0059D1"/>
                <w:sz w:val="16"/>
                <w:szCs w:val="16"/>
              </w:rPr>
              <w:t>[INSERT: frequency]</w:t>
            </w:r>
          </w:p>
        </w:tc>
        <w:tc>
          <w:tcPr>
            <w:tcW w:type="dxa" w:w="2445"/>
          </w:tcPr>
          <w:p>
            <w:pPr>
              <w:pStyle w:val="TableContents"/>
              <w:spacing w:before="0" w:after="0" w:line="240" w:lineRule="atLeast"/>
            </w:pPr>
            <w:r>
              <w:rPr>
                <w:rFonts w:ascii="Arial" w:hAnsi="Arial" w:cs="Arial" w:eastAsia="Arial"/>
                <w:b/>
                <w:bCs/>
                <w:color w:val="0059D1"/>
                <w:sz w:val="16"/>
                <w:szCs w:val="16"/>
              </w:rPr>
              <w:t>[INSERT: Y/N]</w:t>
            </w:r>
          </w:p>
        </w:tc>
      </w:tr>
    </w:tbl>
    <w:p>
      <w:pPr>
        <w:pStyle w:val="NormalNumberedtext"/>
      </w:pPr>
    </w:p>
    <w:p>
      <w:pPr>
        <w:pStyle w:val="NormalNumberedtext"/>
      </w:pPr>
      <w:r>
        <w:t>A formal competency assessment is completed before any personnel participate in a critical lift, regardless of prior experience. This requirement applies to all project personnel and all contractor crane operators and rigging personnel operating on the project.</w:t>
      </w:r>
    </w:p>
    <w:p>
      <w:pPr>
        <w:pStyle w:val="NormalNumberedtext"/>
      </w:pPr>
      <w:r>
        <w:t>Contractor crane operators and rigging personnel meet the same competency requirements as Rio Tinto project personnel. The HSESC Manager verifies contractor competency records before contractor personnel mobilise to site. Unverified personnel are not permitted to participate in any lifting operation until verification is complete and recorded in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HSESC management system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used to authorise and control high-risk work activities, including lifting operations, ensuring all hazards are identified and controls are in place before work commences.</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that lifting equipment is rated and certified to lift safely under specified conditions, as determined by the manufacturer and confirmed through engineering assessment.</w:t>
            </w:r>
          </w:p>
        </w:tc>
      </w:tr>
      <w:tr>
        <w:tc>
          <w:tcPr>
            <w:tcW w:type="dxa" w:w="4888"/>
          </w:tcPr>
          <w:p>
            <w:pPr>
              <w:pStyle w:val="TableContents"/>
              <w:spacing w:before="0" w:after="0" w:line="240" w:lineRule="atLeast"/>
            </w:pPr>
            <w:r>
              <w:rPr>
                <w:rFonts w:ascii="Arial" w:hAnsi="Arial" w:cs="Arial" w:eastAsia="Arial"/>
                <w:sz w:val="16"/>
                <w:szCs w:val="16"/>
              </w:rPr>
              <w:t>WLL</w:t>
            </w:r>
          </w:p>
        </w:tc>
        <w:tc>
          <w:tcPr>
            <w:tcW w:type="dxa" w:w="4889"/>
          </w:tcPr>
          <w:p>
            <w:pPr>
              <w:pStyle w:val="TableContents"/>
              <w:spacing w:before="0" w:after="0" w:line="240" w:lineRule="atLeast"/>
            </w:pPr>
            <w:r>
              <w:rPr>
                <w:rFonts w:ascii="Arial" w:hAnsi="Arial" w:cs="Arial" w:eastAsia="Arial"/>
                <w:sz w:val="16"/>
                <w:szCs w:val="16"/>
              </w:rPr>
              <w:t>Working Load Limit - the maximum mass that a piece of lifting equipment, rigging gear, or lifting accessory is authorised to support in general service, equivalent in application to SWL and marked on equipment by the manufacturer or certifying authority.</w:t>
            </w:r>
          </w:p>
        </w:tc>
      </w:tr>
      <w:tr>
        <w:tc>
          <w:tcPr>
            <w:tcW w:type="dxa" w:w="4888"/>
          </w:tcPr>
          <w:p>
            <w:pPr>
              <w:pStyle w:val="TableContents"/>
              <w:spacing w:before="0" w:after="0" w:line="240" w:lineRule="atLeast"/>
            </w:pPr>
            <w:r>
              <w:rPr>
                <w:rFonts w:ascii="Arial" w:hAnsi="Arial" w:cs="Arial" w:eastAsia="Arial"/>
                <w:sz w:val="16"/>
                <w:szCs w:val="16"/>
              </w:rPr>
              <w:t>LMI</w:t>
            </w:r>
          </w:p>
        </w:tc>
        <w:tc>
          <w:tcPr>
            <w:tcW w:type="dxa" w:w="4889"/>
          </w:tcPr>
          <w:p>
            <w:pPr>
              <w:pStyle w:val="TableContents"/>
              <w:spacing w:before="0" w:after="0" w:line="240" w:lineRule="atLeast"/>
            </w:pPr>
            <w:r>
              <w:rPr>
                <w:rFonts w:ascii="Arial" w:hAnsi="Arial" w:cs="Arial" w:eastAsia="Arial"/>
                <w:sz w:val="16"/>
                <w:szCs w:val="16"/>
              </w:rPr>
              <w:t>Load Moment Indicator - an electronic safety device fitted to cranes that continuously monitors and displays load weight and boom angle, providing an audible and visual alarm when the rated capacity is approached or exceeded.</w:t>
            </w:r>
          </w:p>
        </w:tc>
      </w:tr>
      <w:tr>
        <w:tc>
          <w:tcPr>
            <w:tcW w:type="dxa" w:w="4888"/>
          </w:tcPr>
          <w:p>
            <w:pPr>
              <w:pStyle w:val="TableContents"/>
              <w:spacing w:before="0" w:after="0" w:line="240" w:lineRule="atLeast"/>
            </w:pPr>
            <w:r>
              <w:rPr>
                <w:rFonts w:ascii="Arial" w:hAnsi="Arial" w:cs="Arial" w:eastAsia="Arial"/>
                <w:sz w:val="16"/>
                <w:szCs w:val="16"/>
              </w:rPr>
              <w:t>RACI</w:t>
            </w:r>
          </w:p>
        </w:tc>
        <w:tc>
          <w:tcPr>
            <w:tcW w:type="dxa" w:w="4889"/>
          </w:tcPr>
          <w:p>
            <w:pPr>
              <w:pStyle w:val="TableContents"/>
              <w:spacing w:before="0" w:after="0" w:line="240" w:lineRule="atLeast"/>
            </w:pPr>
            <w:r>
              <w:rPr>
                <w:rFonts w:ascii="Arial" w:hAnsi="Arial" w:cs="Arial" w:eastAsia="Arial"/>
                <w:sz w:val="16"/>
                <w:szCs w:val="16"/>
              </w:rPr>
              <w:t>Responsible, Accountable, Consulted and Informed - a matrix used within the procedure to define roles and responsibilities for each activity within the cranes and lifting management process.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 xml:space="preserve">Job Safety Analysis - a systematic technique for identifying hazards associated with each step of a lifting task, used to inform the development of lift plans and risk assessments in accordance with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describes high-risk construction work activities, identifies the hazards, and specifies the risk controls to be implemented prior to and during lifting operations.</w:t>
            </w:r>
          </w:p>
        </w:tc>
      </w:tr>
      <w:tr>
        <w:tc>
          <w:tcPr>
            <w:tcW w:type="dxa" w:w="4888"/>
          </w:tcPr>
          <w:p>
            <w:pPr>
              <w:pStyle w:val="TableContents"/>
              <w:spacing w:before="0" w:after="0" w:line="240" w:lineRule="atLeast"/>
            </w:pPr>
            <w:r>
              <w:rPr>
                <w:rFonts w:ascii="Arial" w:hAnsi="Arial" w:cs="Arial" w:eastAsia="Arial"/>
                <w:sz w:val="16"/>
                <w:szCs w:val="16"/>
              </w:rPr>
              <w:t>NDT</w:t>
            </w:r>
          </w:p>
        </w:tc>
        <w:tc>
          <w:tcPr>
            <w:tcW w:type="dxa" w:w="4889"/>
          </w:tcPr>
          <w:p>
            <w:pPr>
              <w:pStyle w:val="TableContents"/>
              <w:spacing w:before="0" w:after="0" w:line="240" w:lineRule="atLeast"/>
            </w:pPr>
            <w:r>
              <w:rPr>
                <w:rFonts w:ascii="Arial" w:hAnsi="Arial" w:cs="Arial" w:eastAsia="Arial"/>
                <w:sz w:val="16"/>
                <w:szCs w:val="16"/>
              </w:rPr>
              <w:t>Non-Destructive Testing - a range of inspection techniques used to evaluate the integrity of crane structures, hooks, wire ropes, and lifting accessories without causing damage, as part of the equipment integrity and inspection regime.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by workers to minimise exposure to hazards during crane and lifting operations, including but not limited to hard hats, safety footwear, high-visibility vests, and gloves.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requirements govern the HSESC management system applied across all owner-led projects, including lifting and crane operations.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within the HSESC management system that provides step-by-step instructions and requirements for managing specific activities, hazards, or processes on Rio Tinto owner-led projects.</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 xml:space="preserve">Register - a controlled record within the HSESC management system used to capture, track, and maintain required information, such as competency records for crane operators and riggers documented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prefix used to identify controlled HSESC management system documents specific to Rio Tinto owner-led projects, encompassing procedures, registers, forms, and plans.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functional area responsible for managing risks to people and the environment across Rio Tinto owner-led project sites, as reflected in the HSESC management system document numbering convention.</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 xml:space="preserve">Lockout/Tagout - an energy isolation procedure required under </w:t>
            </w:r>
            <w:r>
              <w:rPr>
                <w:rFonts w:ascii="Arial" w:hAnsi="Arial" w:cs="Arial" w:eastAsia="Arial"/>
                <w:b/>
                <w:bCs/>
                <w:color w:val="0059D1"/>
                <w:sz w:val="16"/>
                <w:szCs w:val="16"/>
              </w:rPr>
              <w:t>[INSERT: Project Document Number]</w:t>
            </w:r>
            <w:r>
              <w:rPr>
                <w:rFonts w:ascii="Arial" w:hAnsi="Arial" w:cs="Arial" w:eastAsia="Arial"/>
                <w:sz w:val="16"/>
                <w:szCs w:val="16"/>
              </w:rPr>
              <w:t xml:space="preserve"> to control hazardous energy sources, including electrical plant, when crane or lifting operations are conducted in proximity to energised equipment.</w:t>
            </w:r>
          </w:p>
        </w:tc>
      </w:tr>
      <w:tr>
        <w:tc>
          <w:tcPr>
            <w:tcW w:type="dxa" w:w="4888"/>
          </w:tcPr>
          <w:p>
            <w:pPr>
              <w:pStyle w:val="TableContents"/>
              <w:spacing w:before="0" w:after="0" w:line="240" w:lineRule="atLeast"/>
            </w:pPr>
            <w:r>
              <w:rPr>
                <w:rFonts w:ascii="Arial" w:hAnsi="Arial" w:cs="Arial" w:eastAsia="Arial"/>
                <w:sz w:val="16"/>
                <w:szCs w:val="16"/>
              </w:rPr>
              <w:t>AOB</w:t>
            </w:r>
          </w:p>
        </w:tc>
        <w:tc>
          <w:tcPr>
            <w:tcW w:type="dxa" w:w="4889"/>
          </w:tcPr>
          <w:p>
            <w:pPr>
              <w:pStyle w:val="TableContents"/>
              <w:spacing w:before="0" w:after="0" w:line="240" w:lineRule="atLeast"/>
            </w:pPr>
            <w:r>
              <w:rPr>
                <w:rFonts w:ascii="Arial" w:hAnsi="Arial" w:cs="Arial" w:eastAsia="Arial"/>
                <w:sz w:val="16"/>
                <w:szCs w:val="16"/>
              </w:rPr>
              <w:t>Authorised Operator of Business - the Rio Tinto appointed individual with delegated authority and accountability for ensuring that all crane and lifting activities on the project are conducted in compliance with this procedure and applicable standards.</w:t>
            </w:r>
          </w:p>
        </w:tc>
      </w:tr>
      <w:tr>
        <w:tc>
          <w:tcPr>
            <w:tcW w:type="dxa" w:w="4888"/>
          </w:tcPr>
          <w:p>
            <w:pPr>
              <w:pStyle w:val="TableContents"/>
              <w:spacing w:before="0" w:after="0" w:line="240" w:lineRule="atLeast"/>
            </w:pPr>
            <w:r>
              <w:rPr>
                <w:rFonts w:ascii="Arial" w:hAnsi="Arial" w:cs="Arial" w:eastAsia="Arial"/>
                <w:sz w:val="16"/>
                <w:szCs w:val="16"/>
              </w:rPr>
              <w:t>OEM</w:t>
            </w:r>
          </w:p>
        </w:tc>
        <w:tc>
          <w:tcPr>
            <w:tcW w:type="dxa" w:w="4889"/>
          </w:tcPr>
          <w:p>
            <w:pPr>
              <w:pStyle w:val="TableContents"/>
              <w:spacing w:before="0" w:after="0" w:line="240" w:lineRule="atLeast"/>
            </w:pPr>
            <w:r>
              <w:rPr>
                <w:rFonts w:ascii="Arial" w:hAnsi="Arial" w:cs="Arial" w:eastAsia="Arial"/>
                <w:sz w:val="16"/>
                <w:szCs w:val="16"/>
              </w:rPr>
              <w:t>Original Equipment Manufacturer - the manufacturer of a crane or lifting device whose specifications, load charts, maintenance manuals, and safety instructions govern the safe use, inspection, and maintenance requirements for that equipment.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Crane Operator and Rigger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Traffic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AS 2550 - Cranes, Hoists and Winches: Safe Use</w:t>
            </w:r>
          </w:p>
        </w:tc>
        <w:tc>
          <w:tcPr>
            <w:tcW w:type="dxa" w:w="3259"/>
          </w:tcPr>
          <w:p>
            <w:pPr>
              <w:pStyle w:val="TableContents"/>
              <w:spacing w:before="0" w:after="0" w:line="240" w:lineRule="atLeast"/>
            </w:pPr>
            <w:r>
              <w:rPr>
                <w:rFonts w:ascii="Arial" w:hAnsi="Arial" w:cs="Arial" w:eastAsia="Arial"/>
                <w:sz w:val="16"/>
                <w:szCs w:val="16"/>
              </w:rPr>
              <w:t>AS 2550 (series)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1418 - Cranes, Hoists and Winches: Design and Construction</w:t>
            </w:r>
          </w:p>
        </w:tc>
        <w:tc>
          <w:tcPr>
            <w:tcW w:type="dxa" w:w="3259"/>
          </w:tcPr>
          <w:p>
            <w:pPr>
              <w:pStyle w:val="TableContents"/>
              <w:spacing w:before="0" w:after="0" w:line="240" w:lineRule="atLeast"/>
            </w:pPr>
            <w:r>
              <w:rPr>
                <w:rFonts w:ascii="Arial" w:hAnsi="Arial" w:cs="Arial" w:eastAsia="Arial"/>
                <w:sz w:val="16"/>
                <w:szCs w:val="16"/>
              </w:rPr>
              <w:t>AS 1418 (series)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3569 - Steel Wire Ropes: Product Specification</w:t>
            </w:r>
          </w:p>
        </w:tc>
        <w:tc>
          <w:tcPr>
            <w:tcW w:type="dxa" w:w="3259"/>
          </w:tcPr>
          <w:p>
            <w:pPr>
              <w:pStyle w:val="TableContents"/>
              <w:spacing w:before="0" w:after="0" w:line="240" w:lineRule="atLeast"/>
            </w:pPr>
            <w:r>
              <w:rPr>
                <w:rFonts w:ascii="Arial" w:hAnsi="Arial" w:cs="Arial" w:eastAsia="Arial"/>
                <w:sz w:val="16"/>
                <w:szCs w:val="16"/>
              </w:rPr>
              <w:t>AS 3569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4991 - Lifting Devices</w:t>
            </w:r>
          </w:p>
        </w:tc>
        <w:tc>
          <w:tcPr>
            <w:tcW w:type="dxa" w:w="3259"/>
          </w:tcPr>
          <w:p>
            <w:pPr>
              <w:pStyle w:val="TableContents"/>
              <w:spacing w:before="0" w:after="0" w:line="240" w:lineRule="atLeast"/>
            </w:pPr>
            <w:r>
              <w:rPr>
                <w:rFonts w:ascii="Arial" w:hAnsi="Arial" w:cs="Arial" w:eastAsia="Arial"/>
                <w:sz w:val="16"/>
                <w:szCs w:val="16"/>
              </w:rPr>
              <w:t>AS 4991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Cranes</w:t>
            </w:r>
          </w:p>
        </w:tc>
        <w:tc>
          <w:tcPr>
            <w:tcW w:type="dxa" w:w="3259"/>
          </w:tcPr>
          <w:p>
            <w:pPr>
              <w:pStyle w:val="TableContents"/>
              <w:spacing w:before="0" w:after="0" w:line="240" w:lineRule="atLeast"/>
            </w:pPr>
            <w:r>
              <w:rPr>
                <w:rFonts w:ascii="Arial" w:hAnsi="Arial" w:cs="Arial" w:eastAsia="Arial"/>
                <w:sz w:val="16"/>
                <w:szCs w:val="16"/>
              </w:rPr>
              <w:t>SWA COP Cranes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Model Work Health and Safety Act 2011</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Model Work Health and Safety Regulations 2017</w:t>
            </w:r>
          </w:p>
        </w:tc>
        <w:tc>
          <w:tcPr>
            <w:tcW w:type="dxa" w:w="3259"/>
          </w:tcPr>
          <w:p>
            <w:pPr>
              <w:pStyle w:val="TableContents"/>
              <w:spacing w:before="0" w:after="0" w:line="240" w:lineRule="atLeast"/>
            </w:pPr>
            <w:r>
              <w:rPr>
                <w:rFonts w:ascii="Arial" w:hAnsi="Arial" w:cs="Arial" w:eastAsia="Arial"/>
                <w:sz w:val="16"/>
                <w:szCs w:val="16"/>
              </w:rPr>
              <w:t>WHS Regulations 2017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C6 - Lifting Operations Standard</w:t>
            </w:r>
          </w:p>
        </w:tc>
        <w:tc>
          <w:tcPr>
            <w:tcW w:type="dxa" w:w="2256"/>
          </w:tcPr>
          <w:p>
            <w:pPr>
              <w:pStyle w:val="TableContents"/>
              <w:spacing w:before="0" w:after="0" w:line="240" w:lineRule="atLeast"/>
            </w:pPr>
            <w:r>
              <w:rPr>
                <w:rFonts w:ascii="Arial" w:hAnsi="Arial" w:cs="Arial" w:eastAsia="Arial"/>
                <w:sz w:val="16"/>
                <w:szCs w:val="16"/>
              </w:rPr>
              <w:t>Sets mandatory requirements for lifting equipment registers, critical lift classification, safety device requirements, pre-operational checks, lift execution controls, and operator competency for all crane and lifting operations.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§57.1</w:t>
            </w:r>
          </w:p>
        </w:tc>
        <w:tc>
          <w:tcPr>
            <w:tcW w:type="dxa" w:w="2256"/>
          </w:tcPr>
          <w:p>
            <w:pPr>
              <w:pStyle w:val="TableContents"/>
              <w:spacing w:before="0" w:after="0" w:line="240" w:lineRule="atLeast"/>
            </w:pPr>
            <w:r>
              <w:rPr>
                <w:rFonts w:ascii="Arial" w:hAnsi="Arial" w:cs="Arial" w:eastAsia="Arial"/>
                <w:sz w:val="16"/>
                <w:szCs w:val="16"/>
              </w:rPr>
              <w:t>Requires the Lifting Equipment Register to include contractor-owned equipment operating on the project, not only project-owned equipment.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§57.2</w:t>
            </w:r>
          </w:p>
        </w:tc>
        <w:tc>
          <w:tcPr>
            <w:tcW w:type="dxa" w:w="2256"/>
          </w:tcPr>
          <w:p>
            <w:pPr>
              <w:pStyle w:val="TableContents"/>
              <w:spacing w:before="0" w:after="0" w:line="240" w:lineRule="atLeast"/>
            </w:pPr>
            <w:r>
              <w:rPr>
                <w:rFonts w:ascii="Arial" w:hAnsi="Arial" w:cs="Arial" w:eastAsia="Arial"/>
                <w:sz w:val="16"/>
                <w:szCs w:val="16"/>
              </w:rPr>
              <w:t>Requires contractor crane operators and rigging personnel to meet the same competency requirements as RT project personnel, verified before mobilisation to site.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§57.2.2</w:t>
            </w:r>
          </w:p>
        </w:tc>
        <w:tc>
          <w:tcPr>
            <w:tcW w:type="dxa" w:w="2256"/>
          </w:tcPr>
          <w:p>
            <w:pPr>
              <w:pStyle w:val="TableContents"/>
              <w:spacing w:before="0" w:after="0" w:line="240" w:lineRule="atLeast"/>
            </w:pPr>
            <w:r>
              <w:rPr>
                <w:rFonts w:ascii="Arial" w:hAnsi="Arial" w:cs="Arial" w:eastAsia="Arial"/>
                <w:sz w:val="16"/>
                <w:szCs w:val="16"/>
              </w:rPr>
              <w:t>Requires lifting devices and equipment to be certified within the last 12 months or per local regulatory requirements, whichever is more stringent, with certification available at the work site.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§57.3.2</w:t>
            </w:r>
          </w:p>
        </w:tc>
        <w:tc>
          <w:tcPr>
            <w:tcW w:type="dxa" w:w="2256"/>
          </w:tcPr>
          <w:p>
            <w:pPr>
              <w:pStyle w:val="TableContents"/>
              <w:spacing w:before="0" w:after="0" w:line="240" w:lineRule="atLeast"/>
            </w:pPr>
            <w:r>
              <w:rPr>
                <w:rFonts w:ascii="Arial" w:hAnsi="Arial" w:cs="Arial" w:eastAsia="Arial"/>
                <w:sz w:val="16"/>
                <w:szCs w:val="16"/>
              </w:rPr>
              <w:t>Requires tag lines, poles, or other appropriate means as primary methods to control lifted loads, prohibiting direct hand contact with a suspended load without specific risk assessment and permit authorisation.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§57.4.3</w:t>
            </w:r>
          </w:p>
        </w:tc>
        <w:tc>
          <w:tcPr>
            <w:tcW w:type="dxa" w:w="2256"/>
          </w:tcPr>
          <w:p>
            <w:pPr>
              <w:pStyle w:val="TableContents"/>
              <w:spacing w:before="0" w:after="0" w:line="240" w:lineRule="atLeast"/>
            </w:pPr>
            <w:r>
              <w:rPr>
                <w:rFonts w:ascii="Arial" w:hAnsi="Arial" w:cs="Arial" w:eastAsia="Arial"/>
                <w:sz w:val="16"/>
                <w:szCs w:val="16"/>
              </w:rPr>
              <w:t>Prohibits personnel from being positioned under a suspended load or in any location where they could be struck by a falling or swinging load.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critical lift planning to include assessment of ground conditions, crane configuration, rated capacity verification, and identification of persons within the swing radius and drop zone, with exclusion zones enforced for the full duration of the lift.</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