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Isolation</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Isolation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applies to all energy isolation activities for non-electrical hazardous energy sources: hydraulic; pneumatic; mechanical (stored under tension or gravity); rotating and moving energies; radiation; and chemical energies. Electrical isolation is addressed in the Electrical Safety Procedure. All isolations require authorisation before work commences.</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isolation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states the purpose of this procedure, the hazardous energy control framework it operationalises, and the lifecycle phases and personnel to which it applies.</w:t>
      </w:r>
    </w:p>
    <w:p>
      <w:pPr>
        <w:pStyle w:val="Heading2Numbered"/>
      </w:pPr>
      <w:r>
        <w:t>3.1  Purpose of This Document</w:t>
      </w:r>
    </w:p>
    <w:p>
      <w:pPr>
        <w:pStyle w:val="NormalNumberedtext"/>
      </w:pPr>
      <w:r>
        <w:t>This section defines the purpose of this procedure and the minimum isolation requirements it establishes for all project work.</w:t>
      </w:r>
    </w:p>
    <w:p>
      <w:pPr>
        <w:pStyle w:val="NormalNumberedtext"/>
      </w:pPr>
      <w:r>
        <w:t>This procedure meets the following purpose requirements:</w:t>
      </w:r>
    </w:p>
    <w:p>
      <w:pPr>
        <w:pStyle w:val="NormalNumberedtext"/>
      </w:pPr>
      <w:r>
        <w:t>This procedure establishes the minimum requirements for the identification, control, and verification of hazardous energy on this project, addressing:</w:t>
      </w:r>
    </w:p>
    <w:p>
      <w:pPr>
        <w:pStyle w:val="NumberedBulletL1"/>
      </w:pPr>
      <w:r>
        <w:t>Identification and documentation of all hazardous energy sources and isolation points.</w:t>
      </w:r>
    </w:p>
    <w:p>
      <w:pPr>
        <w:pStyle w:val="NumberedBulletL1"/>
      </w:pPr>
      <w:r>
        <w:t>The isolation process sequence, including lockout and tagout requirements.</w:t>
      </w:r>
    </w:p>
    <w:p>
      <w:pPr>
        <w:pStyle w:val="NumberedBulletL1"/>
      </w:pPr>
      <w:r>
        <w:t>The Isolation Officer role, authority, and competency requirements.</w:t>
      </w:r>
    </w:p>
    <w:p>
      <w:pPr>
        <w:pStyle w:val="NumberedBulletL1"/>
      </w:pPr>
      <w:r>
        <w:t>High-pressure equipment registration and specific controls.</w:t>
      </w:r>
    </w:p>
    <w:p>
      <w:pPr>
        <w:pStyle w:val="NumberedBulletL1"/>
      </w:pPr>
      <w:r>
        <w:t>Mechanical blocking and guarding requirements.</w:t>
      </w:r>
    </w:p>
    <w:p>
      <w:pPr>
        <w:pStyle w:val="NumberedBulletL1"/>
      </w:pPr>
      <w:r>
        <w:t>The authorisation process for live or unisolated work.</w:t>
      </w:r>
    </w:p>
    <w:p>
      <w:pPr>
        <w:pStyle w:val="NormalNumberedtext"/>
      </w:pPr>
      <w:r>
        <w:t>This procedure does not govern electrical isolation activities. All electrical isolation is managed under the Electrical Safety Procedure, refer RTPR-HSE-PRO-0025.</w:t>
      </w:r>
    </w:p>
    <w:p>
      <w:pPr>
        <w:pStyle w:val="NormalNumberedtext"/>
      </w:pPr>
      <w:r>
        <w:t>Isolation risk assessments are conducted in accordance with the Risk Management Procedure, refer RTPR-HSE-PRO-0002. Isolation permits are raised and managed through the Permit to Work system; raise a permit via the site PTW system before commencing work, refer RTPR-HSE-PRO-0021.</w:t>
      </w:r>
    </w:p>
    <w:p>
      <w:pPr>
        <w:pStyle w:val="Heading2Numbered"/>
      </w:pPr>
      <w:r>
        <w:t>3.2  Scope of This Document</w:t>
      </w:r>
    </w:p>
    <w:p>
      <w:pPr>
        <w:pStyle w:val="NormalNumberedtext"/>
      </w:pPr>
      <w:r>
        <w:t>This section defines the work activities, energy types, personnel, and project phases governed by this procedure.</w:t>
      </w:r>
    </w:p>
    <w:p>
      <w:pPr>
        <w:pStyle w:val="NormalNumberedtext"/>
      </w:pPr>
      <w:r>
        <w:t>This procedure applies to all project personnel, including Rio Tinto staff and all contractor organisations, conducting work where hazardous energy sources are present.</w:t>
      </w:r>
    </w:p>
    <w:p>
      <w:pPr>
        <w:pStyle w:val="NormalNumberedtext"/>
      </w:pPr>
      <w:r>
        <w:t>This procedure applies to all activities involving the following categories of hazardous energy:</w:t>
      </w:r>
    </w:p>
    <w:p>
      <w:pPr>
        <w:pStyle w:val="NumberedBulletL1"/>
      </w:pPr>
      <w:r>
        <w:t>Mechanical energy, including rotating and reciprocating plant.</w:t>
      </w:r>
    </w:p>
    <w:p>
      <w:pPr>
        <w:pStyle w:val="NumberedBulletL1"/>
      </w:pPr>
      <w:r>
        <w:t>Pneumatic energy, including compressed air and gas systems.</w:t>
      </w:r>
    </w:p>
    <w:p>
      <w:pPr>
        <w:pStyle w:val="NumberedBulletL1"/>
      </w:pPr>
      <w:r>
        <w:t>Hydraulic energy, including pressurised fluid systems.</w:t>
      </w:r>
    </w:p>
    <w:p>
      <w:pPr>
        <w:pStyle w:val="NumberedBulletL1"/>
      </w:pPr>
      <w:r>
        <w:t>Thermal energy, including hot fluids, steam, and cryogenic systems.</w:t>
      </w:r>
    </w:p>
    <w:p>
      <w:pPr>
        <w:pStyle w:val="NumberedBulletL1"/>
      </w:pPr>
      <w:r>
        <w:t>Chemical energy, including stored or pressurised process fluids.</w:t>
      </w:r>
    </w:p>
    <w:p>
      <w:pPr>
        <w:pStyle w:val="NumberedBulletL1"/>
      </w:pPr>
      <w:r>
        <w:t>Gravitational and stored potential energy, including suspended loads and springs.</w:t>
      </w:r>
    </w:p>
    <w:p>
      <w:pPr>
        <w:pStyle w:val="NumberedBulletL1"/>
      </w:pPr>
      <w:r>
        <w:rPr>
          <w:color w:val="C55A11"/>
        </w:rPr>
        <w:t>Radiation energy, including ionising radiation sources associated with instrumentation.</w:t>
      </w:r>
    </w:p>
    <w:p>
      <w:pPr>
        <w:pStyle w:val="NormalNumberedtext"/>
      </w:pPr>
      <w:r>
        <w:t>This procedure applies from the point the project enters execution and continues through commissioning and handover. Scope changes arising during an active isolation are managed under the Management of Change Procedure, refer RTPR-HSE-PRO-0040.</w:t>
      </w:r>
    </w:p>
    <w:p>
      <w:pPr>
        <w:pStyle w:val="Heading1Numbered"/>
      </w:pPr>
      <w:r>
        <w:t>4  Roles and Responsibilities</w:t>
      </w:r>
    </w:p>
    <w:p>
      <w:pPr>
        <w:pStyle w:val="NormalNumberedtext"/>
      </w:pPr>
      <w:r>
        <w:t>This section defines isolation management responsibilities for all project roles, covering governance, execution, verification, and competency obligations.</w:t>
      </w:r>
    </w:p>
    <w:p>
      <w:pPr>
        <w:pStyle w:val="NormalNumberedtext"/>
      </w:pPr>
      <w:r>
        <w:t>Table 1: Isolation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Manager</w:t>
            </w:r>
          </w:p>
        </w:tc>
        <w:tc>
          <w:tcPr/>
          <w:p>
            <w:pPr>
              <w:pStyle w:val="TableContents"/>
            </w:pPr>
            <w:r>
              <w:t>Accountable for the implementation of this procedure across all project activities. Ensures Isolation Officers are authorised before isolation activities commence.</w:t>
            </w:r>
          </w:p>
        </w:tc>
      </w:tr>
      <w:tr>
        <w:tc>
          <w:tcPr/>
          <w:p>
            <w:pPr>
              <w:pStyle w:val="TableContents"/>
            </w:pPr>
            <w:r>
              <w:t>HSESC Manager</w:t>
            </w:r>
          </w:p>
        </w:tc>
        <w:tc>
          <w:tcPr/>
          <w:p>
            <w:pPr>
              <w:pStyle w:val="TableContents"/>
            </w:pPr>
            <w:r>
              <w:t>Maintains the Authorised Isolation Officers Register. Conducts periodic audits of the isolation programme. Reviews and approves applications for live or unisolated work authorisation.</w:t>
            </w:r>
          </w:p>
        </w:tc>
      </w:tr>
      <w:tr>
        <w:tc>
          <w:tcPr/>
          <w:p>
            <w:pPr>
              <w:pStyle w:val="TableContents"/>
            </w:pPr>
            <w:r>
              <w:t>Isolation Officer</w:t>
            </w:r>
          </w:p>
        </w:tc>
        <w:tc>
          <w:tcPr/>
          <w:p>
            <w:pPr>
              <w:pStyle w:val="TableContents"/>
            </w:pPr>
            <w:r>
              <w:t>Identified, de-energises, locks out, tags, verifies zero energy, and releases isolations in accordance with this procedure. Holds current authorisation on the project Authorised Isolation Officers Register.</w:t>
            </w:r>
          </w:p>
        </w:tc>
      </w:tr>
      <w:tr>
        <w:tc>
          <w:tcPr/>
          <w:p>
            <w:pPr>
              <w:pStyle w:val="TableContents"/>
            </w:pPr>
            <w:r>
              <w:t>Work Supervisor</w:t>
            </w:r>
          </w:p>
        </w:tc>
        <w:tc>
          <w:tcPr/>
          <w:p>
            <w:pPr>
              <w:pStyle w:val="TableContents"/>
            </w:pPr>
            <w:r>
              <w:t>Confirms an isolation is in place and verified before the work group enters the isolation zone. Ensures every worker in the zone applies a personal lock. Stops work when conditions change.</w:t>
            </w:r>
          </w:p>
        </w:tc>
      </w:tr>
      <w:tr>
        <w:tc>
          <w:tcPr/>
          <w:p>
            <w:pPr>
              <w:pStyle w:val="TableContents"/>
            </w:pPr>
            <w:r>
              <w:t>Worker</w:t>
            </w:r>
          </w:p>
        </w:tc>
        <w:tc>
          <w:tcPr/>
          <w:p>
            <w:pPr>
              <w:pStyle w:val="TableContents"/>
            </w:pPr>
            <w:r>
              <w:t>Applies a personal lock to every isolation point in the zone before entering. Does not remove another person's lock under any circumstances. Reports any change in work conditions to the supervisor immediately.</w:t>
            </w:r>
          </w:p>
        </w:tc>
      </w:tr>
      <w:tr>
        <w:tc>
          <w:tcPr/>
          <w:p>
            <w:pPr>
              <w:pStyle w:val="TableContents"/>
            </w:pPr>
            <w:r>
              <w:rPr>
                <w:b/>
                <w:bCs/>
                <w:color w:val="0059D1"/>
              </w:rPr>
              <w:t>[INSERT: Contractor HSE Representative]</w:t>
            </w:r>
          </w:p>
        </w:tc>
        <w:tc>
          <w:tcPr/>
          <w:p>
            <w:pPr>
              <w:pStyle w:val="TableContents"/>
            </w:pPr>
            <w:r>
              <w:rPr>
                <w:b/>
                <w:bCs/>
                <w:color w:val="0059D1"/>
              </w:rPr>
              <w:t>[INSERT: Monitors contractor compliance with this procedure. Reports isolation deficiencies to the HSESC Manager.]</w:t>
            </w:r>
          </w:p>
        </w:tc>
      </w:tr>
    </w:tbl>
    <w:p>
      <w:pPr>
        <w:pStyle w:val="Default"/>
      </w:pPr>
    </w:p>
    <w:p>
      <w:pPr>
        <w:pStyle w:val="Heading1Numbered"/>
      </w:pPr>
      <w:r>
        <w:t>5  Hazardous Energy Identification</w:t>
      </w:r>
    </w:p>
    <w:p>
      <w:pPr>
        <w:pStyle w:val="NormalNumberedtext"/>
      </w:pPr>
      <w:r>
        <w:t>This section defines the requirements for identifying all hazardous energy sources, documenting isolation points, and producing the isolation drawings and boundary diagrams required before work commences.</w:t>
      </w:r>
    </w:p>
    <w:p>
      <w:pPr>
        <w:pStyle w:val="Heading2Numbered"/>
      </w:pPr>
      <w:r>
        <w:t>5.1  Energy Source Identification and Documentation</w:t>
      </w:r>
    </w:p>
    <w:p>
      <w:pPr>
        <w:pStyle w:val="NormalNumberedtext"/>
      </w:pPr>
      <w:r>
        <w:t>This section defines the documentation required to identify all hazardous energy sources and isolation points for each item of plant and equipment.</w:t>
      </w:r>
    </w:p>
    <w:p>
      <w:pPr>
        <w:pStyle w:val="NormalNumberedtext"/>
      </w:pPr>
      <w:r>
        <w:t>All hazardous energy sources and isolation points are identified for every item of equipment or system where hazardous energy exists. The following documentation is developed and maintained for all plant where hazardous energies are present:</w:t>
      </w:r>
    </w:p>
    <w:p>
      <w:pPr>
        <w:pStyle w:val="NormalNumberedtext"/>
      </w:pPr>
      <w:r>
        <w:t>Required energy identification documentation includes:</w:t>
      </w:r>
    </w:p>
    <w:p>
      <w:pPr>
        <w:pStyle w:val="NumberedBulletL1"/>
      </w:pPr>
      <w:r>
        <w:t>Isolation drawings and marked-up P&amp;IDs showing all isolation points.</w:t>
      </w:r>
    </w:p>
    <w:p>
      <w:pPr>
        <w:pStyle w:val="NumberedBulletL1"/>
      </w:pPr>
      <w:r>
        <w:t>Isolation lists identifying each energy source, isolation device, and isolation point.</w:t>
      </w:r>
    </w:p>
    <w:p>
      <w:pPr>
        <w:pStyle w:val="NumberedBulletL1"/>
      </w:pPr>
      <w:r>
        <w:t>Boundary diagrams defining the limits of the isolation zone.</w:t>
      </w:r>
    </w:p>
    <w:p>
      <w:pPr>
        <w:pStyle w:val="NumberedBulletL1"/>
      </w:pPr>
      <w:r>
        <w:rPr>
          <w:color w:val="C55A11"/>
        </w:rPr>
        <w:t>Equipment-specific isolation procedures that reference the relevant P&amp;IDs and schematics for each item of plant.</w:t>
      </w:r>
    </w:p>
    <w:p>
      <w:pPr>
        <w:pStyle w:val="NormalNumberedtext"/>
      </w:pPr>
      <w:r>
        <w:rPr>
          <w:b/>
          <w:bCs/>
          <w:color w:val="0059D1"/>
        </w:rPr>
        <w:t>[INSERT: isolation_documentation_standard] — Define the project isolation point identification and documentation method: P&amp;ID annotation standards, isolation list format, and boundary diagram conventions. Insert the project standard or reference the engineering document.</w:t>
      </w:r>
    </w:p>
    <w:p>
      <w:pPr>
        <w:pStyle w:val="NormalNumberedtext"/>
      </w:pPr>
      <w:r>
        <w:t>Each energy source has a defined isolation point and an appropriate isolation device, including circuit breakers, valves, or disconnects, appropriate to the energy type. New plant and equipment is designed to minimise the number and complexity of lockable isolation points.</w:t>
      </w:r>
    </w:p>
    <w:p>
      <w:pPr>
        <w:pStyle w:val="NormalNumberedtext"/>
      </w:pPr>
      <w:r>
        <w:t>The HSESC Manager confirms that all isolation documentation is completed, stored in the project document management system, and available at the work site before any isolation activities commence.</w:t>
      </w:r>
    </w:p>
    <w:p>
      <w:pPr>
        <w:pStyle w:val="Heading1Numbered"/>
      </w:pPr>
      <w:r>
        <w:t>6  Isolation Process</w:t>
      </w:r>
    </w:p>
    <w:p>
      <w:pPr>
        <w:pStyle w:val="NormalNumberedtext"/>
      </w:pPr>
      <w:r>
        <w:t>This section defines the mandatory sequence of steps for establishing, verifying, maintaining, and releasing an isolation, and the competency requirements for the personnel performing each step.</w:t>
      </w:r>
    </w:p>
    <w:p>
      <w:pPr>
        <w:pStyle w:val="Heading2Numbered"/>
      </w:pPr>
      <w:r>
        <w:t>6.1  Isolation Sequence</w:t>
      </w:r>
    </w:p>
    <w:p>
      <w:pPr>
        <w:pStyle w:val="NormalNumberedtext"/>
      </w:pPr>
      <w:r>
        <w:t>This section defines the step-by-step isolation process that applies to every isolation conducted on this project.</w:t>
      </w:r>
    </w:p>
    <w:p>
      <w:pPr>
        <w:pStyle w:val="NormalNumberedtext"/>
      </w:pPr>
      <w:r>
        <w:t>Every isolation is carried out by an authorised and competent Isolation Officer. The Isolation Officer follows the equipment-specific isolation procedure, including the relevant P&amp;IDs and schematics, for the equipment being isolated.</w:t>
      </w:r>
    </w:p>
    <w:p>
      <w:pPr>
        <w:pStyle w:val="NormalNumberedtext"/>
      </w:pPr>
      <w:r>
        <w:t>The Isolation Officer completes the following steps in sequence for every isolation:</w:t>
      </w:r>
    </w:p>
    <w:p>
      <w:pPr>
        <w:pStyle w:val="NumberedBulletL1"/>
      </w:pPr>
      <w:r>
        <w:t>Identify all energy sources associated with the equipment or system using the approved isolation list and P&amp;IDs.</w:t>
      </w:r>
    </w:p>
    <w:p>
      <w:pPr>
        <w:pStyle w:val="NumberedBulletL1"/>
      </w:pPr>
      <w:r>
        <w:t>Notify all affected personnel and the work supervisor before commencing isolation.</w:t>
      </w:r>
    </w:p>
    <w:p>
      <w:pPr>
        <w:pStyle w:val="NumberedBulletL1"/>
      </w:pPr>
      <w:r>
        <w:t>De-energise the equipment or system at each identified isolation point.</w:t>
      </w:r>
    </w:p>
    <w:p>
      <w:pPr>
        <w:pStyle w:val="NumberedBulletL1"/>
      </w:pPr>
      <w:r>
        <w:t>Dissipate and restrain all stored energy, including bleeding pneumatic and hydraulic pressure, venting process fluids, discharging capacitors, and securing gravity-loaded components.</w:t>
      </w:r>
    </w:p>
    <w:p>
      <w:pPr>
        <w:pStyle w:val="NumberedBulletL1"/>
      </w:pPr>
      <w:r>
        <w:t>Apply a lockout device at each isolation point.</w:t>
      </w:r>
    </w:p>
    <w:p>
      <w:pPr>
        <w:pStyle w:val="NumberedBulletL1"/>
      </w:pPr>
      <w:r>
        <w:t>Apply an isolation tag at each isolation point.</w:t>
      </w:r>
    </w:p>
    <w:p>
      <w:pPr>
        <w:pStyle w:val="NumberedBulletL1"/>
      </w:pPr>
      <w:r>
        <w:t>Verify zero energy at each isolation point using calibrated test equipment appropriate to the energy type.</w:t>
      </w:r>
    </w:p>
    <w:p>
      <w:pPr>
        <w:pStyle w:val="NumberedBulletL1"/>
      </w:pPr>
      <w:r>
        <w:t>Confirm all personnel are clear of the equipment before any functional test is conducted.</w:t>
      </w:r>
    </w:p>
    <w:p>
      <w:pPr>
        <w:pStyle w:val="NumberedBulletL1"/>
      </w:pPr>
      <w:r>
        <w:rPr>
          <w:color w:val="C55A11"/>
        </w:rPr>
        <w:t>Document the completed isolation on the isolation permit and hand the permit to the work supervisor before the work group enters the zone.</w:t>
      </w:r>
    </w:p>
    <w:p>
      <w:pPr>
        <w:pStyle w:val="NormalNumberedtext"/>
      </w:pPr>
      <w:r>
        <w:t>Test equipment used to verify zero energy is calibrated, within its calibration period, and suitable for the energy type being verified. The Isolation Officer confirms calibration status before use.</w:t>
      </w:r>
    </w:p>
    <w:p>
      <w:pPr>
        <w:pStyle w:val="NormalNumberedtext"/>
      </w:pPr>
      <w:r>
        <w:t>The effectiveness of each isolation is physically verified before any worker enters the work area, consistent with the requirements of IFC EHS General Guidelines §2.1. Verification is documented on the isolation permit.</w:t>
      </w:r>
    </w:p>
    <w:p>
      <w:pPr>
        <w:pStyle w:val="Heading2Numbered"/>
      </w:pPr>
      <w:r>
        <w:t>6.2  Isolation Officer Authorisation and Competency</w:t>
      </w:r>
    </w:p>
    <w:p>
      <w:pPr>
        <w:pStyle w:val="NormalNumberedtext"/>
      </w:pPr>
      <w:r>
        <w:t>This section defines the authorisation requirements and competency obligations for personnel performing the Isolation Officer role.</w:t>
      </w:r>
    </w:p>
    <w:p>
      <w:pPr>
        <w:pStyle w:val="NormalNumberedtext"/>
      </w:pPr>
      <w:r>
        <w:t>No person performs the Isolation Officer role without holding current authorisation on the project Authorised Isolation Officers Register. Isolation Officer competency is assessed and documented in accordance with the Training Procedure, refer RTPR-HSE-PRO-0004, and recorded in the Training Register, refer RTPR-HSE-REG-0003.</w:t>
      </w:r>
    </w:p>
    <w:p>
      <w:pPr>
        <w:pStyle w:val="NormalNumberedtext"/>
      </w:pPr>
      <w:r>
        <w:rPr>
          <w:b/>
          <w:bCs/>
          <w:color w:val="0059D1"/>
        </w:rPr>
        <w:t>[INSERT: isolation_officer_authorisation_process] — Define the Isolation Officer authorisation process for this project: who approves Isolation Officers; what the competency assessment includes; where the Authorised Isolation Officers Register is kept.</w:t>
      </w:r>
    </w:p>
    <w:p>
      <w:pPr>
        <w:pStyle w:val="NormalNumberedtext"/>
      </w:pPr>
      <w:r>
        <w:t>The Isolation Officer is responsible for the following during every isolation:</w:t>
      </w:r>
    </w:p>
    <w:p>
      <w:pPr>
        <w:pStyle w:val="NumberedBulletL1"/>
      </w:pPr>
      <w:r>
        <w:t>Confirming the isolation list and boundary diagrams are current and accurate for the scope of work.</w:t>
      </w:r>
    </w:p>
    <w:p>
      <w:pPr>
        <w:pStyle w:val="NumberedBulletL1"/>
      </w:pPr>
      <w:r>
        <w:t>Executing the isolation sequence in full before authorising any worker to enter the isolation zone.</w:t>
      </w:r>
    </w:p>
    <w:p>
      <w:pPr>
        <w:pStyle w:val="NumberedBulletL1"/>
      </w:pPr>
      <w:r>
        <w:t>Maintaining control of the isolation until the isolation is formally released.</w:t>
      </w:r>
    </w:p>
    <w:p>
      <w:pPr>
        <w:pStyle w:val="NumberedBulletL1"/>
      </w:pPr>
      <w:r>
        <w:t>Reassessing the isolation if work conditions or scope change before work resumes.</w:t>
      </w:r>
    </w:p>
    <w:p>
      <w:pPr>
        <w:pStyle w:val="Heading2Numbered"/>
      </w:pPr>
      <w:r>
        <w:t>6.3  Isolation Release and De-isolation</w:t>
      </w:r>
    </w:p>
    <w:p>
      <w:pPr>
        <w:pStyle w:val="NormalNumberedtext"/>
      </w:pPr>
      <w:r>
        <w:t>This section defines the steps required to safely release an isolation on completion of work or at a planned hold point.</w:t>
      </w:r>
    </w:p>
    <w:p>
      <w:pPr>
        <w:pStyle w:val="NormalNumberedtext"/>
      </w:pPr>
      <w:r>
        <w:t>The Isolation Officer completes the following steps in sequence when releasing an isolation:</w:t>
      </w:r>
    </w:p>
    <w:p>
      <w:pPr>
        <w:pStyle w:val="NumberedBulletL1"/>
      </w:pPr>
      <w:r>
        <w:t>Confirm all workers have exited the isolation zone and removed their personal locks.</w:t>
      </w:r>
    </w:p>
    <w:p>
      <w:pPr>
        <w:pStyle w:val="NumberedBulletL1"/>
      </w:pPr>
      <w:r>
        <w:t>Confirm all tools, equipment, and materials have been removed from the work area.</w:t>
      </w:r>
    </w:p>
    <w:p>
      <w:pPr>
        <w:pStyle w:val="NumberedBulletL1"/>
      </w:pPr>
      <w:r>
        <w:t>Remove isolation tags and lockout devices in the reverse order of application.</w:t>
      </w:r>
    </w:p>
    <w:p>
      <w:pPr>
        <w:pStyle w:val="NumberedBulletL1"/>
      </w:pPr>
      <w:r>
        <w:t>Close the isolation permit in the PTW system, raise a permit via the site PTW system before commencing work, refer RTPR-HSE-PRO-0021.</w:t>
      </w:r>
    </w:p>
    <w:p>
      <w:pPr>
        <w:pStyle w:val="NumberedBulletL1"/>
      </w:pPr>
      <w:r>
        <w:t>Notify the work supervisor and all affected personnel before re-energisation.</w:t>
      </w:r>
    </w:p>
    <w:p>
      <w:pPr>
        <w:pStyle w:val="NumberedBulletL1"/>
      </w:pPr>
      <w:r>
        <w:rPr>
          <w:color w:val="C55A11"/>
        </w:rPr>
        <w:t>Conduct a final walkdown of the isolation zone to confirm readiness before re-energisation.</w:t>
      </w:r>
    </w:p>
    <w:p>
      <w:pPr>
        <w:pStyle w:val="Heading1Numbered"/>
      </w:pPr>
      <w:r>
        <w:t>7  Lockout and Tagout (LOTO)</w:t>
      </w:r>
    </w:p>
    <w:p>
      <w:pPr>
        <w:pStyle w:val="NormalNumberedtext"/>
      </w:pPr>
      <w:r>
        <w:t>This section defines personal lock requirements, group isolation processes, the LOTO device standard, lock register obligations, and the programme audit requirements that apply to this project.</w:t>
      </w:r>
    </w:p>
    <w:p>
      <w:pPr>
        <w:pStyle w:val="Heading2Numbered"/>
      </w:pPr>
      <w:r>
        <w:t>7.1  Personal Lock Requirements</w:t>
      </w:r>
    </w:p>
    <w:p>
      <w:pPr>
        <w:pStyle w:val="NormalNumberedtext"/>
      </w:pPr>
      <w:r>
        <w:t>This section defines the personal lock obligation for every worker in an isolation zone and the approved LOTO device standard for this project.</w:t>
      </w:r>
    </w:p>
    <w:p>
      <w:pPr>
        <w:pStyle w:val="NormalNumberedtext"/>
      </w:pPr>
      <w:r>
        <w:t>Every worker who enters an isolation zone applies their own personal lock to every isolation point in that zone before entering. No worker relies on another person's lock as their sole means of personal protection. Hand tools are used only after all energy sources, including stored energy, are effectively isolated and zero energy is verified at each isolation point.</w:t>
      </w:r>
    </w:p>
    <w:p>
      <w:pPr>
        <w:pStyle w:val="NormalNumberedtext"/>
      </w:pPr>
      <w:r>
        <w:t>Each personal lock is uniquely identifiable and assigned to a named individual. No person is issued more than one uniquely numbered lock without written approval from the HSESC Manager.</w:t>
      </w:r>
    </w:p>
    <w:p>
      <w:pPr>
        <w:pStyle w:val="NormalNumberedtext"/>
      </w:pPr>
      <w:r>
        <w:rPr>
          <w:b/>
          <w:bCs/>
          <w:color w:val="0059D1"/>
        </w:rPr>
        <w:t>[INSERT: loto_device_standard] — Define the LOTO device standard for this project: approved lock types, tag design, unique number or name identification, and the project procurement and issuance process for personal locks.</w:t>
      </w:r>
    </w:p>
    <w:p>
      <w:pPr>
        <w:pStyle w:val="Heading2Numbered"/>
      </w:pPr>
      <w:r>
        <w:t>7.2  Lock and Lock Holder Register</w:t>
      </w:r>
    </w:p>
    <w:p>
      <w:pPr>
        <w:pStyle w:val="NormalNumberedtext"/>
      </w:pPr>
      <w:r>
        <w:t>This section defines the requirement for a project lock register and the maintenance obligations that apply throughout the project.</w:t>
      </w:r>
    </w:p>
    <w:p>
      <w:pPr>
        <w:pStyle w:val="NormalNumberedtext"/>
      </w:pPr>
      <w:r>
        <w:t>A register of all locks and lock holders used in the project isolation system is maintained for the life of the project. The register records the unique identifier of each lock and the name of the individual to whom it is assigned. The register is current at all times and available for audit on request.</w:t>
      </w:r>
    </w:p>
    <w:p>
      <w:pPr>
        <w:pStyle w:val="NormalNumberedtext"/>
      </w:pPr>
      <w:r>
        <w:t>Table 2: Lock and Lock Holder Register — Minimum Fields.</w:t>
      </w:r>
    </w:p>
    <w:tbl>
      <w:tblPr>
        <w:tblStyle w:val="TableOption2"/>
        <w:tblW w:type="pct" w:w="5000"/>
      </w:tblPr>
      <w:tr>
        <w:trPr>
          <w:tblHeader/>
        </w:trPr>
        <w:tc>
          <w:tcPr>
            <w:shd w:val="clear" w:color="auto" w:fill="1F3864"/>
          </w:tcPr>
          <w:p>
            <w:pPr>
              <w:pStyle w:val="TableContents"/>
            </w:pPr>
            <w:r>
              <w:rPr>
                <w:b/>
                <w:bCs/>
                <w:color w:val="FFFFFF"/>
              </w:rPr>
              <w:t>Lock Unique ID</w:t>
            </w:r>
          </w:p>
        </w:tc>
        <w:tc>
          <w:tcPr>
            <w:shd w:val="clear" w:color="auto" w:fill="1F3864"/>
          </w:tcPr>
          <w:p>
            <w:pPr>
              <w:pStyle w:val="TableContents"/>
            </w:pPr>
            <w:r>
              <w:rPr>
                <w:b/>
                <w:bCs/>
                <w:color w:val="FFFFFF"/>
              </w:rPr>
              <w:t>Assigned To (Name)</w:t>
            </w:r>
          </w:p>
        </w:tc>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Date Issued</w:t>
            </w:r>
          </w:p>
        </w:tc>
        <w:tc>
          <w:tcPr>
            <w:shd w:val="clear" w:color="auto" w:fill="1F3864"/>
          </w:tcPr>
          <w:p>
            <w:pPr>
              <w:pStyle w:val="TableContents"/>
            </w:pPr>
            <w:r>
              <w:rPr>
                <w:b/>
                <w:bCs/>
                <w:color w:val="FFFFFF"/>
              </w:rPr>
              <w:t>Date Returned</w:t>
            </w:r>
          </w:p>
        </w:tc>
        <w:tc>
          <w:tcPr>
            <w:shd w:val="clear" w:color="auto" w:fill="1F3864"/>
          </w:tcPr>
          <w:p>
            <w:pPr>
              <w:pStyle w:val="TableContents"/>
            </w:pPr>
            <w:r>
              <w:rPr>
                <w:b/>
                <w:bCs/>
                <w:color w:val="FFFFFF"/>
              </w:rPr>
              <w:t>Condition on Return</w:t>
            </w:r>
          </w:p>
        </w:tc>
      </w:tr>
      <w:tr>
        <w:tc>
          <w:tcPr/>
          <w:p>
            <w:pPr>
              <w:pStyle w:val="TableContents"/>
            </w:pPr>
            <w:r>
              <w:rPr>
                <w:b/>
                <w:bCs/>
                <w:color w:val="0059D1"/>
              </w:rPr>
              <w:t>[INSERT: Lock ID]</w:t>
            </w:r>
          </w:p>
        </w:tc>
        <w:tc>
          <w:tcPr/>
          <w:p>
            <w:pPr>
              <w:pStyle w:val="TableContents"/>
            </w:pPr>
            <w:r>
              <w:rPr>
                <w:b/>
                <w:bCs/>
                <w:color w:val="0059D1"/>
              </w:rPr>
              <w:t>[INSERT: Name]</w:t>
            </w:r>
          </w:p>
        </w:tc>
        <w:tc>
          <w:tcPr/>
          <w:p>
            <w:pPr>
              <w:pStyle w:val="TableContents"/>
            </w:pPr>
            <w:r>
              <w:rPr>
                <w:b/>
                <w:bCs/>
                <w:color w:val="0059D1"/>
              </w:rPr>
              <w:t>[INSERT: Role]</w:t>
            </w:r>
          </w:p>
        </w:tc>
        <w:tc>
          <w:tcPr/>
          <w:p>
            <w:pPr>
              <w:pStyle w:val="TableContents"/>
            </w:pPr>
            <w:r>
              <w:rPr>
                <w:b/>
                <w:bCs/>
                <w:color w:val="0059D1"/>
              </w:rPr>
              <w:t>[INSERT: Date]</w:t>
            </w:r>
          </w:p>
        </w:tc>
        <w:tc>
          <w:tcPr/>
          <w:p>
            <w:pPr>
              <w:pStyle w:val="TableContents"/>
            </w:pPr>
            <w:r>
              <w:rPr>
                <w:b/>
                <w:bCs/>
                <w:color w:val="0059D1"/>
              </w:rPr>
              <w:t>[INSERT: Date]</w:t>
            </w:r>
          </w:p>
        </w:tc>
        <w:tc>
          <w:tcPr/>
          <w:p>
            <w:pPr>
              <w:pStyle w:val="TableContents"/>
            </w:pPr>
            <w:r>
              <w:rPr>
                <w:b/>
                <w:bCs/>
                <w:color w:val="0059D1"/>
              </w:rPr>
              <w:t>[INSERT: Condition]</w:t>
            </w:r>
          </w:p>
        </w:tc>
      </w:tr>
    </w:tbl>
    <w:p>
      <w:pPr>
        <w:pStyle w:val="Default"/>
      </w:pPr>
    </w:p>
    <w:p>
      <w:pPr>
        <w:pStyle w:val="NormalNumberedtext"/>
      </w:pPr>
      <w:r>
        <w:t>The HSESC Manager maintains the lock register and reconciles it at the end of each month and before project handover to confirm all locks are accounted for and returned.</w:t>
      </w:r>
    </w:p>
    <w:p>
      <w:pPr>
        <w:pStyle w:val="Heading2Numbered"/>
      </w:pPr>
      <w:r>
        <w:t>7.3  Permits and Documentation at the Work Site</w:t>
      </w:r>
    </w:p>
    <w:p>
      <w:pPr>
        <w:pStyle w:val="NormalNumberedtext"/>
      </w:pPr>
      <w:r>
        <w:t>This section defines the documentation obligations that apply before work commences on any isolated system.</w:t>
      </w:r>
    </w:p>
    <w:p>
      <w:pPr>
        <w:pStyle w:val="NormalNumberedtext"/>
      </w:pPr>
      <w:r>
        <w:t>All required authorised permits and documentation outlining the isolation arrangements are available at the work site before work commences on any isolated system. The work supervisor confirms that all affected personnel have been briefed on the isolation arrangements, the isolation boundary, and their individual responsibilities before entering the isolation zone.</w:t>
      </w:r>
    </w:p>
    <w:p>
      <w:pPr>
        <w:pStyle w:val="NormalNumberedtext"/>
      </w:pPr>
      <w:r>
        <w:t>Isolation permits are issued and managed through the site PTW system; raise a permit via the site PTW system before commencing work, refer RTPR-HSE-PRO-0021.</w:t>
      </w:r>
    </w:p>
    <w:p>
      <w:pPr>
        <w:pStyle w:val="Heading2Numbered"/>
      </w:pPr>
      <w:r>
        <w:t>7.4  Pre-Work Verification</w:t>
      </w:r>
    </w:p>
    <w:p>
      <w:pPr>
        <w:pStyle w:val="NormalNumberedtext"/>
      </w:pPr>
      <w:r>
        <w:t>This section defines the joint verification requirement that applies before any work commences on an isolated system.</w:t>
      </w:r>
    </w:p>
    <w:p>
      <w:pPr>
        <w:pStyle w:val="NormalNumberedtext"/>
      </w:pPr>
      <w:r>
        <w:t>Before work commences, the Isolation Officer and the work supervisor jointly verify at the work site that all physical isolations and controls are in place, that zero energy has been confirmed, and that the isolation zone boundaries are clearly defined. This joint verification is documented on the isolation permit before the work group enters the zone.</w:t>
      </w:r>
    </w:p>
    <w:p>
      <w:pPr>
        <w:pStyle w:val="NormalNumberedtext"/>
      </w:pPr>
      <w:r>
        <w:t>For high-voltage electrical isolations, the Isolation Officer confirms that conductors are earthed following locking and tagging, and that the absence of voltage is confirmed by test. After any change in conditions or any worker break, a retest revalidates the absence of voltage before work resumes. Electrical isolation activities are governed by the Electrical Safety Procedure, refer RTPR-HSE-PRO-0025.</w:t>
      </w:r>
    </w:p>
    <w:p>
      <w:pPr>
        <w:pStyle w:val="Heading2Numbered"/>
      </w:pPr>
      <w:r>
        <w:t>7.5  Scope Changes and Revalidation</w:t>
      </w:r>
    </w:p>
    <w:p>
      <w:pPr>
        <w:pStyle w:val="NormalNumberedtext"/>
      </w:pPr>
      <w:r>
        <w:t>This section defines the process for managing changes in work conditions or scope that affect an active isolation.</w:t>
      </w:r>
    </w:p>
    <w:p>
      <w:pPr>
        <w:pStyle w:val="NormalNumberedtext"/>
      </w:pPr>
      <w:r>
        <w:t>Any change in work conditions or scope that deviates from the authorised permit or LOTO documents triggers a full stop of work. The work supervisor notifies the Isolation Officer immediately. The isolation is reassessed, updated, and re-verified before work resumes. Scope changes to the underlying work activity are managed under the Management of Change Procedure, refer RTPR-HSE-PRO-0040.</w:t>
      </w:r>
    </w:p>
    <w:p>
      <w:pPr>
        <w:pStyle w:val="NormalNumberedtext"/>
      </w:pPr>
      <w:r>
        <w:t>The reassessment is documented on a revised or reissued isolation permit before the work group re-enters the isolation zone. No worker re-enters the zone until the joint verification in Section 5.4 is repeated and documented.</w:t>
      </w:r>
    </w:p>
    <w:p>
      <w:pPr>
        <w:pStyle w:val="Heading2Numbered"/>
      </w:pPr>
      <w:r>
        <w:t>7.6  Group Isolation Process</w:t>
      </w:r>
    </w:p>
    <w:p>
      <w:pPr>
        <w:pStyle w:val="NormalNumberedtext"/>
      </w:pPr>
      <w:r>
        <w:t>This section defines the group isolation process for multi-person jobs and the programme audit requirements that apply to this project.</w:t>
      </w:r>
    </w:p>
    <w:p>
      <w:pPr>
        <w:pStyle w:val="NormalNumberedtext"/>
      </w:pPr>
      <w:r>
        <w:t>For multi-person jobs, the Isolation Officer establishes the group isolation using a hasp or group isolation box at each isolation point before any worker applies their personal lock. Each worker applies their personal lock to the hasp or group isolation box before entering the zone. The Isolation Officer's lock is the last applied and the first removed.</w:t>
      </w:r>
    </w:p>
    <w:p>
      <w:pPr>
        <w:pStyle w:val="NormalNumberedtext"/>
      </w:pPr>
      <w:r>
        <w:t>The energy control programme on this project meets the minimum requirements of OSHA 29 CFR 1910.147, including written procedures for each equipment type, training records for all personnel performing isolation activities, and annual programme audits. The HSESC Manager conducts or commissions an annual programme audit and records findings in the project HSESC management system.</w:t>
      </w:r>
    </w:p>
    <w:p>
      <w:pPr>
        <w:pStyle w:val="NormalNumberedtext"/>
      </w:pPr>
      <w:r>
        <w:t>The annual LOTO programme audit covers the following minimum elements:</w:t>
      </w:r>
    </w:p>
    <w:p>
      <w:pPr>
        <w:pStyle w:val="NumberedBulletL1"/>
      </w:pPr>
      <w:r>
        <w:t>Review of written isolation procedures for each equipment type in use on the project.</w:t>
      </w:r>
    </w:p>
    <w:p>
      <w:pPr>
        <w:pStyle w:val="NumberedBulletL1"/>
      </w:pPr>
      <w:r>
        <w:t>Verification of training records for all Isolation Officers and workers performing isolation activities.</w:t>
      </w:r>
    </w:p>
    <w:p>
      <w:pPr>
        <w:pStyle w:val="NumberedBulletL1"/>
      </w:pPr>
      <w:r>
        <w:t>Field verification of LOTO application at a representative sample of active isolations.</w:t>
      </w:r>
    </w:p>
    <w:p>
      <w:pPr>
        <w:pStyle w:val="NumberedBulletL1"/>
      </w:pPr>
      <w:r>
        <w:t>Review of the lock and lock holder register for currency and completeness.</w:t>
      </w:r>
    </w:p>
    <w:p>
      <w:pPr>
        <w:pStyle w:val="NumberedBulletL1"/>
      </w:pPr>
      <w:r>
        <w:rPr>
          <w:color w:val="C55A11"/>
        </w:rPr>
        <w:t>Review of isolation-related incidents and near misses recorded during the audit period.</w:t>
      </w:r>
    </w:p>
    <w:p>
      <w:pPr>
        <w:pStyle w:val="Heading1Numbered"/>
      </w:pPr>
      <w:r>
        <w:t>8  High-Pressure Equipment</w:t>
      </w:r>
    </w:p>
    <w:p>
      <w:pPr>
        <w:pStyle w:val="NormalNumberedtext"/>
      </w:pPr>
      <w:r>
        <w:t>This section defines the registration, documentation, and specific control requirements for all high-pressure systems on this project, including hoses, washing equipment, and pressure relief devices.</w:t>
      </w:r>
    </w:p>
    <w:p>
      <w:pPr>
        <w:pStyle w:val="Heading2Numbered"/>
      </w:pPr>
      <w:r>
        <w:t>8.1  Pressure Equipment Register</w:t>
      </w:r>
    </w:p>
    <w:p>
      <w:pPr>
        <w:pStyle w:val="NormalNumberedtext"/>
      </w:pPr>
      <w:r>
        <w:t>This section defines the requirements for the Pressure Equipment Register and the documentation that must be maintained for each high-pressure system.</w:t>
      </w:r>
    </w:p>
    <w:p>
      <w:pPr>
        <w:pStyle w:val="NormalNumberedtext"/>
      </w:pPr>
      <w:r>
        <w:t>All high-pressure systems on this project are documented in the Pressure Equipment Register, RTPR-HSE-REG-0013. The register is populated before commissioning activities commence and maintained for the life of the project.</w:t>
      </w:r>
    </w:p>
    <w:p>
      <w:pPr>
        <w:pStyle w:val="NormalNumberedtext"/>
      </w:pPr>
      <w:r>
        <w:t>Table 3: Pressure Equipment Register — Minimum Fields (refer RTPR-HSE-REG-0013).</w:t>
      </w:r>
    </w:p>
    <w:tbl>
      <w:tblPr>
        <w:tblStyle w:val="TableOption2"/>
        <w:tblW w:type="pct" w:w="5000"/>
      </w:tblPr>
      <w:tr>
        <w:trPr>
          <w:tblHeader/>
        </w:trPr>
        <w:tc>
          <w:tcPr>
            <w:shd w:val="clear" w:color="auto" w:fill="1F3864"/>
          </w:tcPr>
          <w:p>
            <w:pPr>
              <w:pStyle w:val="TableContents"/>
            </w:pPr>
            <w:r>
              <w:rPr>
                <w:b/>
                <w:bCs/>
                <w:color w:val="FFFFFF"/>
              </w:rPr>
              <w:t>Equipment ID</w:t>
            </w:r>
          </w:p>
        </w:tc>
        <w:tc>
          <w:tcPr>
            <w:shd w:val="clear" w:color="auto" w:fill="1F3864"/>
          </w:tcPr>
          <w:p>
            <w:pPr>
              <w:pStyle w:val="TableContents"/>
            </w:pPr>
            <w:r>
              <w:rPr>
                <w:b/>
                <w:bCs/>
                <w:color w:val="FFFFFF"/>
              </w:rPr>
              <w:t>System Description</w:t>
            </w:r>
          </w:p>
        </w:tc>
        <w:tc>
          <w:tcPr>
            <w:shd w:val="clear" w:color="auto" w:fill="1F3864"/>
          </w:tcPr>
          <w:p>
            <w:pPr>
              <w:pStyle w:val="TableContents"/>
            </w:pPr>
            <w:r>
              <w:rPr>
                <w:b/>
                <w:bCs/>
                <w:color w:val="FFFFFF"/>
              </w:rPr>
              <w:t>Design Pressure (kPa)</w:t>
            </w:r>
          </w:p>
        </w:tc>
        <w:tc>
          <w:tcPr>
            <w:shd w:val="clear" w:color="auto" w:fill="1F3864"/>
          </w:tcPr>
          <w:p>
            <w:pPr>
              <w:pStyle w:val="TableContents"/>
            </w:pPr>
            <w:r>
              <w:rPr>
                <w:b/>
                <w:bCs/>
                <w:color w:val="FFFFFF"/>
              </w:rPr>
              <w:t>Design Documentation Reference</w:t>
            </w:r>
          </w:p>
        </w:tc>
        <w:tc>
          <w:tcPr>
            <w:shd w:val="clear" w:color="auto" w:fill="1F3864"/>
          </w:tcPr>
          <w:p>
            <w:pPr>
              <w:pStyle w:val="TableContents"/>
            </w:pPr>
            <w:r>
              <w:rPr>
                <w:b/>
                <w:bCs/>
                <w:color w:val="FFFFFF"/>
              </w:rPr>
              <w:t>Relief Device Type and Size</w:t>
            </w:r>
          </w:p>
        </w:tc>
        <w:tc>
          <w:tcPr>
            <w:shd w:val="clear" w:color="auto" w:fill="1F3864"/>
          </w:tcPr>
          <w:p>
            <w:pPr>
              <w:pStyle w:val="TableContents"/>
            </w:pPr>
            <w:r>
              <w:rPr>
                <w:b/>
                <w:bCs/>
                <w:color w:val="FFFFFF"/>
              </w:rPr>
              <w:t>Relief Device Certification Date</w:t>
            </w:r>
          </w:p>
        </w:tc>
        <w:tc>
          <w:tcPr>
            <w:shd w:val="clear" w:color="auto" w:fill="1F3864"/>
          </w:tcPr>
          <w:p>
            <w:pPr>
              <w:pStyle w:val="TableContents"/>
            </w:pPr>
            <w:r>
              <w:rPr>
                <w:b/>
                <w:bCs/>
                <w:color w:val="FFFFFF"/>
              </w:rPr>
              <w:t>OEM Maintenance Schedule Reference</w:t>
            </w:r>
          </w:p>
        </w:tc>
        <w:tc>
          <w:tcPr>
            <w:shd w:val="clear" w:color="auto" w:fill="1F3864"/>
          </w:tcPr>
          <w:p>
            <w:pPr>
              <w:pStyle w:val="TableContents"/>
            </w:pPr>
            <w:r>
              <w:rPr>
                <w:b/>
                <w:bCs/>
                <w:color w:val="FFFFFF"/>
              </w:rPr>
              <w:t>Next Inspection Due</w:t>
            </w:r>
          </w:p>
        </w:tc>
      </w:tr>
      <w:tr>
        <w:tc>
          <w:tcPr/>
          <w:p>
            <w:pPr>
              <w:pStyle w:val="TableContents"/>
            </w:pPr>
            <w:r>
              <w:rPr>
                <w:b/>
                <w:bCs/>
                <w:color w:val="0059D1"/>
              </w:rPr>
              <w:t>[INSERT: ID]</w:t>
            </w:r>
          </w:p>
        </w:tc>
        <w:tc>
          <w:tcPr/>
          <w:p>
            <w:pPr>
              <w:pStyle w:val="TableContents"/>
            </w:pPr>
            <w:r>
              <w:rPr>
                <w:b/>
                <w:bCs/>
                <w:color w:val="0059D1"/>
              </w:rPr>
              <w:t>[INSERT: Description]</w:t>
            </w:r>
          </w:p>
        </w:tc>
        <w:tc>
          <w:tcPr/>
          <w:p>
            <w:pPr>
              <w:pStyle w:val="TableContents"/>
            </w:pPr>
            <w:r>
              <w:rPr>
                <w:b/>
                <w:bCs/>
                <w:color w:val="0059D1"/>
              </w:rPr>
              <w:t>[INSERT: Pressure]</w:t>
            </w:r>
          </w:p>
        </w:tc>
        <w:tc>
          <w:tcPr/>
          <w:p>
            <w:pPr>
              <w:pStyle w:val="TableContents"/>
            </w:pPr>
            <w:r>
              <w:rPr>
                <w:b/>
                <w:bCs/>
                <w:color w:val="0059D1"/>
              </w:rPr>
              <w:t>[INSERT: Document reference]</w:t>
            </w:r>
          </w:p>
        </w:tc>
        <w:tc>
          <w:tcPr/>
          <w:p>
            <w:pPr>
              <w:pStyle w:val="TableContents"/>
            </w:pPr>
            <w:r>
              <w:rPr>
                <w:b/>
                <w:bCs/>
                <w:color w:val="0059D1"/>
              </w:rPr>
              <w:t>[INSERT: Type and size]</w:t>
            </w:r>
          </w:p>
        </w:tc>
        <w:tc>
          <w:tcPr/>
          <w:p>
            <w:pPr>
              <w:pStyle w:val="TableContents"/>
            </w:pPr>
            <w:r>
              <w:rPr>
                <w:b/>
                <w:bCs/>
                <w:color w:val="0059D1"/>
              </w:rPr>
              <w:t>[INSERT: Date]</w:t>
            </w:r>
          </w:p>
        </w:tc>
        <w:tc>
          <w:tcPr/>
          <w:p>
            <w:pPr>
              <w:pStyle w:val="TableContents"/>
            </w:pPr>
            <w:r>
              <w:rPr>
                <w:b/>
                <w:bCs/>
                <w:color w:val="0059D1"/>
              </w:rPr>
              <w:t>[INSERT: Schedule reference]</w:t>
            </w:r>
          </w:p>
        </w:tc>
        <w:tc>
          <w:tcPr/>
          <w:p>
            <w:pPr>
              <w:pStyle w:val="TableContents"/>
            </w:pPr>
            <w:r>
              <w:rPr>
                <w:b/>
                <w:bCs/>
                <w:color w:val="0059D1"/>
              </w:rPr>
              <w:t>[INSERT: Date]</w:t>
            </w:r>
          </w:p>
        </w:tc>
      </w:tr>
    </w:tbl>
    <w:p>
      <w:pPr>
        <w:pStyle w:val="Default"/>
      </w:pPr>
    </w:p>
    <w:p>
      <w:pPr>
        <w:pStyle w:val="NormalNumberedtext"/>
      </w:pPr>
      <w:r>
        <w:rPr>
          <w:b/>
          <w:bCs/>
          <w:color w:val="0059D1"/>
        </w:rPr>
        <w:t>[INSERT: pressure_equipment_register_population] — Populate the Pressure Equipment Register (RTPR-HSE-REG-0013) with all high-pressure systems on this project before commissioning activities begin.</w:t>
      </w:r>
    </w:p>
    <w:p>
      <w:pPr>
        <w:pStyle w:val="NormalNumberedtext"/>
      </w:pPr>
      <w:r>
        <w:t>Certified, correctly sized, and installed pressure relief devices are fitted to all high-pressure systems. Relief device certification and sizing documentation is held in RTPR-HSE-REG-0013. OEM maintenance schedules for each system are referenced in the register and are followed without reduction.</w:t>
      </w:r>
    </w:p>
    <w:p>
      <w:pPr>
        <w:pStyle w:val="Heading2Numbered"/>
      </w:pPr>
      <w:r>
        <w:t>8.2  Specific High-Pressure Controls</w:t>
      </w:r>
    </w:p>
    <w:p>
      <w:pPr>
        <w:pStyle w:val="NormalNumberedtext"/>
      </w:pPr>
      <w:r>
        <w:t>This section defines the specific controls required for high-pressure hoses, water blasting equipment, and automatic pressure relief valves.</w:t>
      </w:r>
    </w:p>
    <w:p>
      <w:pPr>
        <w:pStyle w:val="NormalNumberedtext"/>
      </w:pPr>
      <w:r>
        <w:t>The following specific controls apply to high-pressure equipment on this project:</w:t>
      </w:r>
    </w:p>
    <w:p>
      <w:pPr>
        <w:pStyle w:val="NumberedBulletL1"/>
      </w:pPr>
      <w:r>
        <w:t>High-pressure hoses are fitted with hose socks and coupling lock systems rated for the operating pressure of the system.</w:t>
      </w:r>
    </w:p>
    <w:p>
      <w:pPr>
        <w:pStyle w:val="NumberedBulletL1"/>
      </w:pPr>
      <w:r>
        <w:t>Water blasting and high-pressure washing equipment is operated only by personnel who hold current documented competency for the specific equipment type.</w:t>
      </w:r>
    </w:p>
    <w:p>
      <w:pPr>
        <w:pStyle w:val="NumberedBulletL1"/>
      </w:pPr>
      <w:r>
        <w:t>Automatic pressure relief valves are inspected, tested, and certified at the intervals specified in the OEM maintenance schedule and recorded in RTPR-HSE-REG-0013.</w:t>
      </w:r>
    </w:p>
    <w:p>
      <w:pPr>
        <w:pStyle w:val="NumberedBulletL1"/>
      </w:pPr>
      <w:r>
        <w:rPr>
          <w:color w:val="C55A11"/>
        </w:rPr>
        <w:t>High-pressure hose assemblies are inspected before each use and removed from service immediately if damage, kinking, or coupling wear is identified.</w:t>
      </w:r>
    </w:p>
    <w:p>
      <w:pPr>
        <w:pStyle w:val="NumberedBulletL1"/>
      </w:pPr>
      <w:r>
        <w:rPr>
          <w:color w:val="C55A11"/>
        </w:rPr>
        <w:t>A no-go zone is established around water blasting operations, with boundaries defined in the task JHA and marked on site before work commences.</w:t>
      </w:r>
    </w:p>
    <w:p>
      <w:pPr>
        <w:pStyle w:val="NormalNumberedtext"/>
      </w:pPr>
      <w:r>
        <w:t>All work on high-pressure systems requires an isolation permit. Raise a permit via the site PTW system before commencing work, refer RTPR-HSE-PRO-0021.</w:t>
      </w:r>
    </w:p>
    <w:p>
      <w:pPr>
        <w:pStyle w:val="Heading1Numbered"/>
      </w:pPr>
      <w:r>
        <w:t>9  Mechanical Blocking and Guarding</w:t>
      </w:r>
    </w:p>
    <w:p>
      <w:pPr>
        <w:pStyle w:val="NormalNumberedtext"/>
      </w:pPr>
      <w:r>
        <w:t>This section defines the requirements for mechanical blocking of plant during maintenance work and for guarding on all plant equipment to prevent entanglement, crushing, and uncontrolled energy release.</w:t>
      </w:r>
    </w:p>
    <w:p>
      <w:pPr>
        <w:pStyle w:val="Heading2Numbered"/>
      </w:pPr>
      <w:r>
        <w:t>9.1  Mechanical Blocking</w:t>
      </w:r>
    </w:p>
    <w:p>
      <w:pPr>
        <w:pStyle w:val="NormalNumberedtext"/>
      </w:pPr>
      <w:r>
        <w:t>This section defines the risk-based process for identifying work requiring mechanical blocking and the equipment standards that apply.</w:t>
      </w:r>
    </w:p>
    <w:p>
      <w:pPr>
        <w:pStyle w:val="NormalNumberedtext"/>
      </w:pPr>
      <w:r>
        <w:t>A risk-based process is used to identify all maintenance tasks requiring mechanical blocking before work commences. The risk assessment is conducted in accordance with the Risk Management Procedure, refer RTPR-HSE-PRO-0002. Stored energy is relieved in full before mechanical blocking is applied at any point.</w:t>
      </w:r>
    </w:p>
    <w:p>
      <w:pPr>
        <w:pStyle w:val="NormalNumberedtext"/>
      </w:pPr>
      <w:r>
        <w:t>Mechanical blocking equipment used on this project meets the following minimum requirements:</w:t>
      </w:r>
    </w:p>
    <w:p>
      <w:pPr>
        <w:pStyle w:val="NumberedBulletL1"/>
      </w:pPr>
      <w:r>
        <w:t>Blocking equipment is rated and certified for the load or force it is required to restrain.</w:t>
      </w:r>
    </w:p>
    <w:p>
      <w:pPr>
        <w:pStyle w:val="NumberedBulletL1"/>
      </w:pPr>
      <w:r>
        <w:t>Rating and certification documentation is held by the HSESC Manager and available for audit.</w:t>
      </w:r>
    </w:p>
    <w:p>
      <w:pPr>
        <w:pStyle w:val="NumberedBulletL1"/>
      </w:pPr>
      <w:r>
        <w:t>Blocking equipment is included in a risk-based inspection programme, with inspection frequency based on the consequence of failure.</w:t>
      </w:r>
    </w:p>
    <w:p>
      <w:pPr>
        <w:pStyle w:val="NumberedBulletL1"/>
      </w:pPr>
      <w:r>
        <w:rPr>
          <w:color w:val="C55A11"/>
        </w:rPr>
        <w:t>Blocking equipment is tagged with a unique identifier and inspection date before being used on any isolation.</w:t>
      </w:r>
    </w:p>
    <w:p>
      <w:pPr>
        <w:pStyle w:val="Heading2Numbered"/>
      </w:pPr>
      <w:r>
        <w:t>9.2  Guarding Requirements</w:t>
      </w:r>
    </w:p>
    <w:p>
      <w:pPr>
        <w:pStyle w:val="NormalNumberedtext"/>
      </w:pPr>
      <w:r>
        <w:t>This section defines the guarding standard for all plant equipment and the prohibition on bypassing, removing, or defeating guards.</w:t>
      </w:r>
    </w:p>
    <w:p>
      <w:pPr>
        <w:pStyle w:val="NormalNumberedtext"/>
      </w:pPr>
      <w:r>
        <w:t>Guarding is required on all plant equipment to prevent entanglement, crushing, and uncontrolled energy release. Guards meet the following minimum design and installation requirements:</w:t>
      </w:r>
    </w:p>
    <w:p>
      <w:pPr>
        <w:pStyle w:val="NormalNumberedtext"/>
      </w:pPr>
      <w:r>
        <w:t>Guards on this project must:</w:t>
      </w:r>
    </w:p>
    <w:p>
      <w:pPr>
        <w:pStyle w:val="NumberedBulletL1"/>
      </w:pPr>
      <w:r>
        <w:t>Be securely affixed to the plant and prevent unintended body part access to the hazard zone.</w:t>
      </w:r>
    </w:p>
    <w:p>
      <w:pPr>
        <w:pStyle w:val="NumberedBulletL1"/>
      </w:pPr>
      <w:r>
        <w:t>Require a tool for removal, so that guards cannot be removed by hand.</w:t>
      </w:r>
    </w:p>
    <w:p>
      <w:pPr>
        <w:pStyle w:val="NumberedBulletL1"/>
      </w:pPr>
      <w:r>
        <w:t>Not create additional hazards through design, material, or installation method.</w:t>
      </w:r>
    </w:p>
    <w:p>
      <w:pPr>
        <w:pStyle w:val="NumberedBulletL1"/>
      </w:pPr>
      <w:r>
        <w:t>Remain in place during all normal operations and be reinstated immediately after any maintenance activity that required their removal.</w:t>
      </w:r>
    </w:p>
    <w:p>
      <w:pPr>
        <w:pStyle w:val="NormalNumberedtext"/>
      </w:pPr>
      <w:r>
        <w:t>Bypassing, removing, or defeating a guard without the authorisation and permitting process is prohibited. No person removes a guard without a current isolation permit and the approval of the Isolation Officer. Raise a permit via the site PTW system before commencing work, refer RTPR-HSE-PRO-0021.</w:t>
      </w:r>
    </w:p>
    <w:p>
      <w:pPr>
        <w:pStyle w:val="NormalNumberedtext"/>
      </w:pPr>
      <w:r>
        <w:rPr>
          <w:b/>
          <w:bCs/>
          <w:color w:val="0059D1"/>
        </w:rPr>
        <w:t>[INSERT: guarding_inspection_programme] — Define the guarding inspection programme for this project: what equipment requires guarding inspection; at what frequency; who conducts inspections; where records are kept.</w:t>
      </w:r>
    </w:p>
    <w:p>
      <w:pPr>
        <w:pStyle w:val="NormalNumberedtext"/>
      </w:pPr>
      <w:r>
        <w:t>Guarding is identified as a critical control on this project. Any guard found to be missing, damaged, or defeated is reported immediately and the equipment is taken out of service until the guard is reinstated. Report all incidents and near misses per project requirements, refer RTPR-HSE-PRO-0009.</w:t>
      </w:r>
    </w:p>
    <w:p>
      <w:pPr>
        <w:pStyle w:val="Heading1Numbered"/>
      </w:pPr>
      <w:r>
        <w:t>10  Live and Unisolated Work Authorisation</w:t>
      </w:r>
    </w:p>
    <w:p>
      <w:pPr>
        <w:pStyle w:val="NormalNumberedtext"/>
      </w:pPr>
      <w:r>
        <w:t>This section defines the authorisation process for work conducted on live or unisolated plant, the conditions under which such work may be approved, and the controls required before work commences.</w:t>
      </w:r>
    </w:p>
    <w:p>
      <w:pPr>
        <w:pStyle w:val="Heading2Numbered"/>
      </w:pPr>
      <w:r>
        <w:t>10.1  Authorisation Process</w:t>
      </w:r>
    </w:p>
    <w:p>
      <w:pPr>
        <w:pStyle w:val="NormalNumberedtext"/>
      </w:pPr>
      <w:r>
        <w:t>This section defines the conditions, approvals, and controls required before any live or unisolated work is permitted on this project.</w:t>
      </w:r>
    </w:p>
    <w:p>
      <w:pPr>
        <w:pStyle w:val="NormalNumberedtext"/>
      </w:pPr>
      <w:r>
        <w:t>Live or unisolated work is not the default work method on this project. Such work is only permitted where full isolation has been assessed as technically impossible, and the residual risk of live work is demonstrably lower than the residual risk of the isolation method.</w:t>
      </w:r>
    </w:p>
    <w:p>
      <w:pPr>
        <w:pStyle w:val="NormalNumberedtext"/>
      </w:pPr>
      <w:r>
        <w:t>Approval for live or unisolated work requires the following conditions to be met before work commences:</w:t>
      </w:r>
    </w:p>
    <w:p>
      <w:pPr>
        <w:pStyle w:val="NumberedBulletL1"/>
      </w:pPr>
      <w:r>
        <w:t>A formal risk assessment demonstrating that full isolation is technically impossible or creates greater risk is completed and documented in accordance with RTPR-HSE-PRO-0002.</w:t>
      </w:r>
    </w:p>
    <w:p>
      <w:pPr>
        <w:pStyle w:val="NumberedBulletL1"/>
      </w:pPr>
      <w:r>
        <w:t>Written authorisation is obtained from the HSESC Manager and the Project Manager before work commences.</w:t>
      </w:r>
    </w:p>
    <w:p>
      <w:pPr>
        <w:pStyle w:val="NumberedBulletL1"/>
      </w:pPr>
      <w:r>
        <w:t>A task-specific SWMS addressing every step of the live work activity, all identified hazards, and the controls applied is prepared and communicated to all involved personnel.</w:t>
      </w:r>
    </w:p>
    <w:p>
      <w:pPr>
        <w:pStyle w:val="NumberedBulletL1"/>
      </w:pPr>
      <w:r>
        <w:t>An isolation permit covering the live work scope is raised via the site PTW system before commencing work, refer RTPR-HSE-PRO-0021.</w:t>
      </w:r>
    </w:p>
    <w:p>
      <w:pPr>
        <w:pStyle w:val="NumberedBulletL1"/>
      </w:pPr>
      <w:r>
        <w:rPr>
          <w:color w:val="C55A11"/>
        </w:rPr>
        <w:t>A dedicated safety observer with no other task responsibility is present throughout the live work activity.</w:t>
      </w:r>
    </w:p>
    <w:p>
      <w:pPr>
        <w:pStyle w:val="NumberedBulletL1"/>
      </w:pPr>
      <w:r>
        <w:rPr>
          <w:color w:val="C55A11"/>
        </w:rPr>
        <w:t>The live work authorisation is time-limited and expires at the end of the shift unless formally reissued.</w:t>
      </w:r>
    </w:p>
    <w:p>
      <w:pPr>
        <w:pStyle w:val="NormalNumberedtext"/>
      </w:pPr>
      <w:r>
        <w:t>Live or unisolated work on electrical systems is governed by the Electrical Safety Procedure, refer RTPR-HSE-PRO-0025, and is not authorised under this procedure.</w:t>
      </w:r>
    </w:p>
    <w:p>
      <w:pPr>
        <w:pStyle w:val="NormalNumberedtext"/>
      </w:pPr>
      <w:r>
        <w:t>Report all incidents and near misses per project requirements, refer RTPR-HSE-PRO-0009.</w:t>
      </w:r>
    </w:p>
    <w:p>
      <w:pPr>
        <w:pStyle w:val="Heading1Numbered"/>
      </w:pPr>
      <w:r>
        <w:t>11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Compliance — the integrated management framework governing occupational health, safety, environmental, and social performance obligations on Rio Tinto owner-led projects.</w:t>
            </w:r>
          </w:p>
        </w:tc>
      </w:tr>
      <w:tr>
        <w:tc>
          <w:tcPr/>
          <w:p>
            <w:pPr>
              <w:pStyle w:val="TableContents"/>
            </w:pPr>
            <w:r>
              <w:t>LOTO</w:t>
            </w:r>
          </w:p>
        </w:tc>
        <w:tc>
          <w:tcPr/>
          <w:p>
            <w:pPr>
              <w:pStyle w:val="TableContents"/>
            </w:pPr>
            <w:r>
              <w:t>Lockout and Tagout — a safety procedure that ensures hazardous energy sources are isolated and rendered inoperative before maintenance, servicing, or other work is performed on equipment or systems.</w:t>
            </w:r>
          </w:p>
        </w:tc>
      </w:tr>
      <w:tr>
        <w:tc>
          <w:tcPr/>
          <w:p>
            <w:pPr>
              <w:pStyle w:val="TableContents"/>
            </w:pPr>
            <w:r>
              <w:t>PTW</w:t>
            </w:r>
          </w:p>
        </w:tc>
        <w:tc>
          <w:tcPr/>
          <w:p>
            <w:pPr>
              <w:pStyle w:val="TableContents"/>
            </w:pPr>
            <w:r>
              <w:t>Permit to Work — a formal documented system used to authorise, control, and record high-risk work activities, including isolation activities, as administered under RTPR-HSE-PRO-0021.</w:t>
            </w:r>
          </w:p>
        </w:tc>
      </w:tr>
      <w:tr>
        <w:tc>
          <w:tcPr/>
          <w:p>
            <w:pPr>
              <w:pStyle w:val="TableContents"/>
            </w:pPr>
            <w:r>
              <w:t>MoC</w:t>
            </w:r>
          </w:p>
        </w:tc>
        <w:tc>
          <w:tcPr/>
          <w:p>
            <w:pPr>
              <w:pStyle w:val="TableContents"/>
            </w:pPr>
            <w:r>
              <w:t>Management of Change — a formal process used to identify, assess, approve, and document changes to scope, equipment, processes, or personnel during an isolation, as administered under RTPR-HSE-PRO-0040.</w:t>
            </w:r>
          </w:p>
        </w:tc>
      </w:tr>
      <w:tr>
        <w:tc>
          <w:tcPr/>
          <w:p>
            <w:pPr>
              <w:pStyle w:val="TableContents"/>
            </w:pPr>
            <w:r>
              <w:t>RTPR</w:t>
            </w:r>
          </w:p>
        </w:tc>
        <w:tc>
          <w:tcPr/>
          <w:p>
            <w:pPr>
              <w:pStyle w:val="TableContents"/>
            </w:pPr>
            <w:r>
              <w:t>Rio Tinto Project — the project-level identifier prefix used in document reference codes for owner-led project management system procedures and registers.</w:t>
            </w:r>
          </w:p>
        </w:tc>
      </w:tr>
      <w:tr>
        <w:tc>
          <w:tcPr/>
          <w:p>
            <w:pPr>
              <w:pStyle w:val="TableContents"/>
            </w:pPr>
            <w:r>
              <w:t>HSE</w:t>
            </w:r>
          </w:p>
        </w:tc>
        <w:tc>
          <w:tcPr/>
          <w:p>
            <w:pPr>
              <w:pStyle w:val="TableContents"/>
            </w:pPr>
            <w:r>
              <w:t>Health, Safety, and Environment — the discipline and management domain covering occupational health, workplace safety, and environmental protection obligations.</w:t>
            </w:r>
          </w:p>
        </w:tc>
      </w:tr>
      <w:tr>
        <w:tc>
          <w:tcPr/>
          <w:p>
            <w:pPr>
              <w:pStyle w:val="TableContents"/>
            </w:pPr>
            <w:r>
              <w:t>PRO</w:t>
            </w:r>
          </w:p>
        </w:tc>
        <w:tc>
          <w:tcPr/>
          <w:p>
            <w:pPr>
              <w:pStyle w:val="TableContents"/>
            </w:pPr>
            <w:r>
              <w:t>Procedure — a document type identifier used in the Rio Tinto project management system denoting a formal, step-by-step operational or administrative procedure.</w:t>
            </w:r>
          </w:p>
        </w:tc>
      </w:tr>
      <w:tr>
        <w:tc>
          <w:tcPr/>
          <w:p>
            <w:pPr>
              <w:pStyle w:val="TableContents"/>
            </w:pPr>
            <w:r>
              <w:t>REG</w:t>
            </w:r>
          </w:p>
        </w:tc>
        <w:tc>
          <w:tcPr/>
          <w:p>
            <w:pPr>
              <w:pStyle w:val="TableContents"/>
            </w:pPr>
            <w:r>
              <w:t>Register — a document type identifier used in the Rio Tinto project management system denoting a controlled record or register, such as a training competency register.</w:t>
            </w:r>
          </w:p>
        </w:tc>
      </w:tr>
      <w:tr>
        <w:tc>
          <w:tcPr/>
          <w:p>
            <w:pPr>
              <w:pStyle w:val="TableContents"/>
            </w:pPr>
            <w:r>
              <w:t>RT</w:t>
            </w:r>
          </w:p>
        </w:tc>
        <w:tc>
          <w:tcPr/>
          <w:p>
            <w:pPr>
              <w:pStyle w:val="TableContents"/>
            </w:pPr>
            <w:r>
              <w:t>Rio Tinto — the parent company whose standards, frameworks, and requirements govern the health, safety, environment, and social management obligations on owner-led projects.</w:t>
            </w:r>
          </w:p>
        </w:tc>
      </w:tr>
      <w:tr>
        <w:tc>
          <w:tcPr/>
          <w:p>
            <w:pPr>
              <w:pStyle w:val="TableContents"/>
            </w:pPr>
            <w:r>
              <w:t>IO</w:t>
            </w:r>
          </w:p>
        </w:tc>
        <w:tc>
          <w:tcPr/>
          <w:p>
            <w:pPr>
              <w:pStyle w:val="TableContents"/>
            </w:pPr>
            <w:r>
              <w:t>Isolation Officer — a competent person formally authorised to plan, apply, verify, and manage isolations in accordance with this procedure, whose competency is documented in RTPR-HSE-REG-0003.</w:t>
            </w:r>
          </w:p>
        </w:tc>
      </w:tr>
      <w:tr>
        <w:tc>
          <w:tcPr/>
          <w:p>
            <w:pPr>
              <w:pStyle w:val="TableContents"/>
            </w:pPr>
            <w:r>
              <w:t>SIMOPS</w:t>
            </w:r>
          </w:p>
        </w:tc>
        <w:tc>
          <w:tcPr/>
          <w:p>
            <w:pPr>
              <w:pStyle w:val="TableContents"/>
            </w:pPr>
            <w:r>
              <w:t>Simultaneous Operations — the concurrent execution of two or more work activities in the same area or on the same system, requiring heightened hazard identification, isolation controls, and coordination.</w:t>
            </w:r>
          </w:p>
        </w:tc>
      </w:tr>
      <w:tr>
        <w:tc>
          <w:tcPr/>
          <w:p>
            <w:pPr>
              <w:pStyle w:val="TableContents"/>
            </w:pPr>
            <w:r>
              <w:t>PPE</w:t>
            </w:r>
          </w:p>
        </w:tc>
        <w:tc>
          <w:tcPr/>
          <w:p>
            <w:pPr>
              <w:pStyle w:val="TableContents"/>
            </w:pPr>
            <w:r>
              <w:t>Personal Protective Equipment — equipment worn or used by a worker to minimise exposure to hazards, including those encountered during isolation and energy control activities.</w:t>
            </w:r>
          </w:p>
        </w:tc>
      </w:tr>
      <w:tr>
        <w:tc>
          <w:tcPr/>
          <w:p>
            <w:pPr>
              <w:pStyle w:val="TableContents"/>
            </w:pPr>
            <w:r>
              <w:t>SWP</w:t>
            </w:r>
          </w:p>
        </w:tc>
        <w:tc>
          <w:tcPr/>
          <w:p>
            <w:pPr>
              <w:pStyle w:val="TableContents"/>
            </w:pPr>
            <w:r>
              <w:t>Safe Work Procedure — a documented step-by-step instruction that identifies hazards and prescribed controls for a specific work task, including tasks performed under an isolation.</w:t>
            </w:r>
          </w:p>
        </w:tc>
      </w:tr>
      <w:tr>
        <w:tc>
          <w:tcPr/>
          <w:p>
            <w:pPr>
              <w:pStyle w:val="TableContents"/>
            </w:pPr>
            <w:r>
              <w:t>JHA</w:t>
            </w:r>
          </w:p>
        </w:tc>
        <w:tc>
          <w:tcPr/>
          <w:p>
            <w:pPr>
              <w:pStyle w:val="TableContents"/>
            </w:pPr>
            <w:r>
              <w:t>Job Hazard Analysis — a systematic process used to identify hazards associated with each step of a work task and determine appropriate controls, typically completed prior to commencing isolated work.</w:t>
            </w:r>
          </w:p>
        </w:tc>
      </w:tr>
      <w:tr>
        <w:tc>
          <w:tcPr/>
          <w:p>
            <w:pPr>
              <w:pStyle w:val="TableContents"/>
            </w:pPr>
            <w:r>
              <w:t>ERP</w:t>
            </w:r>
          </w:p>
        </w:tc>
        <w:tc>
          <w:tcPr/>
          <w:p>
            <w:pPr>
              <w:pStyle w:val="TableContents"/>
            </w:pPr>
            <w:r>
              <w:t>Emergency Response Plan — a documented plan that defines the actions, roles, and resources required to respond to emergency scenarios, including those that may arise during or after isolation activities.</w:t>
            </w:r>
          </w:p>
        </w:tc>
      </w:tr>
      <w:tr>
        <w:tc>
          <w:tcPr/>
          <w:p>
            <w:pPr>
              <w:pStyle w:val="TableContents"/>
            </w:pPr>
            <w:r>
              <w:t>HIRA</w:t>
            </w:r>
          </w:p>
        </w:tc>
        <w:tc>
          <w:tcPr/>
          <w:p>
            <w:pPr>
              <w:pStyle w:val="TableContents"/>
            </w:pPr>
            <w:r>
              <w:t>Hazard Identification and Risk Assessment — the process of identifying all potential hazards associated with hazardous energy sources and evaluating the associated risks to determine and implement appropriate isolation controls.</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12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Training Procedure</w:t>
            </w:r>
          </w:p>
        </w:tc>
        <w:tc>
          <w:tcPr/>
          <w:p>
            <w:pPr>
              <w:pStyle w:val="TableContents"/>
            </w:pPr>
            <w:r>
              <w:t>RTPR-HSE-PRO-0004</w:t>
            </w:r>
          </w:p>
        </w:tc>
        <w:tc>
          <w:tcPr/>
          <w:p>
            <w:pPr>
              <w:pStyle w:val="TableContents"/>
            </w:pPr>
            <w:r>
              <w:t>Internal procedure</w:t>
            </w:r>
          </w:p>
        </w:tc>
      </w:tr>
      <w:tr>
        <w:tc>
          <w:tcPr/>
          <w:p>
            <w:pPr>
              <w:pStyle w:val="TableContents"/>
            </w:pPr>
            <w:r>
              <w:t>Isolation Officer Competency Register</w:t>
            </w:r>
          </w:p>
        </w:tc>
        <w:tc>
          <w:tcPr/>
          <w:p>
            <w:pPr>
              <w:pStyle w:val="TableContents"/>
            </w:pPr>
            <w:r>
              <w:t>RTPR-HSE-REG-0003</w:t>
            </w:r>
          </w:p>
        </w:tc>
        <w:tc>
          <w:tcPr/>
          <w:p>
            <w:pPr>
              <w:pStyle w:val="TableContents"/>
            </w:pPr>
            <w:r>
              <w:t>Internal procedure</w:t>
            </w:r>
          </w:p>
        </w:tc>
      </w:tr>
      <w:tr>
        <w:tc>
          <w:tcPr/>
          <w:p>
            <w:pPr>
              <w:pStyle w:val="TableContents"/>
            </w:pPr>
            <w:r>
              <w:t>Permit to Work Procedure</w:t>
            </w:r>
          </w:p>
        </w:tc>
        <w:tc>
          <w:tcPr/>
          <w:p>
            <w:pPr>
              <w:pStyle w:val="TableContents"/>
            </w:pPr>
            <w:r>
              <w:t>RTPR-HSE-PRO-0021</w:t>
            </w:r>
          </w:p>
        </w:tc>
        <w:tc>
          <w:tcPr/>
          <w:p>
            <w:pPr>
              <w:pStyle w:val="TableContents"/>
            </w:pPr>
            <w:r>
              <w:t>Internal procedure</w:t>
            </w:r>
          </w:p>
        </w:tc>
      </w:tr>
      <w:tr>
        <w:tc>
          <w:tcPr/>
          <w:p>
            <w:pPr>
              <w:pStyle w:val="TableContents"/>
            </w:pPr>
            <w:r>
              <w:t>Electrical Safety Procedure</w:t>
            </w:r>
          </w:p>
        </w:tc>
        <w:tc>
          <w:tcPr/>
          <w:p>
            <w:pPr>
              <w:pStyle w:val="TableContents"/>
            </w:pPr>
            <w:r>
              <w:t>RTPR-HSE-PRO-0025</w:t>
            </w:r>
          </w:p>
        </w:tc>
        <w:tc>
          <w:tcPr/>
          <w:p>
            <w:pPr>
              <w:pStyle w:val="TableContents"/>
            </w:pPr>
            <w:r>
              <w:t>Internal procedure</w:t>
            </w:r>
          </w:p>
        </w:tc>
      </w:tr>
      <w:tr>
        <w:tc>
          <w:tcPr/>
          <w:p>
            <w:pPr>
              <w:pStyle w:val="TableContents"/>
            </w:pPr>
            <w:r>
              <w:t>Management of Change Procedure</w:t>
            </w:r>
          </w:p>
        </w:tc>
        <w:tc>
          <w:tcPr/>
          <w:p>
            <w:pPr>
              <w:pStyle w:val="TableContents"/>
            </w:pPr>
            <w:r>
              <w:t>RTPR-HSE-PRO-0040</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Standard</w:t>
            </w:r>
          </w:p>
        </w:tc>
        <w:tc>
          <w:tcPr/>
          <w:p>
            <w:pPr>
              <w:pStyle w:val="TableContents"/>
            </w:pPr>
            <w:r>
              <w:t>RT HSE Standard</w:t>
            </w:r>
          </w:p>
        </w:tc>
        <w:tc>
          <w:tcPr/>
          <w:p>
            <w:pPr>
              <w:pStyle w:val="TableContents"/>
            </w:pPr>
            <w:r>
              <w:t>External RT</w:t>
            </w:r>
          </w:p>
        </w:tc>
      </w:tr>
      <w:tr>
        <w:tc>
          <w:tcPr/>
          <w:p>
            <w:pPr>
              <w:pStyle w:val="TableContents"/>
            </w:pPr>
            <w:r>
              <w:t>Rio Tinto Energy Isolation and Lockout/Tagout Standard</w:t>
            </w:r>
          </w:p>
        </w:tc>
        <w:tc>
          <w:tcPr/>
          <w:p>
            <w:pPr>
              <w:pStyle w:val="TableContents"/>
            </w:pPr>
            <w:r>
              <w:t>RT LOTO Standard</w:t>
            </w:r>
          </w:p>
        </w:tc>
        <w:tc>
          <w:tcPr/>
          <w:p>
            <w:pPr>
              <w:pStyle w:val="TableContents"/>
            </w:pPr>
            <w:r>
              <w:t>External RT</w:t>
            </w:r>
          </w:p>
        </w:tc>
      </w:tr>
      <w:tr>
        <w:tc>
          <w:tcPr/>
          <w:p>
            <w:pPr>
              <w:pStyle w:val="TableContents"/>
            </w:pPr>
            <w:r>
              <w:t>ISO 45001 — Occupational Health and Safety Management Systems</w:t>
            </w:r>
          </w:p>
        </w:tc>
        <w:tc>
          <w:tcPr/>
          <w:p>
            <w:pPr>
              <w:pStyle w:val="TableContents"/>
            </w:pPr>
            <w:r>
              <w:t>ISO 45001:2018</w:t>
            </w:r>
          </w:p>
        </w:tc>
        <w:tc>
          <w:tcPr/>
          <w:p>
            <w:pPr>
              <w:pStyle w:val="TableContents"/>
            </w:pPr>
            <w:r>
              <w:t>External framework</w:t>
            </w:r>
          </w:p>
        </w:tc>
      </w:tr>
      <w:tr>
        <w:tc>
          <w:tcPr/>
          <w:p>
            <w:pPr>
              <w:pStyle w:val="TableContents"/>
            </w:pPr>
            <w:r>
              <w:t>AS/NZS 4024.1601 — Safety of Machinery: Design of Controls, Interlocks and Guarding — Guards</w:t>
            </w:r>
          </w:p>
        </w:tc>
        <w:tc>
          <w:tcPr/>
          <w:p>
            <w:pPr>
              <w:pStyle w:val="TableContents"/>
            </w:pPr>
            <w:r>
              <w:t>AS/NZS 4024.1601</w:t>
            </w:r>
          </w:p>
        </w:tc>
        <w:tc>
          <w:tcPr/>
          <w:p>
            <w:pPr>
              <w:pStyle w:val="TableContents"/>
            </w:pPr>
            <w:r>
              <w:t>External framework</w:t>
            </w:r>
          </w:p>
        </w:tc>
      </w:tr>
      <w:tr>
        <w:tc>
          <w:tcPr/>
          <w:p>
            <w:pPr>
              <w:pStyle w:val="TableContents"/>
            </w:pPr>
            <w:r>
              <w:t>OSHA 29 CFR 1910.147 — The Control of Hazardous Energy (Lockout/Tagout)</w:t>
            </w:r>
          </w:p>
        </w:tc>
        <w:tc>
          <w:tcPr/>
          <w:p>
            <w:pPr>
              <w:pStyle w:val="TableContents"/>
            </w:pPr>
            <w:r>
              <w:t>OSHA 29 CFR 1910.147</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13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14  Source Requirements Traceability (DELETE BEFORE ISSUE)</w:t>
      </w:r>
    </w:p>
    <w:p>
      <w:pPr>
        <w:pStyle w:val="Heading2Numbered"/>
      </w:pPr>
      <w:r>
        <w:t>14.1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RT Standard RT C1 – Control of Energy Standard</w:t>
            </w:r>
          </w:p>
        </w:tc>
        <w:tc>
          <w:tcPr/>
          <w:p>
            <w:pPr>
              <w:pStyle w:val="TableContents"/>
            </w:pPr>
            <w:r>
              <w:t>Requires identification of all hazardous energy sources and isolation points, equipment-specific isolation procedures, competent Isolation Officers, personal LOTO for each worker, scope change reassessment, mechanical blocking requirements, and guarding on all plant equipment.</w:t>
            </w:r>
          </w:p>
        </w:tc>
        <w:tc>
          <w:tcPr/>
          <w:p>
            <w:pPr>
              <w:pStyle w:val="TableContents"/>
            </w:pPr>
            <w:r>
              <w:t>Full</w:t>
            </w:r>
          </w:p>
        </w:tc>
      </w:tr>
      <w:tr>
        <w:tc>
          <w:tcPr/>
          <w:p>
            <w:pPr>
              <w:pStyle w:val="TableContents"/>
            </w:pPr>
            <w:r>
              <w:rPr>
                <w:b/>
                <w:bCs/>
                <w:color w:val="0059D1"/>
              </w:rPr>
              <w:t>[INSERT: section]</w:t>
            </w:r>
          </w:p>
        </w:tc>
        <w:tc>
          <w:tcPr/>
          <w:p>
            <w:pPr>
              <w:pStyle w:val="TableContents"/>
            </w:pPr>
            <w:r>
              <w:t>IFC EHS General Guidelines §2.1</w:t>
            </w:r>
          </w:p>
        </w:tc>
        <w:tc>
          <w:tcPr/>
          <w:p>
            <w:pPr>
              <w:pStyle w:val="TableContents"/>
            </w:pPr>
            <w:r>
              <w:t>Requires the energy isolation process to explicitly address each category of hazardous energy present and that the effectiveness of each isolation is physically verified before workers enter the work area.</w:t>
            </w:r>
          </w:p>
        </w:tc>
        <w:tc>
          <w:tcPr/>
          <w:p>
            <w:pPr>
              <w:pStyle w:val="TableContents"/>
            </w:pPr>
            <w:r>
              <w:t>Full</w:t>
            </w:r>
          </w:p>
        </w:tc>
      </w:tr>
      <w:tr>
        <w:tc>
          <w:tcPr/>
          <w:p>
            <w:pPr>
              <w:pStyle w:val="TableContents"/>
            </w:pPr>
            <w:r>
              <w:rPr>
                <w:b/>
                <w:bCs/>
                <w:color w:val="0059D1"/>
              </w:rPr>
              <w:t>[INSERT: section]</w:t>
            </w:r>
          </w:p>
        </w:tc>
        <w:tc>
          <w:tcPr/>
          <w:p>
            <w:pPr>
              <w:pStyle w:val="TableContents"/>
            </w:pPr>
            <w:r>
              <w:t>OSHA 29 CFR 1910.147 (LOTO Standard)</w:t>
            </w:r>
          </w:p>
        </w:tc>
        <w:tc>
          <w:tcPr/>
          <w:p>
            <w:pPr>
              <w:pStyle w:val="TableContents"/>
            </w:pPr>
            <w:r>
              <w:t>Requires written energy control procedures for each equipment type, employee training, annual programme audits, and procedures for complex or group isolations.</w:t>
            </w:r>
          </w:p>
        </w:tc>
        <w:tc>
          <w:tcPr/>
          <w:p>
            <w:pPr>
              <w:pStyle w:val="TableContents"/>
            </w:pPr>
            <w:r>
              <w:t>Full</w:t>
            </w:r>
          </w:p>
        </w:tc>
      </w:tr>
      <w:tr>
        <w:tc>
          <w:tcPr/>
          <w:p>
            <w:pPr>
              <w:pStyle w:val="TableContents"/>
            </w:pPr>
            <w:r>
              <w:rPr>
                <w:b/>
                <w:bCs/>
                <w:color w:val="0059D1"/>
              </w:rPr>
              <w:t>[INSERT: section]</w:t>
            </w:r>
          </w:p>
        </w:tc>
        <w:tc>
          <w:tcPr/>
          <w:p>
            <w:pPr>
              <w:pStyle w:val="TableContents"/>
            </w:pPr>
            <w:r>
              <w:t>Appendix C C-2 §50.0.5</w:t>
            </w:r>
          </w:p>
        </w:tc>
        <w:tc>
          <w:tcPr/>
          <w:p>
            <w:pPr>
              <w:pStyle w:val="TableContents"/>
            </w:pPr>
            <w:r>
              <w:t>Requires maintenance of a register of all locks and lock holders, with each lock uniquely identifiable and assigned to a named individual.</w:t>
            </w:r>
          </w:p>
        </w:tc>
        <w:tc>
          <w:tcPr/>
          <w:p>
            <w:pPr>
              <w:pStyle w:val="TableContents"/>
            </w:pPr>
            <w:r>
              <w:t>Full</w:t>
            </w:r>
          </w:p>
        </w:tc>
      </w:tr>
      <w:tr>
        <w:tc>
          <w:tcPr/>
          <w:p>
            <w:pPr>
              <w:pStyle w:val="TableContents"/>
            </w:pPr>
            <w:r>
              <w:rPr>
                <w:b/>
                <w:bCs/>
                <w:color w:val="0059D1"/>
              </w:rPr>
              <w:t>[INSERT: section]</w:t>
            </w:r>
          </w:p>
        </w:tc>
        <w:tc>
          <w:tcPr/>
          <w:p>
            <w:pPr>
              <w:pStyle w:val="TableContents"/>
            </w:pPr>
            <w:r>
              <w:t>Appendix C C-2 §50.0.6</w:t>
            </w:r>
          </w:p>
        </w:tc>
        <w:tc>
          <w:tcPr/>
          <w:p>
            <w:pPr>
              <w:pStyle w:val="TableContents"/>
            </w:pPr>
            <w:r>
              <w:t>Requires that all authorised permits and isolation documentation are available at the work site and communicated to all affected personnel before work commences.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§50.0.8</w:t>
            </w:r>
          </w:p>
        </w:tc>
        <w:tc>
          <w:tcPr/>
          <w:p>
            <w:pPr>
              <w:pStyle w:val="TableContents"/>
            </w:pPr>
            <w:r>
              <w:t>Requires that a designated competent person and the responsible person for work execution jointly verify all physical isolations at the work site before work commences, with verification documented on the permit.</w:t>
            </w:r>
          </w:p>
        </w:tc>
        <w:tc>
          <w:tcPr/>
          <w:p>
            <w:pPr>
              <w:pStyle w:val="TableContents"/>
            </w:pPr>
            <w:r>
              <w:t>Full</w:t>
            </w:r>
          </w:p>
        </w:tc>
      </w:tr>
      <w:tr>
        <w:tc>
          <w:tcPr/>
          <w:p>
            <w:pPr>
              <w:pStyle w:val="TableContents"/>
            </w:pPr>
            <w:r>
              <w:rPr>
                <w:b/>
                <w:bCs/>
                <w:color w:val="0059D1"/>
              </w:rPr>
              <w:t>[INSERT: section]</w:t>
            </w:r>
          </w:p>
        </w:tc>
        <w:tc>
          <w:tcPr/>
          <w:p>
            <w:pPr>
              <w:pStyle w:val="TableContents"/>
            </w:pPr>
            <w:r>
              <w:t>Appendix C C-2 §50.0.9</w:t>
            </w:r>
          </w:p>
        </w:tc>
        <w:tc>
          <w:tcPr/>
          <w:p>
            <w:pPr>
              <w:pStyle w:val="TableContents"/>
            </w:pPr>
            <w:r>
              <w:t>Requires that changes in work conditions or scope that deviate from authorised permits or LOTO documents trigger revalidation and re-verification of the isolation before work resumes.</w:t>
            </w:r>
          </w:p>
        </w:tc>
        <w:tc>
          <w:tcPr/>
          <w:p>
            <w:pPr>
              <w:pStyle w:val="TableContents"/>
            </w:pPr>
            <w:r>
              <w:t>Full</w:t>
            </w:r>
          </w:p>
        </w:tc>
      </w:tr>
      <w:tr>
        <w:tc>
          <w:tcPr/>
          <w:p>
            <w:pPr>
              <w:pStyle w:val="TableContents"/>
            </w:pPr>
            <w:r>
              <w:rPr>
                <w:b/>
                <w:bCs/>
                <w:color w:val="0059D1"/>
              </w:rPr>
              <w:t>[INSERT: section]</w:t>
            </w:r>
          </w:p>
        </w:tc>
        <w:tc>
          <w:tcPr/>
          <w:p>
            <w:pPr>
              <w:pStyle w:val="TableContents"/>
            </w:pPr>
            <w:r>
              <w:t>Appendix C C-2 §50.1.1</w:t>
            </w:r>
          </w:p>
        </w:tc>
        <w:tc>
          <w:tcPr/>
          <w:p>
            <w:pPr>
              <w:pStyle w:val="TableContents"/>
            </w:pPr>
            <w:r>
              <w:t>Requires a test confirming absence of voltage following locking and tagging, earthing of conductors for high-voltage isolations, and a retest after any change in conditions or worker break before work resumes.</w:t>
            </w:r>
          </w:p>
        </w:tc>
        <w:tc>
          <w:tcPr/>
          <w:p>
            <w:pPr>
              <w:pStyle w:val="TableContents"/>
            </w:pPr>
            <w:r>
              <w:t>Full</w:t>
            </w:r>
          </w:p>
        </w:tc>
      </w:tr>
    </w:tbl>
    <w:p>
      <w:pPr>
        <w:pStyle w:val="Default"/>
      </w:pPr>
    </w:p>
    <w:p>
      <w:pPr>
        <w:pStyle w:val="Heading2Numbered"/>
      </w:pPr>
      <w:r>
        <w:t>14.2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