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Tools and Equipment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Tools and Equipment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ensuring all tools and equipment used on the owner-led project are fit for purpose, properly maintained, inspected, and compliant with applicable safety standards - including a clear statement of what is banned and what requires approval before use.</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tools and equipment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states the purpose of this procedure, the equipment categories it governs, and the project lifecycle phases to which it applies from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defines what this procedure establishes, the standards it operationalises, and the obligations it places on all project personnel.</w:t>
      </w:r>
    </w:p>
    <w:p>
      <w:pPr>
        <w:pStyle w:val="NormalNumberedtext"/>
      </w:pPr>
      <w:r>
        <w:t>This procedure meets the following purpose requirements:</w:t>
      </w:r>
    </w:p>
    <w:p>
      <w:pPr>
        <w:pStyle w:val="NormalNumberedtext"/>
      </w:pPr>
      <w:r>
        <w:t>This procedure governs the selection, inspection, certification, use, and defect management of all tools and equipment on the project, and applies to:</w:t>
      </w:r>
    </w:p>
    <w:p>
      <w:pPr>
        <w:pStyle w:val="NumberedBulletL1"/>
      </w:pPr>
      <w:r>
        <w:t>All Rio Tinto owner team personnel.</w:t>
      </w:r>
    </w:p>
    <w:p>
      <w:pPr>
        <w:pStyle w:val="NumberedBulletL1"/>
      </w:pPr>
      <w:r>
        <w:t>All contractor and subcontractor organisations working on the project.</w:t>
      </w:r>
    </w:p>
    <w:p>
      <w:pPr>
        <w:pStyle w:val="NumberedBulletL1"/>
      </w:pPr>
      <w:r>
        <w:t>All tools and equipment brought onto or used on the project site.</w:t>
      </w:r>
    </w:p>
    <w:p>
      <w:pPr>
        <w:pStyle w:val="NormalNumberedtext"/>
      </w:pPr>
      <w:r>
        <w:t>This procedure operationalises the requirements of the Rio Tinto HSESC Management System and applicable regulatory obligations into a documented, project-specific process for controlling hazards associated with tools and equipment.</w:t>
      </w:r>
    </w:p>
    <w:p>
      <w:pPr>
        <w:pStyle w:val="NormalNumberedtext"/>
      </w:pPr>
      <w:r>
        <w:t>This procedure defines absolute prohibitions, restricted item approval requirements, inspection and certification standards, and defect management obligations. Competency requirements for equipment inspection are governed by the Training Procedure, [INSERT: Project Document Number].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tool and equipment categories, project phases, and site locations are governed by this procedure.</w:t>
      </w:r>
    </w:p>
    <w:p>
      <w:pPr>
        <w:pStyle w:val="NormalNumberedtext"/>
      </w:pPr>
      <w:r>
        <w:t>This procedure applies the following scope requirements:</w:t>
      </w:r>
    </w:p>
    <w:p>
      <w:pPr>
        <w:pStyle w:val="NormalNumberedtext"/>
      </w:pPr>
      <w:r>
        <w:t>This procedure governs all portable hand tools, power tools, lifting equipment, electrical equipment, and associated accessories used during the following project phases:</w:t>
      </w:r>
    </w:p>
    <w:p>
      <w:pPr>
        <w:pStyle w:val="NumberedBulletL1"/>
      </w:pPr>
      <w:r>
        <w:t>Construction and Execution.</w:t>
      </w:r>
    </w:p>
    <w:p>
      <w:pPr>
        <w:pStyle w:val="NumberedBulletL1"/>
      </w:pPr>
      <w:r>
        <w:t>Commissioning.</w:t>
      </w:r>
    </w:p>
    <w:p>
      <w:pPr>
        <w:pStyle w:val="NumberedBulletL1"/>
      </w:pPr>
      <w:r>
        <w:t>Handover and Close-out.</w:t>
      </w:r>
    </w:p>
    <w:p>
      <w:pPr>
        <w:pStyle w:val="NormalNumberedtext"/>
      </w:pPr>
      <w:r>
        <w:t>This procedure does not govern the design or procurement specifications of fixed plant and permanent electrical installations. Those requirements are addressed in the relevant engineering and commissioning procedures.</w:t>
      </w:r>
    </w:p>
    <w:p>
      <w:pPr>
        <w:pStyle w:val="NormalNumberedtext"/>
      </w:pPr>
    </w:p>
    <w:p>
      <w:pPr>
        <w:pStyle w:val="Heading1Numbered"/>
        <w:numPr>
          <w:ilvl w:val="0"/>
          <w:numId w:val="1"/>
        </w:numPr>
      </w:pPr>
      <w:r>
        <w:rPr>
          <w:rFonts w:ascii="Arial" w:hAnsi="Arial" w:cs="Arial" w:eastAsia="Arial"/>
        </w:rPr>
        <w:t>Banned and Restricted Items</w:t>
      </w:r>
    </w:p>
    <w:p>
      <w:pPr>
        <w:pStyle w:val="NormalNumberedtext"/>
      </w:pPr>
      <w:r>
        <w:t>This section establishes absolute prohibitions on specified tools and equipment and defines the approval process for restricted items that require documented authorisation before use.</w:t>
      </w:r>
    </w:p>
    <w:p>
      <w:pPr>
        <w:pStyle w:val="NormalNumberedtext"/>
      </w:pPr>
    </w:p>
    <w:p>
      <w:pPr>
        <w:pStyle w:val="Heading2Numbered"/>
        <w:numPr>
          <w:ilvl w:val="1"/>
          <w:numId w:val="1"/>
        </w:numPr>
      </w:pPr>
      <w:r>
        <w:rPr>
          <w:rFonts w:ascii="Arial" w:hAnsi="Arial" w:cs="Arial" w:eastAsia="Arial"/>
        </w:rPr>
        <w:t>Banned Items</w:t>
      </w:r>
    </w:p>
    <w:p>
      <w:pPr>
        <w:pStyle w:val="NormalNumberedtext"/>
      </w:pPr>
      <w:r>
        <w:t>This section lists the items that are prohibited on the project site under all circumstances and without exception.</w:t>
      </w:r>
    </w:p>
    <w:p>
      <w:pPr>
        <w:pStyle w:val="NormalNumberedtext"/>
      </w:pPr>
      <w:r>
        <w:t>The following items are banned on the project site and must not be used under any circumstances. No approval process exists for these items. Any banned item identified on site must be removed from the work area immediately and reported to the HSESC team.</w:t>
      </w:r>
    </w:p>
    <w:p>
      <w:pPr>
        <w:pStyle w:val="NormalNumberedtext"/>
      </w:pPr>
      <w:r>
        <w:t>Banned items on this project are:</w:t>
      </w:r>
    </w:p>
    <w:p>
      <w:pPr>
        <w:pStyle w:val="NumberedBulletL1"/>
      </w:pPr>
      <w:r>
        <w:t>Man-made or improvised tools of any kind.</w:t>
      </w:r>
    </w:p>
    <w:p>
      <w:pPr>
        <w:pStyle w:val="NumberedBulletL1"/>
      </w:pPr>
      <w:r>
        <w:t>Over-centre type binders.</w:t>
      </w:r>
    </w:p>
    <w:p>
      <w:pPr>
        <w:pStyle w:val="NumberedBulletL1"/>
      </w:pPr>
      <w:r>
        <w:t>9-inch (230 mm) angle grinders.</w:t>
      </w:r>
    </w:p>
    <w:p>
      <w:pPr>
        <w:pStyle w:val="NumberedBulletL1"/>
      </w:pPr>
      <w:r>
        <w:t>Sit harnesses (waist-only harnesses).</w:t>
      </w:r>
    </w:p>
    <w:p>
      <w:pPr>
        <w:pStyle w:val="NumberedBulletL1"/>
      </w:pPr>
      <w:r>
        <w:t>Saferight auto-stop rope descender/brake devices.</w:t>
      </w:r>
    </w:p>
    <w:p>
      <w:pPr>
        <w:pStyle w:val="NumberedBulletL1"/>
      </w:pPr>
      <w:r>
        <w:t>Manual torque multipliers.</w:t>
      </w:r>
    </w:p>
    <w:p>
      <w:pPr>
        <w:pStyle w:val="NormalNumberedtext"/>
      </w:pPr>
      <w:r>
        <w:rPr>
          <w:b/>
          <w:bCs/>
          <w:color w:val="0059D1"/>
        </w:rPr>
        <w:t>[INSERT: additional_banned_items]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Confirm whether the project scope, location, or specific activities require any additional items to be added to the banned list above. Insert project-specific additions in the placeholder provided. Some project locations or regulatory jurisdictions impose prohibitions beyond the standard Rio Tinto list.</w:t>
            </w:r>
          </w:p>
        </w:tc>
      </w:tr>
    </w:tbl>
    <w:p>
      <w:pPr>
        <w:pStyle w:val="NormalNumberedtext"/>
      </w:pPr>
    </w:p>
    <w:p>
      <w:pPr>
        <w:pStyle w:val="Heading2Numbered"/>
        <w:numPr>
          <w:ilvl w:val="1"/>
          <w:numId w:val="1"/>
        </w:numPr>
      </w:pPr>
      <w:r>
        <w:rPr>
          <w:rFonts w:ascii="Arial" w:hAnsi="Arial" w:cs="Arial" w:eastAsia="Arial"/>
        </w:rPr>
        <w:t>Restricted Items</w:t>
      </w:r>
    </w:p>
    <w:p>
      <w:pPr>
        <w:pStyle w:val="NormalNumberedtext"/>
      </w:pPr>
      <w:r>
        <w:t>This section lists restricted items that require documented project owner approval before use and defines the approval process that applies.</w:t>
      </w:r>
    </w:p>
    <w:p>
      <w:pPr>
        <w:pStyle w:val="NormalNumberedtext"/>
      </w:pPr>
      <w:r>
        <w:t>The following items are restricted and may only be used on the project site after documented approval has been obtained from the project owner. Restricted items must not be brought onto site or used until the approval record is in place and has been communicated to the relevant work group.</w:t>
      </w:r>
    </w:p>
    <w:p>
      <w:pPr>
        <w:pStyle w:val="NormalNumberedtext"/>
      </w:pPr>
      <w:r>
        <w:t>Restricted items on this project are:</w:t>
      </w:r>
    </w:p>
    <w:p>
      <w:pPr>
        <w:pStyle w:val="NumberedBulletL1"/>
      </w:pPr>
      <w:r>
        <w:t>Open-bladed knives, including Stanley knives.</w:t>
      </w:r>
    </w:p>
    <w:p>
      <w:pPr>
        <w:pStyle w:val="NumberedBulletL1"/>
      </w:pPr>
      <w:r>
        <w:t>Skiving knives.</w:t>
      </w:r>
    </w:p>
    <w:p>
      <w:pPr>
        <w:pStyle w:val="NumberedBulletL1"/>
      </w:pPr>
      <w:r>
        <w:t>Unsecured scaffold hammer frogs.</w:t>
      </w:r>
    </w:p>
    <w:p>
      <w:pPr>
        <w:pStyle w:val="NumberedBulletL1"/>
      </w:pPr>
      <w:r>
        <w:t>Powered nail guns, whether explosive or pneumatic.</w:t>
      </w:r>
    </w:p>
    <w:p>
      <w:pPr>
        <w:pStyle w:val="NumberedBulletL1"/>
      </w:pPr>
      <w:r>
        <w:t>Hydro blasting equipment.</w:t>
      </w:r>
    </w:p>
    <w:p>
      <w:pPr>
        <w:pStyle w:val="NumberedBulletL1"/>
      </w:pPr>
      <w:r>
        <w:t>Personal music devices with headphones.</w:t>
      </w:r>
    </w:p>
    <w:p>
      <w:pPr>
        <w:pStyle w:val="NumberedBulletL1"/>
      </w:pPr>
      <w:r>
        <w:t>Handheld demolition or quick-cut saws.</w:t>
      </w:r>
    </w:p>
    <w:p>
      <w:pPr>
        <w:pStyle w:val="NumberedBulletL1"/>
      </w:pPr>
      <w:r>
        <w:t>Double-pointed podgy bars.</w:t>
      </w:r>
    </w:p>
    <w:p>
      <w:pPr>
        <w:pStyle w:val="NumberedBulletL1"/>
      </w:pPr>
      <w:r>
        <w:t>Hardened steel sledgehammers.</w:t>
      </w:r>
    </w:p>
    <w:p>
      <w:pPr>
        <w:pStyle w:val="NormalNumberedtext"/>
      </w:pPr>
      <w:r>
        <w:rPr>
          <w:b/>
          <w:bCs/>
          <w:color w:val="0059D1"/>
        </w:rPr>
        <w:t>[INSERT: additional_restricted_items]</w:t>
      </w:r>
    </w:p>
    <w:p>
      <w:pPr>
        <w:pStyle w:val="NormalNumberedtext"/>
      </w:pPr>
      <w:r>
        <w:t>The approval process for restricted items applies the following requirements:</w:t>
      </w:r>
    </w:p>
    <w:p>
      <w:pPr>
        <w:pStyle w:val="NormalNumberedtext"/>
      </w:pPr>
      <w:r>
        <w:t>The restricted item approval process requires:</w:t>
      </w:r>
    </w:p>
    <w:p>
      <w:pPr>
        <w:pStyle w:val="NormalNumberedtext"/>
      </w:pPr>
      <w:r>
        <w:rPr>
          <w:b/>
          <w:bCs/>
          <w:color w:val="0059D1"/>
        </w:rPr>
        <w:t>[INSERT: restricted_item_approval_authority]</w:t>
      </w:r>
    </w:p>
    <w:p>
      <w:pPr>
        <w:pStyle w:val="NumberedBulletL1"/>
      </w:pPr>
      <w:r>
        <w:rPr>
          <w:color w:val="C55A11"/>
        </w:rPr>
        <w:t>A written approval request submitted by the contractor superintendent to the Construction Manager, identifying the item, the work task requiring its use, the duration of use, and the controls to be applied.</w:t>
      </w:r>
    </w:p>
    <w:p>
      <w:pPr>
        <w:pStyle w:val="NumberedBulletL1"/>
      </w:pPr>
      <w:r>
        <w:rPr>
          <w:color w:val="C55A11"/>
        </w:rPr>
        <w:t>Approval documented on the Restricted Equipment Approval Form and filed in the project document management system before the item is mobilised to site.</w:t>
      </w:r>
    </w:p>
    <w:p>
      <w:pPr>
        <w:pStyle w:val="NumberedBulletL1"/>
      </w:pPr>
      <w:r>
        <w:rPr>
          <w:color w:val="C55A11"/>
        </w:rPr>
        <w:t>Communication of the approval and associated controls to the work group at the pre-start briefing before the restricted item is used.</w:t>
      </w:r>
    </w:p>
    <w:p>
      <w:pPr>
        <w:pStyle w:val="NormalNumberedtext"/>
      </w:pPr>
      <w:r>
        <w:rPr>
          <w:b/>
          <w:bCs/>
          <w:color w:val="0059D1"/>
        </w:rPr>
        <w:t>[INSERT: restricted_item_approval_record_location]</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Define the project approval process for restricted items: confirm the role with approval authority; specify the documentation required; and confirm how approval is recorded and communicated to the workforce. Complete all placeholders in this section before issue.</w:t>
            </w:r>
          </w:p>
        </w:tc>
      </w:tr>
    </w:tbl>
    <w:p>
      <w:pPr>
        <w:pStyle w:val="NormalNumberedtext"/>
      </w:pPr>
    </w:p>
    <w:p>
      <w:pPr>
        <w:pStyle w:val="Heading1Numbered"/>
        <w:numPr>
          <w:ilvl w:val="0"/>
          <w:numId w:val="1"/>
        </w:numPr>
      </w:pPr>
      <w:r>
        <w:rPr>
          <w:rFonts w:ascii="Arial" w:hAnsi="Arial" w:cs="Arial" w:eastAsia="Arial"/>
        </w:rPr>
        <w:t>Inspection and Certification</w:t>
      </w:r>
    </w:p>
    <w:p>
      <w:pPr>
        <w:pStyle w:val="NormalNumberedtext"/>
      </w:pPr>
      <w:r>
        <w:t>This section defines the inspection, certification, tagging, and pre-use check requirements for all safety-critical tools and equipment used on the project.</w:t>
      </w:r>
    </w:p>
    <w:p>
      <w:pPr>
        <w:pStyle w:val="NormalNumberedtext"/>
      </w:pPr>
    </w:p>
    <w:p>
      <w:pPr>
        <w:pStyle w:val="Heading2Numbered"/>
        <w:numPr>
          <w:ilvl w:val="1"/>
          <w:numId w:val="1"/>
        </w:numPr>
      </w:pPr>
      <w:r>
        <w:rPr>
          <w:rFonts w:ascii="Arial" w:hAnsi="Arial" w:cs="Arial" w:eastAsia="Arial"/>
        </w:rPr>
        <w:t>Lifting Equipment Certification</w:t>
      </w:r>
    </w:p>
    <w:p>
      <w:pPr>
        <w:pStyle w:val="NormalNumberedtext"/>
      </w:pPr>
      <w:r>
        <w:t>This section establishes the certificate requirements for all lifting equipment used on the project.</w:t>
      </w:r>
    </w:p>
    <w:p>
      <w:pPr>
        <w:pStyle w:val="NormalNumberedtext"/>
      </w:pPr>
      <w:r>
        <w:t>All lifting equipment used on the project, including cranes, hooks, and slings, must hold a valid and recognised test certificate confirming it is safe for operation. The certificate must be current at the time of use and must not have lapsed.</w:t>
      </w:r>
    </w:p>
    <w:p>
      <w:pPr>
        <w:pStyle w:val="NormalNumberedtext"/>
      </w:pPr>
      <w:r>
        <w:t>The responsible contractor superintendent makes all lifting equipment test certificates available to the project owner on request. Lifting equipment without a valid certificate must not be used and must be removed from service immediately.</w:t>
      </w:r>
    </w:p>
    <w:p>
      <w:pPr>
        <w:pStyle w:val="NormalNumberedtext"/>
      </w:pPr>
      <w:r>
        <w:t>Lifting equipment brought onto the project site is subject to verification by the HSESC team before first use. The verification check confirms the certificate is valid, the equipment matches the certificate description, and no visible defects are present.</w:t>
      </w:r>
    </w:p>
    <w:p>
      <w:pPr>
        <w:pStyle w:val="NormalNumberedtext"/>
      </w:pPr>
    </w:p>
    <w:p>
      <w:pPr>
        <w:pStyle w:val="Heading2Numbered"/>
        <w:numPr>
          <w:ilvl w:val="1"/>
          <w:numId w:val="1"/>
        </w:numPr>
      </w:pPr>
      <w:r>
        <w:rPr>
          <w:rFonts w:ascii="Arial" w:hAnsi="Arial" w:cs="Arial" w:eastAsia="Arial"/>
        </w:rPr>
        <w:t>Portable Electrical Equipment Inspection</w:t>
      </w:r>
    </w:p>
    <w:p>
      <w:pPr>
        <w:pStyle w:val="NormalNumberedtext"/>
      </w:pPr>
      <w:r>
        <w:t>This section defines the quarterly inspection, tagging, and registration requirements for all portable electrical equipment on the project.</w:t>
      </w:r>
    </w:p>
    <w:p>
      <w:pPr>
        <w:pStyle w:val="NormalNumberedtext"/>
      </w:pPr>
      <w:r>
        <w:t>All portable electrical equipment on the project site is inspected and tagged by a certified electrician on a quarterly basis. Equipment that does not carry a current inspection tag must not be used and must be removed from service pending inspection.</w:t>
      </w:r>
    </w:p>
    <w:p>
      <w:pPr>
        <w:pStyle w:val="NormalNumberedtext"/>
      </w:pPr>
      <w:r>
        <w:t>Inspection records are maintained in the Electrical Equipment Register, [INSERT: Project Document Number]. Each entry in the register records the following:</w:t>
      </w:r>
    </w:p>
    <w:p>
      <w:pPr>
        <w:pStyle w:val="NormalNumberedtext"/>
      </w:pPr>
      <w:r>
        <w:t>The Electrical Equipment Register records for each item:</w:t>
      </w:r>
    </w:p>
    <w:p>
      <w:pPr>
        <w:pStyle w:val="NumberedBulletL1"/>
      </w:pPr>
      <w:r>
        <w:t>Equipment identification number.</w:t>
      </w:r>
    </w:p>
    <w:p>
      <w:pPr>
        <w:pStyle w:val="NumberedBulletL1"/>
      </w:pPr>
      <w:r>
        <w:t>Inspection date.</w:t>
      </w:r>
    </w:p>
    <w:p>
      <w:pPr>
        <w:pStyle w:val="NumberedBulletL1"/>
      </w:pPr>
      <w:r>
        <w:t>Certifier's name.</w:t>
      </w:r>
    </w:p>
    <w:p>
      <w:pPr>
        <w:pStyle w:val="NumberedBulletL1"/>
      </w:pPr>
      <w:r>
        <w:t>Next inspection due date.</w:t>
      </w:r>
    </w:p>
    <w:p>
      <w:pPr>
        <w:pStyle w:val="NormalNumberedtext"/>
      </w:pPr>
      <w:r>
        <w:t>Equipment is colour-coded following each inspection to indicate its status. Equipment carrying the current period colour code is acceptable for use. Equipment not carrying the current period colour code must be removed from service until inspected and re-tagged.</w:t>
      </w:r>
    </w:p>
    <w:p>
      <w:pPr>
        <w:pStyle w:val="NormalNumberedtext"/>
      </w:pPr>
      <w:r>
        <w:t>Table 1: Quarterly Electrical Equipment Inspection Colour Code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Quarter</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Period</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Colour Code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Approved Inspector</w:t>
            </w:r>
          </w:p>
        </w:tc>
      </w:tr>
      <w:tr>
        <w:tc>
          <w:tcPr>
            <w:tcW w:type="dxa" w:w="2256"/>
          </w:tcPr>
          <w:p>
            <w:pPr>
              <w:pStyle w:val="TableContents"/>
              <w:spacing w:before="0" w:after="0" w:line="240" w:lineRule="atLeast"/>
            </w:pPr>
            <w:r>
              <w:rPr>
                <w:rFonts w:ascii="Arial" w:hAnsi="Arial" w:cs="Arial" w:eastAsia="Arial"/>
                <w:sz w:val="16"/>
                <w:szCs w:val="16"/>
              </w:rPr>
              <w:t>Q1</w:t>
            </w:r>
          </w:p>
        </w:tc>
        <w:tc>
          <w:tcPr>
            <w:tcW w:type="dxa" w:w="2256"/>
          </w:tcPr>
          <w:p>
            <w:pPr>
              <w:pStyle w:val="TableContents"/>
              <w:spacing w:before="0" w:after="0" w:line="240" w:lineRule="atLeast"/>
            </w:pPr>
            <w:r>
              <w:rPr>
                <w:rFonts w:ascii="Arial" w:hAnsi="Arial" w:cs="Arial" w:eastAsia="Arial"/>
                <w:sz w:val="16"/>
                <w:szCs w:val="16"/>
              </w:rPr>
              <w:t>January - March</w:t>
            </w:r>
          </w:p>
        </w:tc>
        <w:tc>
          <w:tcPr>
            <w:tcW w:type="dxa" w:w="2256"/>
          </w:tcPr>
          <w:p>
            <w:pPr>
              <w:pStyle w:val="TableContents"/>
              <w:spacing w:before="0" w:after="0" w:line="240" w:lineRule="atLeast"/>
            </w:pPr>
            <w:r>
              <w:rPr>
                <w:rFonts w:ascii="Arial" w:hAnsi="Arial" w:cs="Arial" w:eastAsia="Arial"/>
                <w:sz w:val="16"/>
                <w:szCs w:val="16"/>
              </w:rPr>
              <w:t>{'insert': True, 'field': 'q1_colour', 'hint': 'Insert colour code for Q1'}</w:t>
            </w:r>
          </w:p>
        </w:tc>
        <w:tc>
          <w:tcPr>
            <w:tcW w:type="dxa" w:w="2258"/>
          </w:tcPr>
          <w:p>
            <w:pPr>
              <w:pStyle w:val="TableContents"/>
              <w:spacing w:before="0" w:after="0" w:line="240" w:lineRule="atLeast"/>
            </w:pPr>
            <w:r>
              <w:rPr>
                <w:rFonts w:ascii="Arial" w:hAnsi="Arial" w:cs="Arial" w:eastAsia="Arial"/>
                <w:sz w:val="16"/>
                <w:szCs w:val="16"/>
              </w:rPr>
              <w:t>{'insert': True, 'field': 'q1_inspector', 'hint': 'Insert name and licence number of approved certified electrician'}</w:t>
            </w:r>
          </w:p>
        </w:tc>
      </w:tr>
      <w:tr>
        <w:tc>
          <w:tcPr>
            <w:tcW w:type="dxa" w:w="2256"/>
          </w:tcPr>
          <w:p>
            <w:pPr>
              <w:pStyle w:val="TableContents"/>
              <w:spacing w:before="0" w:after="0" w:line="240" w:lineRule="atLeast"/>
            </w:pPr>
            <w:r>
              <w:rPr>
                <w:rFonts w:ascii="Arial" w:hAnsi="Arial" w:cs="Arial" w:eastAsia="Arial"/>
                <w:sz w:val="16"/>
                <w:szCs w:val="16"/>
              </w:rPr>
              <w:t>Q2</w:t>
            </w:r>
          </w:p>
        </w:tc>
        <w:tc>
          <w:tcPr>
            <w:tcW w:type="dxa" w:w="2256"/>
          </w:tcPr>
          <w:p>
            <w:pPr>
              <w:pStyle w:val="TableContents"/>
              <w:spacing w:before="0" w:after="0" w:line="240" w:lineRule="atLeast"/>
            </w:pPr>
            <w:r>
              <w:rPr>
                <w:rFonts w:ascii="Arial" w:hAnsi="Arial" w:cs="Arial" w:eastAsia="Arial"/>
                <w:sz w:val="16"/>
                <w:szCs w:val="16"/>
              </w:rPr>
              <w:t>April - June</w:t>
            </w:r>
          </w:p>
        </w:tc>
        <w:tc>
          <w:tcPr>
            <w:tcW w:type="dxa" w:w="2256"/>
          </w:tcPr>
          <w:p>
            <w:pPr>
              <w:pStyle w:val="TableContents"/>
              <w:spacing w:before="0" w:after="0" w:line="240" w:lineRule="atLeast"/>
            </w:pPr>
            <w:r>
              <w:rPr>
                <w:rFonts w:ascii="Arial" w:hAnsi="Arial" w:cs="Arial" w:eastAsia="Arial"/>
                <w:sz w:val="16"/>
                <w:szCs w:val="16"/>
              </w:rPr>
              <w:t>{'insert': True, 'field': 'q2_colour', 'hint': 'Insert colour code for Q2'}</w:t>
            </w:r>
          </w:p>
        </w:tc>
        <w:tc>
          <w:tcPr>
            <w:tcW w:type="dxa" w:w="2258"/>
          </w:tcPr>
          <w:p>
            <w:pPr>
              <w:pStyle w:val="TableContents"/>
              <w:spacing w:before="0" w:after="0" w:line="240" w:lineRule="atLeast"/>
            </w:pPr>
            <w:r>
              <w:rPr>
                <w:rFonts w:ascii="Arial" w:hAnsi="Arial" w:cs="Arial" w:eastAsia="Arial"/>
                <w:sz w:val="16"/>
                <w:szCs w:val="16"/>
              </w:rPr>
              <w:t>{'insert': True, 'field': 'q2_inspector', 'hint': 'Insert name and licence number of approved certified electrician'}</w:t>
            </w:r>
          </w:p>
        </w:tc>
      </w:tr>
      <w:tr>
        <w:tc>
          <w:tcPr>
            <w:tcW w:type="dxa" w:w="2256"/>
          </w:tcPr>
          <w:p>
            <w:pPr>
              <w:pStyle w:val="TableContents"/>
              <w:spacing w:before="0" w:after="0" w:line="240" w:lineRule="atLeast"/>
            </w:pPr>
            <w:r>
              <w:rPr>
                <w:rFonts w:ascii="Arial" w:hAnsi="Arial" w:cs="Arial" w:eastAsia="Arial"/>
                <w:sz w:val="16"/>
                <w:szCs w:val="16"/>
              </w:rPr>
              <w:t>Q3</w:t>
            </w:r>
          </w:p>
        </w:tc>
        <w:tc>
          <w:tcPr>
            <w:tcW w:type="dxa" w:w="2256"/>
          </w:tcPr>
          <w:p>
            <w:pPr>
              <w:pStyle w:val="TableContents"/>
              <w:spacing w:before="0" w:after="0" w:line="240" w:lineRule="atLeast"/>
            </w:pPr>
            <w:r>
              <w:rPr>
                <w:rFonts w:ascii="Arial" w:hAnsi="Arial" w:cs="Arial" w:eastAsia="Arial"/>
                <w:sz w:val="16"/>
                <w:szCs w:val="16"/>
              </w:rPr>
              <w:t>July - September</w:t>
            </w:r>
          </w:p>
        </w:tc>
        <w:tc>
          <w:tcPr>
            <w:tcW w:type="dxa" w:w="2256"/>
          </w:tcPr>
          <w:p>
            <w:pPr>
              <w:pStyle w:val="TableContents"/>
              <w:spacing w:before="0" w:after="0" w:line="240" w:lineRule="atLeast"/>
            </w:pPr>
            <w:r>
              <w:rPr>
                <w:rFonts w:ascii="Arial" w:hAnsi="Arial" w:cs="Arial" w:eastAsia="Arial"/>
                <w:sz w:val="16"/>
                <w:szCs w:val="16"/>
              </w:rPr>
              <w:t>{'insert': True, 'field': 'q3_colour', 'hint': 'Insert colour code for Q3'}</w:t>
            </w:r>
          </w:p>
        </w:tc>
        <w:tc>
          <w:tcPr>
            <w:tcW w:type="dxa" w:w="2258"/>
          </w:tcPr>
          <w:p>
            <w:pPr>
              <w:pStyle w:val="TableContents"/>
              <w:spacing w:before="0" w:after="0" w:line="240" w:lineRule="atLeast"/>
            </w:pPr>
            <w:r>
              <w:rPr>
                <w:rFonts w:ascii="Arial" w:hAnsi="Arial" w:cs="Arial" w:eastAsia="Arial"/>
                <w:sz w:val="16"/>
                <w:szCs w:val="16"/>
              </w:rPr>
              <w:t>{'insert': True, 'field': 'q3_inspector', 'hint': 'Insert name and licence number of approved certified electrician'}</w:t>
            </w:r>
          </w:p>
        </w:tc>
      </w:tr>
      <w:tr>
        <w:tc>
          <w:tcPr>
            <w:tcW w:type="dxa" w:w="2256"/>
          </w:tcPr>
          <w:p>
            <w:pPr>
              <w:pStyle w:val="TableContents"/>
              <w:spacing w:before="0" w:after="0" w:line="240" w:lineRule="atLeast"/>
            </w:pPr>
            <w:r>
              <w:rPr>
                <w:rFonts w:ascii="Arial" w:hAnsi="Arial" w:cs="Arial" w:eastAsia="Arial"/>
                <w:sz w:val="16"/>
                <w:szCs w:val="16"/>
              </w:rPr>
              <w:t>Q4</w:t>
            </w:r>
          </w:p>
        </w:tc>
        <w:tc>
          <w:tcPr>
            <w:tcW w:type="dxa" w:w="2256"/>
          </w:tcPr>
          <w:p>
            <w:pPr>
              <w:pStyle w:val="TableContents"/>
              <w:spacing w:before="0" w:after="0" w:line="240" w:lineRule="atLeast"/>
            </w:pPr>
            <w:r>
              <w:rPr>
                <w:rFonts w:ascii="Arial" w:hAnsi="Arial" w:cs="Arial" w:eastAsia="Arial"/>
                <w:sz w:val="16"/>
                <w:szCs w:val="16"/>
              </w:rPr>
              <w:t>October - December</w:t>
            </w:r>
          </w:p>
        </w:tc>
        <w:tc>
          <w:tcPr>
            <w:tcW w:type="dxa" w:w="2256"/>
          </w:tcPr>
          <w:p>
            <w:pPr>
              <w:pStyle w:val="TableContents"/>
              <w:spacing w:before="0" w:after="0" w:line="240" w:lineRule="atLeast"/>
            </w:pPr>
            <w:r>
              <w:rPr>
                <w:rFonts w:ascii="Arial" w:hAnsi="Arial" w:cs="Arial" w:eastAsia="Arial"/>
                <w:sz w:val="16"/>
                <w:szCs w:val="16"/>
              </w:rPr>
              <w:t>{'insert': True, 'field': 'q4_colour', 'hint': 'Insert colour code for Q4'}</w:t>
            </w:r>
          </w:p>
        </w:tc>
        <w:tc>
          <w:tcPr>
            <w:tcW w:type="dxa" w:w="2258"/>
          </w:tcPr>
          <w:p>
            <w:pPr>
              <w:pStyle w:val="TableContents"/>
              <w:spacing w:before="0" w:after="0" w:line="240" w:lineRule="atLeast"/>
            </w:pPr>
            <w:r>
              <w:rPr>
                <w:rFonts w:ascii="Arial" w:hAnsi="Arial" w:cs="Arial" w:eastAsia="Arial"/>
                <w:sz w:val="16"/>
                <w:szCs w:val="16"/>
              </w:rPr>
              <w:t>{'insert': True, 'field': 'q4_inspector', 'hint': 'Insert name and licence number of approved certified electrician'}</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Confirm the quarterly inspection schedule for this project and the arrangement for the approved certified electrician. Insert the colour codes and inspector details in the table above. Where a single project electrician holds this responsibility, confirm their name and licence number before issue.</w:t>
            </w:r>
          </w:p>
        </w:tc>
      </w:tr>
    </w:tbl>
    <w:p>
      <w:pPr>
        <w:pStyle w:val="NormalNumberedtext"/>
      </w:pPr>
    </w:p>
    <w:p>
      <w:pPr>
        <w:pStyle w:val="Heading2Numbered"/>
        <w:numPr>
          <w:ilvl w:val="1"/>
          <w:numId w:val="1"/>
        </w:numPr>
      </w:pPr>
      <w:r>
        <w:rPr>
          <w:rFonts w:ascii="Arial" w:hAnsi="Arial" w:cs="Arial" w:eastAsia="Arial"/>
        </w:rPr>
        <w:t>Pre-Use Inspection of Safety-Critical Tools and Equipment</w:t>
      </w:r>
    </w:p>
    <w:p>
      <w:pPr>
        <w:pStyle w:val="NormalNumberedtext"/>
      </w:pPr>
      <w:r>
        <w:t>This section establishes the systematic pre-use inspection process and the defect management pathway for all safety-critical tools and equipment.</w:t>
      </w:r>
    </w:p>
    <w:p>
      <w:pPr>
        <w:pStyle w:val="NormalNumberedtext"/>
      </w:pPr>
      <w:r>
        <w:t>A pre-use inspection is completed for all safety-critical tools and equipment before each period of use. The inspection is conducted by the operator or the work group supervisor and confirms the item is free from visible defects, correctly configured, and within its service and certification period.</w:t>
      </w:r>
    </w:p>
    <w:p>
      <w:pPr>
        <w:pStyle w:val="NormalNumberedtext"/>
      </w:pPr>
      <w:r>
        <w:t>Any item identified as unsafe during a pre-use inspection is removed from service immediately. The operator or supervisor applies a defect tag to the item and places it in the designated quarantine area before work commences. Defective equipment incidents are reported per project requirements, refer [INSERT: Project Document Number].</w:t>
      </w:r>
    </w:p>
    <w:p>
      <w:pPr>
        <w:pStyle w:val="NormalNumberedtext"/>
      </w:pPr>
      <w:r>
        <w:t>Competency requirements for equipment inspection are defined in the Training Procedure, [INSERT: Project Document Number]. Personnel who have not completed the required inspection competency must not conduct formal equipment inspections.</w:t>
      </w:r>
    </w:p>
    <w:p>
      <w:pPr>
        <w:pStyle w:val="NormalNumberedtext"/>
      </w:pPr>
    </w:p>
    <w:p>
      <w:pPr>
        <w:pStyle w:val="Heading1Numbered"/>
        <w:numPr>
          <w:ilvl w:val="0"/>
          <w:numId w:val="1"/>
        </w:numPr>
      </w:pPr>
      <w:r>
        <w:rPr>
          <w:rFonts w:ascii="Arial" w:hAnsi="Arial" w:cs="Arial" w:eastAsia="Arial"/>
        </w:rPr>
        <w:t>Defect Management and Tool Securing</w:t>
      </w:r>
    </w:p>
    <w:p>
      <w:pPr>
        <w:pStyle w:val="NormalNumberedtext"/>
      </w:pPr>
      <w:r>
        <w:t>This section defines the defect reporting and management process and the requirements for securing tools when working at height to prevent dropped objects.</w:t>
      </w:r>
    </w:p>
    <w:p>
      <w:pPr>
        <w:pStyle w:val="NormalNumberedtext"/>
      </w:pPr>
    </w:p>
    <w:p>
      <w:pPr>
        <w:pStyle w:val="Heading2Numbered"/>
        <w:numPr>
          <w:ilvl w:val="1"/>
          <w:numId w:val="1"/>
        </w:numPr>
      </w:pPr>
      <w:r>
        <w:rPr>
          <w:rFonts w:ascii="Arial" w:hAnsi="Arial" w:cs="Arial" w:eastAsia="Arial"/>
        </w:rPr>
        <w:t>Equipment Defect Reporting and Management</w:t>
      </w:r>
    </w:p>
    <w:p>
      <w:pPr>
        <w:pStyle w:val="NormalNumberedtext"/>
      </w:pPr>
      <w:r>
        <w:t>This section establishes the defect tag system, quarantine process, repair and replace authority, and re-inspection requirement before return to service.</w:t>
      </w:r>
    </w:p>
    <w:p>
      <w:pPr>
        <w:pStyle w:val="NormalNumberedtext"/>
      </w:pPr>
      <w:r>
        <w:t>The project applies an isolation tag system to control defective tools and equipment from the point of identification through to repair or replacement and return to service. No defective item is returned to service without completing the steps defined in this section.</w:t>
      </w:r>
    </w:p>
    <w:p>
      <w:pPr>
        <w:pStyle w:val="NormalNumberedtext"/>
      </w:pPr>
      <w:r>
        <w:t>The defect management process applies the following steps:</w:t>
      </w:r>
    </w:p>
    <w:p>
      <w:pPr>
        <w:pStyle w:val="NormalNumberedtext"/>
      </w:pPr>
      <w:r>
        <w:t>When a defect is identified, the following steps apply in sequence:</w:t>
      </w:r>
    </w:p>
    <w:p>
      <w:pPr>
        <w:pStyle w:val="NumberedBulletL1"/>
      </w:pPr>
      <w:r>
        <w:t>The operator or supervisor removes the item from service immediately and applies an isolation tag.</w:t>
      </w:r>
    </w:p>
    <w:p>
      <w:pPr>
        <w:pStyle w:val="NormalNumberedtext"/>
      </w:pPr>
      <w:r>
        <w:rPr>
          <w:b/>
          <w:bCs/>
          <w:color w:val="0059D1"/>
        </w:rPr>
        <w:t>[INSERT: defect_tag_design]</w:t>
      </w:r>
    </w:p>
    <w:p>
      <w:pPr>
        <w:pStyle w:val="NumberedBulletL1"/>
      </w:pPr>
      <w:r>
        <w:rPr>
          <w:color w:val="C55A11"/>
        </w:rPr>
        <w:t>The tagged item is placed in the designated defective equipment quarantine area located at the main site laydown area. The item must not be used or moved from the quarantine area without authorisation.</w:t>
      </w:r>
    </w:p>
    <w:p>
      <w:pPr>
        <w:pStyle w:val="NormalNumberedtext"/>
      </w:pPr>
      <w:r>
        <w:rPr>
          <w:b/>
          <w:bCs/>
          <w:color w:val="0059D1"/>
        </w:rPr>
        <w:t>[INSERT: quarantine_area_location]</w:t>
      </w:r>
    </w:p>
    <w:p>
      <w:pPr>
        <w:pStyle w:val="NormalNumberedtext"/>
      </w:pPr>
    </w:p>
    <w:p>
      <w:pPr>
        <w:pStyle w:val="NormalNumberedtext"/>
      </w:pPr>
      <w:r>
        <w:rPr>
          <w:b/>
          <w:bCs/>
          <w:color w:val="0059D1"/>
        </w:rPr>
        <w:t>[INSERT: repair_replace_authority]</w:t>
      </w:r>
    </w:p>
    <w:p>
      <w:pPr>
        <w:pStyle w:val="NumberedBulletL1"/>
      </w:pPr>
      <w:r>
        <w:t>A re-inspection by a competent person is completed before the item is returned to service. The re-inspection confirms the defect has been rectified and the item meets the applicable standard. The item must carry a new inspection tag before being returned to service.</w:t>
      </w:r>
    </w:p>
    <w:p>
      <w:pPr>
        <w:pStyle w:val="NumberedBulletL1"/>
      </w:pPr>
      <w:r>
        <w:t>All defective equipment reports are recorded and, where the defect caused or could have caused an incident, reported per project requirements, refer [INSERT: Project Document Number].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Define the project equipment defect tag system before issue: confirm the approved tag design and material; confirm the quarantine area location; and confirm the role with authority to approve return to service. Complete all placeholders in this section.</w:t>
            </w:r>
          </w:p>
        </w:tc>
      </w:tr>
    </w:tbl>
    <w:p>
      <w:pPr>
        <w:pStyle w:val="NormalNumberedtext"/>
      </w:pPr>
    </w:p>
    <w:p>
      <w:pPr>
        <w:pStyle w:val="Heading2Numbered"/>
        <w:numPr>
          <w:ilvl w:val="1"/>
          <w:numId w:val="1"/>
        </w:numPr>
      </w:pPr>
      <w:r>
        <w:rPr>
          <w:rFonts w:ascii="Arial" w:hAnsi="Arial" w:cs="Arial" w:eastAsia="Arial"/>
        </w:rPr>
        <w:t>Tool Securing at Height</w:t>
      </w:r>
    </w:p>
    <w:p>
      <w:pPr>
        <w:pStyle w:val="NormalNumberedtext"/>
      </w:pPr>
      <w:r>
        <w:t>This section establishes the requirement to secure all tools when working at height and references the DROPS programme requirements.</w:t>
      </w:r>
    </w:p>
    <w:p>
      <w:pPr>
        <w:pStyle w:val="NormalNumberedtext"/>
      </w:pPr>
      <w:r>
        <w:t>All tools used at height must be secured using appropriate lanyards, tethering systems, or tool belts to prevent dropped objects. Tool securing is a mandatory control and applies to all personnel working at height on the project site, regardless of the duration of the task.</w:t>
      </w:r>
    </w:p>
    <w:p>
      <w:pPr>
        <w:pStyle w:val="NormalNumberedtext"/>
      </w:pPr>
      <w:r>
        <w:t>The requirements for tool securing, dropped object prevention systems, and DROPS programme compliance are defined in the Working at Height Procedure, [INSERT: Project Document Number]. This procedure does not reproduce those requirements. All personnel working at height must comply with [INSERT: Project Document Number] in full.</w:t>
      </w:r>
    </w:p>
    <w:p>
      <w:pPr>
        <w:pStyle w:val="NormalNumberedtext"/>
      </w:pPr>
      <w:r>
        <w:t>Where a task at height requires tools that are not covered by the standard tethering arrangements defined in [INSERT: Project Document Number], the work supervisor raises the matter with the HSESC team before work commences and documents an approved control in the relevant JHA. A permit is raised via the site PTW system before commencing work, refer [INSERT: Project Document Number].</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(Community) - the integrated management framework governing occupational health, safety, environmental protection and community engagement on Rio Tinto owner-led projects.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discipline and organisational function responsible for managing workplace health, safety and environmental risks.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set of instructions that specifies the manner in which an activity or process is to be performed, forming part of the HSESC management system.</w:t>
            </w:r>
          </w:p>
        </w:tc>
      </w:tr>
      <w:tr>
        <w:tc>
          <w:tcPr>
            <w:tcW w:type="dxa" w:w="4888"/>
          </w:tcPr>
          <w:p>
            <w:pPr>
              <w:pStyle w:val="TableContents"/>
              <w:spacing w:before="0" w:after="0" w:line="240" w:lineRule="atLeast"/>
            </w:pPr>
            <w:r>
              <w:rPr>
                <w:rFonts w:ascii="Arial" w:hAnsi="Arial" w:cs="Arial" w:eastAsia="Arial"/>
                <w:sz w:val="16"/>
                <w:szCs w:val="16"/>
              </w:rPr>
              <w:t>REG</w:t>
            </w:r>
          </w:p>
        </w:tc>
        <w:tc>
          <w:tcPr>
            <w:tcW w:type="dxa" w:w="4889"/>
          </w:tcPr>
          <w:p>
            <w:pPr>
              <w:pStyle w:val="TableContents"/>
              <w:spacing w:before="0" w:after="0" w:line="240" w:lineRule="atLeast"/>
            </w:pPr>
            <w:r>
              <w:rPr>
                <w:rFonts w:ascii="Arial" w:hAnsi="Arial" w:cs="Arial" w:eastAsia="Arial"/>
                <w:sz w:val="16"/>
                <w:szCs w:val="16"/>
              </w:rPr>
              <w:t>Register - a controlled document used to record, track and manage specific items, equipment, personnel or compliance data within the management system.</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owner organisation responsible for the project and accountable for the application of all project HSESC standards and procedures.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 the project-level designation applied to all documents, procedures and registers issued under the owner-led project management system.</w:t>
            </w:r>
          </w:p>
        </w:tc>
      </w:tr>
      <w:tr>
        <w:tc>
          <w:tcPr>
            <w:tcW w:type="dxa" w:w="4888"/>
          </w:tcPr>
          <w:p>
            <w:pPr>
              <w:pStyle w:val="TableContents"/>
              <w:spacing w:before="0" w:after="0" w:line="240" w:lineRule="atLeast"/>
            </w:pPr>
            <w:r>
              <w:rPr>
                <w:rFonts w:ascii="Arial" w:hAnsi="Arial" w:cs="Arial" w:eastAsia="Arial"/>
                <w:sz w:val="16"/>
                <w:szCs w:val="16"/>
              </w:rPr>
              <w:t>DROPS</w:t>
            </w:r>
          </w:p>
        </w:tc>
        <w:tc>
          <w:tcPr>
            <w:tcW w:type="dxa" w:w="4889"/>
          </w:tcPr>
          <w:p>
            <w:pPr>
              <w:pStyle w:val="TableContents"/>
              <w:spacing w:before="0" w:after="0" w:line="240" w:lineRule="atLeast"/>
            </w:pPr>
            <w:r>
              <w:rPr>
                <w:rFonts w:ascii="Arial" w:hAnsi="Arial" w:cs="Arial" w:eastAsia="Arial"/>
                <w:sz w:val="16"/>
                <w:szCs w:val="16"/>
              </w:rPr>
              <w:t>Dropped Objects Prevention Scheme - a structured programme and industry framework for identifying, assessing and controlling the risk of objects falling from height, including the tethering and securing of tools and equipment used at elevation.</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an individual to minimise exposure to hazards that could cause serious injury or illness, including items such as helmets, gloves, eye protection and fall-arrest devices.</w:t>
            </w:r>
          </w:p>
        </w:tc>
      </w:tr>
      <w:tr>
        <w:tc>
          <w:tcPr>
            <w:tcW w:type="dxa" w:w="4888"/>
          </w:tcPr>
          <w:p>
            <w:pPr>
              <w:pStyle w:val="TableContents"/>
              <w:spacing w:before="0" w:after="0" w:line="240" w:lineRule="atLeast"/>
            </w:pPr>
            <w:r>
              <w:rPr>
                <w:rFonts w:ascii="Arial" w:hAnsi="Arial" w:cs="Arial" w:eastAsia="Arial"/>
                <w:sz w:val="16"/>
                <w:szCs w:val="16"/>
              </w:rPr>
              <w:t>SWL</w:t>
            </w:r>
          </w:p>
        </w:tc>
        <w:tc>
          <w:tcPr>
            <w:tcW w:type="dxa" w:w="4889"/>
          </w:tcPr>
          <w:p>
            <w:pPr>
              <w:pStyle w:val="TableContents"/>
              <w:spacing w:before="0" w:after="0" w:line="240" w:lineRule="atLeast"/>
            </w:pPr>
            <w:r>
              <w:rPr>
                <w:rFonts w:ascii="Arial" w:hAnsi="Arial" w:cs="Arial" w:eastAsia="Arial"/>
                <w:sz w:val="16"/>
                <w:szCs w:val="16"/>
              </w:rPr>
              <w:t>Safe Working Load - the maximum load that a tool, lifting device or piece of equipment is designed to support or handle safely under specified operating conditions, as determined by the manufacturer or a competent engineer.</w:t>
            </w:r>
          </w:p>
        </w:tc>
      </w:tr>
      <w:tr>
        <w:tc>
          <w:tcPr>
            <w:tcW w:type="dxa" w:w="4888"/>
          </w:tcPr>
          <w:p>
            <w:pPr>
              <w:pStyle w:val="TableContents"/>
              <w:spacing w:before="0" w:after="0" w:line="240" w:lineRule="atLeast"/>
            </w:pPr>
            <w:r>
              <w:rPr>
                <w:rFonts w:ascii="Arial" w:hAnsi="Arial" w:cs="Arial" w:eastAsia="Arial"/>
                <w:sz w:val="16"/>
                <w:szCs w:val="16"/>
              </w:rPr>
              <w:t>TAG</w:t>
            </w:r>
          </w:p>
        </w:tc>
        <w:tc>
          <w:tcPr>
            <w:tcW w:type="dxa" w:w="4889"/>
          </w:tcPr>
          <w:p>
            <w:pPr>
              <w:pStyle w:val="TableContents"/>
              <w:spacing w:before="0" w:after="0" w:line="240" w:lineRule="atLeast"/>
            </w:pPr>
            <w:r>
              <w:rPr>
                <w:rFonts w:ascii="Arial" w:hAnsi="Arial" w:cs="Arial" w:eastAsia="Arial"/>
                <w:sz w:val="16"/>
                <w:szCs w:val="16"/>
              </w:rPr>
              <w:t>Tool and Equipment Tag - a physical identifier attached to a tool or piece of equipment that records inspection status, certification date, next due date and fitness-for-service condition, used to communicate serviceability at the point of use.</w:t>
            </w:r>
          </w:p>
        </w:tc>
      </w:tr>
      <w:tr>
        <w:tc>
          <w:tcPr>
            <w:tcW w:type="dxa" w:w="4888"/>
          </w:tcPr>
          <w:p>
            <w:pPr>
              <w:pStyle w:val="TableContents"/>
              <w:spacing w:before="0" w:after="0" w:line="240" w:lineRule="atLeast"/>
            </w:pPr>
            <w:r>
              <w:rPr>
                <w:rFonts w:ascii="Arial" w:hAnsi="Arial" w:cs="Arial" w:eastAsia="Arial"/>
                <w:sz w:val="16"/>
                <w:szCs w:val="16"/>
              </w:rPr>
              <w:t>OOC</w:t>
            </w:r>
          </w:p>
        </w:tc>
        <w:tc>
          <w:tcPr>
            <w:tcW w:type="dxa" w:w="4889"/>
          </w:tcPr>
          <w:p>
            <w:pPr>
              <w:pStyle w:val="TableContents"/>
              <w:spacing w:before="0" w:after="0" w:line="240" w:lineRule="atLeast"/>
            </w:pPr>
            <w:r>
              <w:rPr>
                <w:rFonts w:ascii="Arial" w:hAnsi="Arial" w:cs="Arial" w:eastAsia="Arial"/>
                <w:sz w:val="16"/>
                <w:szCs w:val="16"/>
              </w:rPr>
              <w:t>Out of Commission - a status designation applied to defective or non-compliant tools and equipment that have been withdrawn from service pending repair, recertification or disposal.</w:t>
            </w:r>
          </w:p>
        </w:tc>
      </w:tr>
      <w:tr>
        <w:tc>
          <w:tcPr>
            <w:tcW w:type="dxa" w:w="4888"/>
          </w:tcPr>
          <w:p>
            <w:pPr>
              <w:pStyle w:val="TableContents"/>
              <w:spacing w:before="0" w:after="0" w:line="240" w:lineRule="atLeast"/>
            </w:pPr>
            <w:r>
              <w:rPr>
                <w:rFonts w:ascii="Arial" w:hAnsi="Arial" w:cs="Arial" w:eastAsia="Arial"/>
                <w:sz w:val="16"/>
                <w:szCs w:val="16"/>
              </w:rPr>
              <w:t>WAH</w:t>
            </w:r>
          </w:p>
        </w:tc>
        <w:tc>
          <w:tcPr>
            <w:tcW w:type="dxa" w:w="4889"/>
          </w:tcPr>
          <w:p>
            <w:pPr>
              <w:pStyle w:val="TableContents"/>
              <w:spacing w:before="0" w:after="0" w:line="240" w:lineRule="atLeast"/>
            </w:pPr>
            <w:r>
              <w:rPr>
                <w:rFonts w:ascii="Arial" w:hAnsi="Arial" w:cs="Arial" w:eastAsia="Arial"/>
                <w:sz w:val="16"/>
                <w:szCs w:val="16"/>
              </w:rPr>
              <w:t>Working at Height - any work activity performed at an elevation where a person or object could fall a distance liable to cause personal injury or where dropped objects could cause injury to persons below.</w:t>
            </w:r>
          </w:p>
        </w:tc>
      </w:tr>
      <w:tr>
        <w:tc>
          <w:tcPr>
            <w:tcW w:type="dxa" w:w="4888"/>
          </w:tcPr>
          <w:p>
            <w:pPr>
              <w:pStyle w:val="TableContents"/>
              <w:spacing w:before="0" w:after="0" w:line="240" w:lineRule="atLeast"/>
            </w:pPr>
            <w:r>
              <w:rPr>
                <w:rFonts w:ascii="Arial" w:hAnsi="Arial" w:cs="Arial" w:eastAsia="Arial"/>
                <w:sz w:val="16"/>
                <w:szCs w:val="16"/>
              </w:rPr>
              <w:t>ITP</w:t>
            </w:r>
          </w:p>
        </w:tc>
        <w:tc>
          <w:tcPr>
            <w:tcW w:type="dxa" w:w="4889"/>
          </w:tcPr>
          <w:p>
            <w:pPr>
              <w:pStyle w:val="TableContents"/>
              <w:spacing w:before="0" w:after="0" w:line="240" w:lineRule="atLeast"/>
            </w:pPr>
            <w:r>
              <w:rPr>
                <w:rFonts w:ascii="Arial" w:hAnsi="Arial" w:cs="Arial" w:eastAsia="Arial"/>
                <w:sz w:val="16"/>
                <w:szCs w:val="16"/>
              </w:rPr>
              <w:t>Inspection and Test Plan - a document that specifies the inspection activities, hold points, witness points, acceptance criteria and responsible parties required to verify that equipment meets specified requirements before being placed into service.</w:t>
            </w:r>
          </w:p>
        </w:tc>
      </w:tr>
      <w:tr>
        <w:tc>
          <w:tcPr>
            <w:tcW w:type="dxa" w:w="4888"/>
          </w:tcPr>
          <w:p>
            <w:pPr>
              <w:pStyle w:val="TableContents"/>
              <w:spacing w:before="0" w:after="0" w:line="240" w:lineRule="atLeast"/>
            </w:pPr>
            <w:r>
              <w:rPr>
                <w:rFonts w:ascii="Arial" w:hAnsi="Arial" w:cs="Arial" w:eastAsia="Arial"/>
                <w:sz w:val="16"/>
                <w:szCs w:val="16"/>
              </w:rPr>
              <w:t>NCR</w:t>
            </w:r>
          </w:p>
        </w:tc>
        <w:tc>
          <w:tcPr>
            <w:tcW w:type="dxa" w:w="4889"/>
          </w:tcPr>
          <w:p>
            <w:pPr>
              <w:pStyle w:val="TableContents"/>
              <w:spacing w:before="0" w:after="0" w:line="240" w:lineRule="atLeast"/>
            </w:pPr>
            <w:r>
              <w:rPr>
                <w:rFonts w:ascii="Arial" w:hAnsi="Arial" w:cs="Arial" w:eastAsia="Arial"/>
                <w:sz w:val="16"/>
                <w:szCs w:val="16"/>
              </w:rPr>
              <w:t>Non-Conformance Report - a formal record raised when a tool, piece of equipment or associated process fails to meet specified requirements, triggering corrective action and defect management processes.</w:t>
            </w:r>
          </w:p>
        </w:tc>
      </w:tr>
      <w:tr>
        <w:tc>
          <w:tcPr>
            <w:tcW w:type="dxa" w:w="4888"/>
          </w:tcPr>
          <w:p>
            <w:pPr>
              <w:pStyle w:val="TableContents"/>
              <w:spacing w:before="0" w:after="0" w:line="240" w:lineRule="atLeast"/>
            </w:pPr>
            <w:r>
              <w:rPr>
                <w:rFonts w:ascii="Arial" w:hAnsi="Arial" w:cs="Arial" w:eastAsia="Arial"/>
                <w:sz w:val="16"/>
                <w:szCs w:val="16"/>
              </w:rPr>
              <w:t>CAPA</w:t>
            </w:r>
          </w:p>
        </w:tc>
        <w:tc>
          <w:tcPr>
            <w:tcW w:type="dxa" w:w="4889"/>
          </w:tcPr>
          <w:p>
            <w:pPr>
              <w:pStyle w:val="TableContents"/>
              <w:spacing w:before="0" w:after="0" w:line="240" w:lineRule="atLeast"/>
            </w:pPr>
            <w:r>
              <w:rPr>
                <w:rFonts w:ascii="Arial" w:hAnsi="Arial" w:cs="Arial" w:eastAsia="Arial"/>
                <w:sz w:val="16"/>
                <w:szCs w:val="16"/>
              </w:rPr>
              <w:t>Corrective Action and Preventive Action - a systematic process used within incident and defect management to identify root causes of non-conformances and implement measures to prevent recurrence.</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Working at Height Procedure (including DROPS Programme - tool securing at height)</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 (equipment inspection competency requirements)</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 (defective equipment incidents and reporting)</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Electrical Equipment Register (quarterly inspection records)</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(Consequence and Likelihood Criteria)</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Dropped Objects Prevention Scheme - Industry Guidelines and Best Practice Framework</w:t>
            </w:r>
          </w:p>
        </w:tc>
        <w:tc>
          <w:tcPr>
            <w:tcW w:type="dxa" w:w="3259"/>
          </w:tcPr>
          <w:p>
            <w:pPr>
              <w:pStyle w:val="TableContents"/>
              <w:spacing w:before="0" w:after="0" w:line="240" w:lineRule="atLeast"/>
            </w:pPr>
            <w:r>
              <w:rPr>
                <w:rFonts w:ascii="Arial" w:hAnsi="Arial" w:cs="Arial" w:eastAsia="Arial"/>
                <w:sz w:val="16"/>
                <w:szCs w:val="16"/>
              </w:rPr>
              <w:t>DROPS Guidelines (current edition)</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AS/NZS 4600 - Cold-Formed Steel Structures (applicable to tool and equipment fabrication standards where relevant)</w:t>
            </w:r>
          </w:p>
        </w:tc>
        <w:tc>
          <w:tcPr>
            <w:tcW w:type="dxa" w:w="3259"/>
          </w:tcPr>
          <w:p>
            <w:pPr>
              <w:pStyle w:val="TableContents"/>
              <w:spacing w:before="0" w:after="0" w:line="240" w:lineRule="atLeast"/>
            </w:pPr>
            <w:r>
              <w:rPr>
                <w:rFonts w:ascii="Arial" w:hAnsi="Arial" w:cs="Arial" w:eastAsia="Arial"/>
                <w:sz w:val="16"/>
                <w:szCs w:val="16"/>
              </w:rPr>
              <w:t>AS/NZS 4600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AS/NZS 3000 - Wiring Rules (Electrical Installations) - applicable to electrical tool inspection and compliance</w:t>
            </w:r>
          </w:p>
        </w:tc>
        <w:tc>
          <w:tcPr>
            <w:tcW w:type="dxa" w:w="3259"/>
          </w:tcPr>
          <w:p>
            <w:pPr>
              <w:pStyle w:val="TableContents"/>
              <w:spacing w:before="0" w:after="0" w:line="240" w:lineRule="atLeast"/>
            </w:pPr>
            <w:r>
              <w:rPr>
                <w:rFonts w:ascii="Arial" w:hAnsi="Arial" w:cs="Arial" w:eastAsia="Arial"/>
                <w:sz w:val="16"/>
                <w:szCs w:val="16"/>
              </w:rPr>
              <w:t>AS/NZS 3000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45001 - Occupational Health and Safety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§61.1</w:t>
            </w:r>
          </w:p>
        </w:tc>
        <w:tc>
          <w:tcPr>
            <w:tcW w:type="dxa" w:w="2256"/>
          </w:tcPr>
          <w:p>
            <w:pPr>
              <w:pStyle w:val="TableContents"/>
              <w:spacing w:before="0" w:after="0" w:line="240" w:lineRule="atLeast"/>
            </w:pPr>
            <w:r>
              <w:rPr>
                <w:rFonts w:ascii="Arial" w:hAnsi="Arial" w:cs="Arial" w:eastAsia="Arial"/>
                <w:sz w:val="16"/>
                <w:szCs w:val="16"/>
              </w:rPr>
              <w:t>Requires all lifting equipment to hold valid test certificates and all portable electrical equipment to be inspected and tagged quarterly by a certified electrician, with records maintained in a register.</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§61.2.1</w:t>
            </w:r>
          </w:p>
        </w:tc>
        <w:tc>
          <w:tcPr>
            <w:tcW w:type="dxa" w:w="2256"/>
          </w:tcPr>
          <w:p>
            <w:pPr>
              <w:pStyle w:val="TableContents"/>
              <w:spacing w:before="0" w:after="0" w:line="240" w:lineRule="atLeast"/>
            </w:pPr>
            <w:r>
              <w:rPr>
                <w:rFonts w:ascii="Arial" w:hAnsi="Arial" w:cs="Arial" w:eastAsia="Arial"/>
                <w:sz w:val="16"/>
                <w:szCs w:val="16"/>
              </w:rPr>
              <w:t>Prohibits specific tools and equipment on project sites under any circumstances, including improvised tools, over-centre binders, 9-inch angle grinders, sit harnesses, Saferight auto-stop rope descenders, and manual torque multipliers.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§61.2.2</w:t>
            </w:r>
          </w:p>
        </w:tc>
        <w:tc>
          <w:tcPr>
            <w:tcW w:type="dxa" w:w="2256"/>
          </w:tcPr>
          <w:p>
            <w:pPr>
              <w:pStyle w:val="TableContents"/>
              <w:spacing w:before="0" w:after="0" w:line="240" w:lineRule="atLeast"/>
            </w:pPr>
            <w:r>
              <w:rPr>
                <w:rFonts w:ascii="Arial" w:hAnsi="Arial" w:cs="Arial" w:eastAsia="Arial"/>
                <w:sz w:val="16"/>
                <w:szCs w:val="16"/>
              </w:rPr>
              <w:t>Restricts certain items from use without documented project owner approval, including open-bladed knives, powered nail guns, hydro blasting equipment, personal music devices with headphones, handheld demolition saws, double-pointed podgy bars, and hardened steel sledgehammers.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§2.1</w:t>
            </w:r>
          </w:p>
        </w:tc>
        <w:tc>
          <w:tcPr>
            <w:tcW w:type="dxa" w:w="2256"/>
          </w:tcPr>
          <w:p>
            <w:pPr>
              <w:pStyle w:val="TableContents"/>
              <w:spacing w:before="0" w:after="0" w:line="240" w:lineRule="atLeast"/>
            </w:pPr>
            <w:r>
              <w:rPr>
                <w:rFonts w:ascii="Arial" w:hAnsi="Arial" w:cs="Arial" w:eastAsia="Arial"/>
                <w:sz w:val="16"/>
                <w:szCs w:val="16"/>
              </w:rPr>
              <w:t>Requires a systematic pre-use inspection process for all safety-critical tools and equipment and a defect management process that removes unsafe items from service immediately.</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