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Legal and Other Requirements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Legal and Other Requirements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governs how the owner-led project identifies, accesses, communicates, and monitors compliance with all applicable legal and HSESC obligations across all project locations and lifecycle phases. In the owner-led model RT holds direct legal responsibility and cannot delegate compliance accountability — this procedure establishes how that accountability is exercised across all project participants.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legal and other requirements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Scope and Register</w:t>
      </w:r>
    </w:p>
    <w:p>
      <w:pPr>
        <w:pStyle w:val="NormalNumberedtext"/>
      </w:pPr>
      <w:r>
        <w:t>This section defines the purpose of this procedure, the jurisdictions and obligations within scope, and the structure and submission requirements for the Legal and Other Requirements Register.</w:t>
      </w:r>
    </w:p>
    <w:p>
      <w:pPr>
        <w:pStyle w:val="Heading2Numbered"/>
      </w:pPr>
      <w:r>
        <w:t>3.1  Purpose of This Document</w:t>
      </w:r>
    </w:p>
    <w:p>
      <w:pPr>
        <w:pStyle w:val="NormalNumberedtext"/>
      </w:pPr>
      <w:r>
        <w:t>This section states the purpose of this procedure and the compliance management obligations it establishes for the project.</w:t>
      </w:r>
    </w:p>
    <w:p>
      <w:pPr>
        <w:pStyle w:val="NormalNumberedtext"/>
      </w:pPr>
      <w:r>
        <w:t>This procedure defines the method for continuously identifying, tracking, and updating regulatory requirements across all locations where Work is performed. It establishes the Legal and Other Requirements Register (RTPR-HSE-REG-0001) as the primary compliance management tool for the project.</w:t>
      </w:r>
    </w:p>
    <w:p>
      <w:pPr>
        <w:pStyle w:val="NormalNumberedtext"/>
      </w:pPr>
      <w:r>
        <w:t>This project commits to full compliance with all applicable national and international laws, regulations, and other requirements to which the organisation subscribes, including voluntary commitments. This commitment applies to all Rio Tinto personnel and all contractor organisations working under the project management system.</w:t>
      </w:r>
    </w:p>
    <w:p>
      <w:pPr>
        <w:pStyle w:val="NormalNumberedtext"/>
      </w:pPr>
      <w:r>
        <w:t>This procedure meets the following purpose requirements:</w:t>
      </w:r>
    </w:p>
    <w:p>
      <w:pPr>
        <w:pStyle w:val="NormalNumberedtext"/>
      </w:pPr>
      <w:r>
        <w:t>This procedure applies to:</w:t>
      </w:r>
    </w:p>
    <w:p>
      <w:pPr>
        <w:pStyle w:val="NumberedBulletL1"/>
      </w:pPr>
      <w:r>
        <w:t>All Rio Tinto personnel, contractor organisations, and subcontractors performing Work under the project management system.</w:t>
      </w:r>
    </w:p>
    <w:p>
      <w:pPr>
        <w:pStyle w:val="NumberedBulletL1"/>
      </w:pPr>
      <w:r>
        <w:t>All jurisdictions in which the project operates, covering federal, state or territory, and local government levels.</w:t>
      </w:r>
    </w:p>
    <w:p>
      <w:pPr>
        <w:pStyle w:val="NumberedBulletL1"/>
      </w:pPr>
      <w:r>
        <w:t>All project lifecycle phases from Execution through to Handover.</w:t>
      </w:r>
    </w:p>
    <w:p>
      <w:pPr>
        <w:pStyle w:val="Heading2Numbered"/>
      </w:pPr>
      <w:r>
        <w:t>3.2  Legal and Other Requirements Register</w:t>
      </w:r>
    </w:p>
    <w:p>
      <w:pPr>
        <w:pStyle w:val="NormalNumberedtext"/>
      </w:pPr>
      <w:r>
        <w:t>This section defines the structure, content, and submission requirements for the Legal and Other Requirements Register.</w:t>
      </w:r>
    </w:p>
    <w:p>
      <w:pPr>
        <w:pStyle w:val="NormalNumberedtext"/>
      </w:pPr>
      <w:r>
        <w:t>The Legal and Other Requirements Register (RTPR-HSE-REG-0001) is the project record of all binding compliance obligations. The register format, version control, and retention requirements are governed by the Document Control Procedure (RTPR-HSE-PRO-0010) and the Records Management Procedure (RTPR-HSE-PRO-0043).</w:t>
      </w:r>
    </w:p>
    <w:p>
      <w:pPr>
        <w:pStyle w:val="NormalNumberedtext"/>
      </w:pPr>
      <w:r>
        <w:t>The register must be submitted to the relevant project authority within 30 days of the Effective Date. Roles and responsibilities for compliance are clearly defined within the register for every applicable obligation, identifying the accountable role, the action required, and the frequency of review.</w:t>
      </w:r>
    </w:p>
    <w:p>
      <w:pPr>
        <w:pStyle w:val="NormalNumberedtext"/>
      </w:pPr>
      <w:r>
        <w:t>The register captures all applicable categories of legal and other requirements as listed below:</w:t>
      </w:r>
    </w:p>
    <w:p>
      <w:pPr>
        <w:pStyle w:val="NormalNumberedtext"/>
      </w:pPr>
      <w:r>
        <w:t>The register includes at minimum:</w:t>
      </w:r>
    </w:p>
    <w:p>
      <w:pPr>
        <w:pStyle w:val="NumberedBulletL1"/>
      </w:pPr>
      <w:r>
        <w:t>Applicable federal, state or territory, and local government legislation, regulations, and standards for each project jurisdiction.</w:t>
      </w:r>
    </w:p>
    <w:p>
      <w:pPr>
        <w:pStyle w:val="NumberedBulletL1"/>
      </w:pPr>
      <w:r>
        <w:t>All permits, approvals, and conditions of consent issued to the project.</w:t>
      </w:r>
    </w:p>
    <w:p>
      <w:pPr>
        <w:pStyle w:val="NumberedBulletL1"/>
      </w:pPr>
      <w:r>
        <w:t>All commitments made through Environmental and Social Impact Assessment processes, which carry equal standing to legislation and are tracked as binding obligations throughout the project lifecycle.</w:t>
      </w:r>
    </w:p>
    <w:p>
      <w:pPr>
        <w:pStyle w:val="NumberedBulletL1"/>
      </w:pPr>
      <w:r>
        <w:t>Applicable occupational health and safety legislation for the project jurisdiction, with senior management accountability for register currency clearly assigned.</w:t>
      </w:r>
    </w:p>
    <w:p>
      <w:pPr>
        <w:pStyle w:val="NumberedBulletL1"/>
      </w:pPr>
      <w:r>
        <w:t>IFC Performance Standards and World Bank EHS Guidelines where host country laws and regulations are less stringent — the more stringent requirement is documented in the register as the project standard.</w:t>
      </w:r>
    </w:p>
    <w:p>
      <w:pPr>
        <w:pStyle w:val="NumberedBulletL1"/>
      </w:pPr>
      <w:r>
        <w:t>Voluntary commitments and industry codes to which the organisation subscribes.</w:t>
      </w:r>
    </w:p>
    <w:tbl>
      <w:tblPr>
        <w:tblStyle w:val="TableOption1"/>
        <w:tblW w:type="pct" w:w="5000"/>
      </w:tblPr>
      <w:tr>
        <w:tc>
          <w:tcPr>
            <w:shd w:val="clear" w:color="auto" w:fill="FFF2CC"/>
          </w:tcPr>
          <w:p>
            <w:pPr>
              <w:pStyle w:val="Instructions"/>
            </w:pPr>
            <w:r>
              <w:rPr>
                <w:b/>
                <w:bCs/>
                <w:color w:val="C55A11"/>
              </w:rPr>
              <w:t>PROJECT COMPLETION GUIDANCE 1: Identify and list all jurisdictions in which this project operates and insert into the register template (RTPR-HSE-REG-0001). Consider federal, state or territory, and local government levels.</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GUIDANCE 5: Insert the project-specific submission timeline for the initial register to the project owner — check the project Deliverables Schedule (RTPR-HSE-REG-0002).</w:t>
            </w:r>
          </w:p>
        </w:tc>
      </w:tr>
    </w:tbl>
    <w:p>
      <w:pPr>
        <w:pStyle w:val="Default"/>
      </w:pPr>
    </w:p>
    <w:p>
      <w:pPr>
        <w:pStyle w:val="NormalNumberedtext"/>
      </w:pPr>
      <w:r>
        <w:t>The project jurisdictions and initial register submission date are confirmed below:</w:t>
      </w:r>
    </w:p>
    <w:p>
      <w:pPr>
        <w:pStyle w:val="NormalNumberedtext"/>
      </w:pPr>
      <w:r>
        <w:t>Table 1: Project Jurisdictions and Register Submission</w:t>
      </w:r>
    </w:p>
    <w:tbl>
      <w:tblPr>
        <w:tblStyle w:val="TableOption2"/>
        <w:tblW w:type="pct" w:w="5000"/>
      </w:tblPr>
      <w:tr>
        <w:trPr>
          <w:tblHeader/>
        </w:trPr>
        <w:tc>
          <w:tcPr>
            <w:shd w:val="clear" w:color="auto" w:fill="1F3864"/>
          </w:tcPr>
          <w:p>
            <w:pPr>
              <w:pStyle w:val="TableContents"/>
            </w:pPr>
            <w:r>
              <w:rPr>
                <w:b/>
                <w:bCs/>
                <w:color w:val="FFFFFF"/>
              </w:rPr>
              <w:t>Jurisdiction Level</w:t>
            </w:r>
          </w:p>
        </w:tc>
        <w:tc>
          <w:tcPr>
            <w:shd w:val="clear" w:color="auto" w:fill="1F3864"/>
          </w:tcPr>
          <w:p>
            <w:pPr>
              <w:pStyle w:val="TableContents"/>
            </w:pPr>
            <w:r>
              <w:rPr>
                <w:b/>
                <w:bCs/>
                <w:color w:val="FFFFFF"/>
              </w:rPr>
              <w:t>Jurisdiction Name</w:t>
            </w:r>
          </w:p>
        </w:tc>
        <w:tc>
          <w:tcPr>
            <w:shd w:val="clear" w:color="auto" w:fill="1F3864"/>
          </w:tcPr>
          <w:p>
            <w:pPr>
              <w:pStyle w:val="TableContents"/>
            </w:pPr>
            <w:r>
              <w:rPr>
                <w:b/>
                <w:bCs/>
                <w:color w:val="FFFFFF"/>
              </w:rPr>
              <w:t>Applicable Regulatory Bodies</w:t>
            </w:r>
          </w:p>
        </w:tc>
        <w:tc>
          <w:tcPr>
            <w:shd w:val="clear" w:color="auto" w:fill="1F3864"/>
          </w:tcPr>
          <w:p>
            <w:pPr>
              <w:pStyle w:val="TableContents"/>
            </w:pPr>
            <w:r>
              <w:rPr>
                <w:b/>
                <w:bCs/>
                <w:color w:val="FFFFFF"/>
              </w:rPr>
              <w:t>Initial Register Submission Date</w:t>
            </w:r>
          </w:p>
        </w:tc>
      </w:tr>
      <w:tr>
        <w:tc>
          <w:tcPr/>
          <w:p>
            <w:pPr>
              <w:pStyle w:val="TableContents"/>
            </w:pPr>
            <w:r>
              <w:t>Federal</w:t>
            </w:r>
          </w:p>
        </w:tc>
        <w:tc>
          <w:tcPr/>
          <w:p>
            <w:pPr>
              <w:pStyle w:val="TableContents"/>
            </w:pPr>
            <w:r>
              <w:rPr>
                <w:b/>
                <w:bCs/>
                <w:color w:val="0059D1"/>
              </w:rPr>
              <w:t>[INSERT: jurisdiction name]</w:t>
            </w:r>
          </w:p>
        </w:tc>
        <w:tc>
          <w:tcPr/>
          <w:p>
            <w:pPr>
              <w:pStyle w:val="TableContents"/>
            </w:pPr>
            <w:r>
              <w:rPr>
                <w:b/>
                <w:bCs/>
                <w:color w:val="0059D1"/>
              </w:rPr>
              <w:t>[INSERT: regulatory bodies]</w:t>
            </w:r>
          </w:p>
        </w:tc>
        <w:tc>
          <w:tcPr/>
          <w:p>
            <w:pPr>
              <w:pStyle w:val="TableContents"/>
            </w:pPr>
            <w:r>
              <w:rPr>
                <w:b/>
                <w:bCs/>
                <w:color w:val="0059D1"/>
              </w:rPr>
              <w:t>[INSERT: submission date]</w:t>
            </w:r>
          </w:p>
        </w:tc>
      </w:tr>
      <w:tr>
        <w:tc>
          <w:tcPr/>
          <w:p>
            <w:pPr>
              <w:pStyle w:val="TableContents"/>
            </w:pPr>
            <w:r>
              <w:t>State or Territory</w:t>
            </w:r>
          </w:p>
        </w:tc>
        <w:tc>
          <w:tcPr/>
          <w:p>
            <w:pPr>
              <w:pStyle w:val="TableContents"/>
            </w:pPr>
            <w:r>
              <w:rPr>
                <w:b/>
                <w:bCs/>
                <w:color w:val="0059D1"/>
              </w:rPr>
              <w:t>[INSERT: jurisdiction name]</w:t>
            </w:r>
          </w:p>
        </w:tc>
        <w:tc>
          <w:tcPr/>
          <w:p>
            <w:pPr>
              <w:pStyle w:val="TableContents"/>
            </w:pPr>
            <w:r>
              <w:rPr>
                <w:b/>
                <w:bCs/>
                <w:color w:val="0059D1"/>
              </w:rPr>
              <w:t>[INSERT: regulatory bodies]</w:t>
            </w:r>
          </w:p>
        </w:tc>
        <w:tc>
          <w:tcPr/>
          <w:p>
            <w:pPr>
              <w:pStyle w:val="TableContents"/>
            </w:pPr>
            <w:r>
              <w:rPr>
                <w:b/>
                <w:bCs/>
                <w:color w:val="0059D1"/>
              </w:rPr>
              <w:t>[INSERT: submission date]</w:t>
            </w:r>
          </w:p>
        </w:tc>
      </w:tr>
      <w:tr>
        <w:tc>
          <w:tcPr/>
          <w:p>
            <w:pPr>
              <w:pStyle w:val="TableContents"/>
            </w:pPr>
            <w:r>
              <w:t>Local Government</w:t>
            </w:r>
          </w:p>
        </w:tc>
        <w:tc>
          <w:tcPr/>
          <w:p>
            <w:pPr>
              <w:pStyle w:val="TableContents"/>
            </w:pPr>
            <w:r>
              <w:rPr>
                <w:b/>
                <w:bCs/>
                <w:color w:val="0059D1"/>
              </w:rPr>
              <w:t>[INSERT: jurisdiction name]</w:t>
            </w:r>
          </w:p>
        </w:tc>
        <w:tc>
          <w:tcPr/>
          <w:p>
            <w:pPr>
              <w:pStyle w:val="TableContents"/>
            </w:pPr>
            <w:r>
              <w:rPr>
                <w:b/>
                <w:bCs/>
                <w:color w:val="0059D1"/>
              </w:rPr>
              <w:t>[INSERT: regulatory bodies]</w:t>
            </w:r>
          </w:p>
        </w:tc>
        <w:tc>
          <w:tcPr/>
          <w:p>
            <w:pPr>
              <w:pStyle w:val="TableContents"/>
            </w:pPr>
            <w:r>
              <w:rPr>
                <w:b/>
                <w:bCs/>
                <w:color w:val="0059D1"/>
              </w:rPr>
              <w:t>[INSERT: submission date]</w:t>
            </w:r>
          </w:p>
        </w:tc>
      </w:tr>
    </w:tbl>
    <w:p>
      <w:pPr>
        <w:pStyle w:val="Default"/>
      </w:pPr>
    </w:p>
    <w:p>
      <w:pPr>
        <w:pStyle w:val="NormalNumberedtext"/>
      </w:pPr>
      <w:r>
        <w:t>The role accountable for maintaining the register and ensuring its currency is assigned below. This role has the authority and seniority to ensure identified compliance obligations are actioned within defined timeframes.</w:t>
      </w:r>
    </w:p>
    <w:tbl>
      <w:tblPr>
        <w:tblStyle w:val="TableOption1"/>
        <w:tblW w:type="pct" w:w="5000"/>
      </w:tblPr>
      <w:tr>
        <w:tc>
          <w:tcPr>
            <w:shd w:val="clear" w:color="auto" w:fill="FFF2CC"/>
          </w:tcPr>
          <w:p>
            <w:pPr>
              <w:pStyle w:val="Instructions"/>
            </w:pPr>
            <w:r>
              <w:rPr>
                <w:b/>
                <w:bCs/>
                <w:color w:val="C55A11"/>
              </w:rPr>
              <w:t>PROJECT COMPLETION GUIDANCE 4: Identify the role responsible for maintaining the register by name and position title for this project.</w:t>
            </w:r>
          </w:p>
        </w:tc>
      </w:tr>
    </w:tbl>
    <w:p>
      <w:pPr>
        <w:pStyle w:val="Default"/>
      </w:pPr>
    </w:p>
    <w:p>
      <w:pPr>
        <w:pStyle w:val="NormalNumberedtext"/>
      </w:pPr>
      <w:r>
        <w:t>Table 2: Register Accountability</w:t>
      </w:r>
    </w:p>
    <w:tbl>
      <w:tblPr>
        <w:tblStyle w:val="TableOption2"/>
        <w:tblW w:type="pct" w:w="5000"/>
      </w:tblPr>
      <w:tr>
        <w:trPr>
          <w:tblHeader/>
        </w:trPr>
        <w:tc>
          <w:tcPr>
            <w:shd w:val="clear" w:color="auto" w:fill="1F3864"/>
          </w:tcPr>
          <w:p>
            <w:pPr>
              <w:pStyle w:val="TableContents"/>
            </w:pPr>
            <w:r>
              <w:rPr>
                <w:b/>
                <w:bCs/>
                <w:color w:val="FFFFFF"/>
              </w:rPr>
              <w:t>Responsibility</w:t>
            </w:r>
          </w:p>
        </w:tc>
        <w:tc>
          <w:tcPr>
            <w:shd w:val="clear" w:color="auto" w:fill="1F3864"/>
          </w:tcPr>
          <w:p>
            <w:pPr>
              <w:pStyle w:val="TableContents"/>
            </w:pPr>
            <w:r>
              <w:rPr>
                <w:b/>
                <w:bCs/>
                <w:color w:val="FFFFFF"/>
              </w:rPr>
              <w:t>Role Title</w:t>
            </w:r>
          </w:p>
        </w:tc>
        <w:tc>
          <w:tcPr>
            <w:shd w:val="clear" w:color="auto" w:fill="1F3864"/>
          </w:tcPr>
          <w:p>
            <w:pPr>
              <w:pStyle w:val="TableContents"/>
            </w:pPr>
            <w:r>
              <w:rPr>
                <w:b/>
                <w:bCs/>
                <w:color w:val="FFFFFF"/>
              </w:rPr>
              <w:t>Name</w:t>
            </w:r>
          </w:p>
        </w:tc>
      </w:tr>
      <w:tr>
        <w:tc>
          <w:tcPr/>
          <w:p>
            <w:pPr>
              <w:pStyle w:val="TableContents"/>
            </w:pPr>
            <w:r>
              <w:t>Register Owner — accountable for currency, review, and escalation</w:t>
            </w:r>
          </w:p>
        </w:tc>
        <w:tc>
          <w:tcPr/>
          <w:p>
            <w:pPr>
              <w:pStyle w:val="TableContents"/>
            </w:pPr>
            <w:r>
              <w:rPr>
                <w:b/>
                <w:bCs/>
                <w:color w:val="0059D1"/>
              </w:rPr>
              <w:t>[INSERT: position title]</w:t>
            </w:r>
          </w:p>
        </w:tc>
        <w:tc>
          <w:tcPr/>
          <w:p>
            <w:pPr>
              <w:pStyle w:val="TableContents"/>
            </w:pPr>
            <w:r>
              <w:rPr>
                <w:b/>
                <w:bCs/>
                <w:color w:val="0059D1"/>
              </w:rPr>
              <w:t>[INSERT: name]</w:t>
            </w:r>
          </w:p>
        </w:tc>
      </w:tr>
      <w:tr>
        <w:tc>
          <w:tcPr/>
          <w:p>
            <w:pPr>
              <w:pStyle w:val="TableContents"/>
            </w:pPr>
            <w:r>
              <w:t>Senior Management Sign-off — accountable for occupational health and safety legislative coverage</w:t>
            </w:r>
          </w:p>
        </w:tc>
        <w:tc>
          <w:tcPr/>
          <w:p>
            <w:pPr>
              <w:pStyle w:val="TableContents"/>
            </w:pPr>
            <w:r>
              <w:rPr>
                <w:b/>
                <w:bCs/>
                <w:color w:val="0059D1"/>
              </w:rPr>
              <w:t>[INSERT: position title]</w:t>
            </w:r>
          </w:p>
        </w:tc>
        <w:tc>
          <w:tcPr/>
          <w:p>
            <w:pPr>
              <w:pStyle w:val="TableContents"/>
            </w:pPr>
            <w:r>
              <w:rPr>
                <w:b/>
                <w:bCs/>
                <w:color w:val="0059D1"/>
              </w:rPr>
              <w:t>[INSERT: name]</w:t>
            </w:r>
          </w:p>
        </w:tc>
      </w:tr>
    </w:tbl>
    <w:p>
      <w:pPr>
        <w:pStyle w:val="Default"/>
      </w:pPr>
    </w:p>
    <w:p>
      <w:pPr>
        <w:pStyle w:val="Heading1Numbered"/>
      </w:pPr>
      <w:r>
        <w:t>4  Monitoring and Updating</w:t>
      </w:r>
    </w:p>
    <w:p>
      <w:pPr>
        <w:pStyle w:val="NormalNumberedtext"/>
      </w:pPr>
      <w:r>
        <w:t>This section defines the process for continuously monitoring regulatory changes, the minimum review frequency, and the escalation thresholds that apply when non-compliance is identified.</w:t>
      </w:r>
    </w:p>
    <w:p>
      <w:pPr>
        <w:pStyle w:val="Heading2Numbered"/>
      </w:pPr>
      <w:r>
        <w:t>4.1  Regulatory Monitoring Process</w:t>
      </w:r>
    </w:p>
    <w:p>
      <w:pPr>
        <w:pStyle w:val="NormalNumberedtext"/>
      </w:pPr>
      <w:r>
        <w:t>This section defines the mechanisms used to detect regulatory changes and the conditions that trigger a register update.</w:t>
      </w:r>
    </w:p>
    <w:p>
      <w:pPr>
        <w:pStyle w:val="NormalNumberedtext"/>
      </w:pPr>
      <w:r>
        <w:t>The project maintains a continuous process for monitoring regulatory changes that may affect the Legal and Other Requirements Register. The Register Owner defined in Table 2 is accountable for operating this monitoring process and for ensuring detected changes are reflected in the register within the timeframes defined in this section.</w:t>
      </w:r>
    </w:p>
    <w:p>
      <w:pPr>
        <w:pStyle w:val="NormalNumberedtext"/>
      </w:pPr>
      <w:r>
        <w:t>The monitoring process uses the following mechanisms:</w:t>
      </w:r>
    </w:p>
    <w:p>
      <w:pPr>
        <w:pStyle w:val="NormalNumberedtext"/>
      </w:pPr>
      <w:r>
        <w:t>Regulatory monitoring mechanisms include:</w:t>
      </w:r>
    </w:p>
    <w:p>
      <w:pPr>
        <w:pStyle w:val="NumberedBulletL1"/>
      </w:pPr>
      <w:r>
        <w:rPr>
          <w:color w:val="C55A11"/>
        </w:rPr>
        <w:t>Subscription to government gazette notification services covering all project jurisdictions identified in Table 1.</w:t>
      </w:r>
    </w:p>
    <w:p>
      <w:pPr>
        <w:pStyle w:val="NumberedBulletL1"/>
      </w:pPr>
      <w:r>
        <w:rPr>
          <w:color w:val="C55A11"/>
        </w:rPr>
        <w:t>Engagement with legal counsel specialising in the applicable regulatory domains for the project jurisdiction.</w:t>
      </w:r>
    </w:p>
    <w:p>
      <w:pPr>
        <w:pStyle w:val="NumberedBulletL1"/>
      </w:pPr>
      <w:r>
        <w:rPr>
          <w:color w:val="C55A11"/>
        </w:rPr>
        <w:t>Participation in relevant industry body notification channels, including peak body memberships applicable to the project.</w:t>
      </w:r>
    </w:p>
    <w:p>
      <w:pPr>
        <w:pStyle w:val="NumberedBulletL1"/>
      </w:pPr>
      <w:r>
        <w:rPr>
          <w:b/>
          <w:bCs/>
          <w:color w:val="0059D1"/>
        </w:rPr>
        <w:t>[INSERT: project_monitoring_mechanism]</w:t>
      </w:r>
    </w:p>
    <w:tbl>
      <w:tblPr>
        <w:tblStyle w:val="TableOption1"/>
        <w:tblW w:type="pct" w:w="5000"/>
      </w:tblPr>
      <w:tr>
        <w:tc>
          <w:tcPr>
            <w:shd w:val="clear" w:color="auto" w:fill="FFF2CC"/>
          </w:tcPr>
          <w:p>
            <w:pPr>
              <w:pStyle w:val="Instructions"/>
            </w:pPr>
            <w:r>
              <w:rPr>
                <w:b/>
                <w:bCs/>
                <w:color w:val="C55A11"/>
              </w:rPr>
              <w:t>PROJECT COMPLETION GUIDANCE 2: Define the specific monitoring mechanism to be used for this project — for example, the named subscription service, legal counsel engagement arrangement, and peak body memberships. The procedure states a process is required but the specific service is a project decision.</w:t>
            </w:r>
          </w:p>
        </w:tc>
      </w:tr>
    </w:tbl>
    <w:p>
      <w:pPr>
        <w:pStyle w:val="Default"/>
      </w:pPr>
    </w:p>
    <w:p>
      <w:pPr>
        <w:pStyle w:val="NormalNumberedtext"/>
      </w:pPr>
      <w:r>
        <w:t>The register is formally reviewed at minimum quarterly. A review is also conducted following any legislative change, permit amendment, approval condition update, or management of change outcome that affects a compliance obligation. Each review is recorded as a dated entry in the register.</w:t>
      </w:r>
    </w:p>
    <w:p>
      <w:pPr>
        <w:pStyle w:val="NormalNumberedtext"/>
      </w:pPr>
      <w:r>
        <w:t>Table 3: Register Review Triggers and Timeframes</w:t>
      </w:r>
    </w:p>
    <w:tbl>
      <w:tblPr>
        <w:tblStyle w:val="TableOption2"/>
        <w:tblW w:type="pct" w:w="5000"/>
      </w:tblPr>
      <w:tr>
        <w:trPr>
          <w:tblHeader/>
        </w:trPr>
        <w:tc>
          <w:tcPr>
            <w:shd w:val="clear" w:color="auto" w:fill="1F3864"/>
          </w:tcPr>
          <w:p>
            <w:pPr>
              <w:pStyle w:val="TableContents"/>
            </w:pPr>
            <w:r>
              <w:rPr>
                <w:b/>
                <w:bCs/>
                <w:color w:val="FFFFFF"/>
              </w:rPr>
              <w:t>Review Trigger</w:t>
            </w:r>
          </w:p>
        </w:tc>
        <w:tc>
          <w:tcPr>
            <w:shd w:val="clear" w:color="auto" w:fill="1F3864"/>
          </w:tcPr>
          <w:p>
            <w:pPr>
              <w:pStyle w:val="TableContents"/>
            </w:pPr>
            <w:r>
              <w:rPr>
                <w:b/>
                <w:bCs/>
                <w:color w:val="FFFFFF"/>
              </w:rPr>
              <w:t>Maximum Timeframe to Update Register</w:t>
            </w:r>
          </w:p>
        </w:tc>
        <w:tc>
          <w:tcPr>
            <w:shd w:val="clear" w:color="auto" w:fill="1F3864"/>
          </w:tcPr>
          <w:p>
            <w:pPr>
              <w:pStyle w:val="TableContents"/>
            </w:pPr>
            <w:r>
              <w:rPr>
                <w:b/>
                <w:bCs/>
                <w:color w:val="FFFFFF"/>
              </w:rPr>
              <w:t>Notified By</w:t>
            </w:r>
          </w:p>
        </w:tc>
      </w:tr>
      <w:tr>
        <w:tc>
          <w:tcPr/>
          <w:p>
            <w:pPr>
              <w:pStyle w:val="TableContents"/>
            </w:pPr>
            <w:r>
              <w:t>Scheduled quarterly review</w:t>
            </w:r>
          </w:p>
        </w:tc>
        <w:tc>
          <w:tcPr/>
          <w:p>
            <w:pPr>
              <w:pStyle w:val="TableContents"/>
            </w:pPr>
            <w:r>
              <w:t>Within the quarter — review completed before quarter end</w:t>
            </w:r>
          </w:p>
        </w:tc>
        <w:tc>
          <w:tcPr/>
          <w:p>
            <w:pPr>
              <w:pStyle w:val="TableContents"/>
            </w:pPr>
            <w:r>
              <w:t>Register Owner</w:t>
            </w:r>
          </w:p>
        </w:tc>
      </w:tr>
      <w:tr>
        <w:tc>
          <w:tcPr/>
          <w:p>
            <w:pPr>
              <w:pStyle w:val="TableContents"/>
            </w:pPr>
            <w:r>
              <w:t>Legislative amendment gazetted</w:t>
            </w:r>
          </w:p>
        </w:tc>
        <w:tc>
          <w:tcPr/>
          <w:p>
            <w:pPr>
              <w:pStyle w:val="TableContents"/>
            </w:pPr>
            <w:r>
              <w:t>{'text': 'Within 14 days of gazette publication', 'suggested': True}</w:t>
            </w:r>
          </w:p>
        </w:tc>
        <w:tc>
          <w:tcPr/>
          <w:p>
            <w:pPr>
              <w:pStyle w:val="TableContents"/>
            </w:pPr>
            <w:r>
              <w:t>Register Owner or Legal Counsel</w:t>
            </w:r>
          </w:p>
        </w:tc>
      </w:tr>
      <w:tr>
        <w:tc>
          <w:tcPr/>
          <w:p>
            <w:pPr>
              <w:pStyle w:val="TableContents"/>
            </w:pPr>
            <w:r>
              <w:t>Permit amendment issued</w:t>
            </w:r>
          </w:p>
        </w:tc>
        <w:tc>
          <w:tcPr/>
          <w:p>
            <w:pPr>
              <w:pStyle w:val="TableContents"/>
            </w:pPr>
            <w:r>
              <w:t>{'text': 'Within 7 days of permit amendment receipt', 'suggested': True}</w:t>
            </w:r>
          </w:p>
        </w:tc>
        <w:tc>
          <w:tcPr/>
          <w:p>
            <w:pPr>
              <w:pStyle w:val="TableContents"/>
            </w:pPr>
            <w:r>
              <w:t>Register Owner</w:t>
            </w:r>
          </w:p>
        </w:tc>
      </w:tr>
      <w:tr>
        <w:tc>
          <w:tcPr/>
          <w:p>
            <w:pPr>
              <w:pStyle w:val="TableContents"/>
            </w:pPr>
            <w:r>
              <w:t>Approval condition update</w:t>
            </w:r>
          </w:p>
        </w:tc>
        <w:tc>
          <w:tcPr/>
          <w:p>
            <w:pPr>
              <w:pStyle w:val="TableContents"/>
            </w:pPr>
            <w:r>
              <w:t>{'text': 'Within 7 days of notification', 'suggested': True}</w:t>
            </w:r>
          </w:p>
        </w:tc>
        <w:tc>
          <w:tcPr/>
          <w:p>
            <w:pPr>
              <w:pStyle w:val="TableContents"/>
            </w:pPr>
            <w:r>
              <w:t>Register Owner</w:t>
            </w:r>
          </w:p>
        </w:tc>
      </w:tr>
      <w:tr>
        <w:tc>
          <w:tcPr/>
          <w:p>
            <w:pPr>
              <w:pStyle w:val="TableContents"/>
            </w:pPr>
            <w:r>
              <w:t>Management of change outcome affecting a compliance obligation</w:t>
            </w:r>
          </w:p>
        </w:tc>
        <w:tc>
          <w:tcPr/>
          <w:p>
            <w:pPr>
              <w:pStyle w:val="TableContents"/>
            </w:pPr>
            <w:r>
              <w:t>{'text': 'Prior to commencement of the changed activity', 'suggested': True}</w:t>
            </w:r>
          </w:p>
        </w:tc>
        <w:tc>
          <w:tcPr/>
          <w:p>
            <w:pPr>
              <w:pStyle w:val="TableContents"/>
            </w:pPr>
            <w:r>
              <w:t>HSESC Manager</w:t>
            </w:r>
          </w:p>
        </w:tc>
      </w:tr>
    </w:tbl>
    <w:p>
      <w:pPr>
        <w:pStyle w:val="Default"/>
      </w:pPr>
    </w:p>
    <w:p>
      <w:pPr>
        <w:pStyle w:val="Heading2Numbered"/>
      </w:pPr>
      <w:r>
        <w:t>4.2  Non-Compliance Escalation Thresholds</w:t>
      </w:r>
    </w:p>
    <w:p>
      <w:pPr>
        <w:pStyle w:val="NormalNumberedtext"/>
      </w:pPr>
      <w:r>
        <w:t>This section defines the three escalation levels for non-compliance events, the response timeframe for each, and the notification chain that applies.</w:t>
      </w:r>
    </w:p>
    <w:p>
      <w:pPr>
        <w:pStyle w:val="NormalNumberedtext"/>
      </w:pPr>
      <w:r>
        <w:t>The project defines three escalation levels for non-compliance events, distinguishing between minor administrative non-conformances, reportable breaches, and enforcement actions. Each level has a defined response timeframe and notification chain. All regulatory non-compliances, government notices, and enforcement actions are reported promptly to the project leadership team and to the relevant corporate function.</w:t>
      </w:r>
    </w:p>
    <w:tbl>
      <w:tblPr>
        <w:tblStyle w:val="TableOption1"/>
        <w:tblW w:type="pct" w:w="5000"/>
      </w:tblPr>
      <w:tr>
        <w:tc>
          <w:tcPr>
            <w:shd w:val="clear" w:color="auto" w:fill="FFF2CC"/>
          </w:tcPr>
          <w:p>
            <w:pPr>
              <w:pStyle w:val="Instructions"/>
            </w:pPr>
            <w:r>
              <w:rPr>
                <w:b/>
                <w:bCs/>
                <w:color w:val="C55A11"/>
              </w:rPr>
              <w:t>PROJECT COMPLETION GUIDANCE 3: Define the non-compliance escalation matrix for this project — what constitutes a minor non-conformance, a reportable breach, and an enforcement action, and who is notified at each level. Insert into Table 4 below.</w:t>
            </w:r>
          </w:p>
        </w:tc>
      </w:tr>
    </w:tbl>
    <w:p>
      <w:pPr>
        <w:pStyle w:val="Default"/>
      </w:pPr>
    </w:p>
    <w:p>
      <w:pPr>
        <w:pStyle w:val="NormalNumberedtext"/>
      </w:pPr>
      <w:r>
        <w:t>Table 4: Non-Compliance Escalation Matrix</w:t>
      </w:r>
    </w:p>
    <w:tbl>
      <w:tblPr>
        <w:tblStyle w:val="TableOption2"/>
        <w:tblW w:type="pct" w:w="5000"/>
      </w:tblPr>
      <w:tr>
        <w:trPr>
          <w:tblHeader/>
        </w:trPr>
        <w:tc>
          <w:tcPr>
            <w:shd w:val="clear" w:color="auto" w:fill="1F3864"/>
          </w:tcPr>
          <w:p>
            <w:pPr>
              <w:pStyle w:val="TableContents"/>
            </w:pPr>
            <w:r>
              <w:rPr>
                <w:b/>
                <w:bCs/>
                <w:color w:val="FFFFFF"/>
              </w:rPr>
              <w:t>Level</w:t>
            </w:r>
          </w:p>
        </w:tc>
        <w:tc>
          <w:tcPr>
            <w:shd w:val="clear" w:color="auto" w:fill="1F3864"/>
          </w:tcPr>
          <w:p>
            <w:pPr>
              <w:pStyle w:val="TableContents"/>
            </w:pPr>
            <w:r>
              <w:rPr>
                <w:b/>
                <w:bCs/>
                <w:color w:val="FFFFFF"/>
              </w:rPr>
              <w:t>Definition</w:t>
            </w:r>
          </w:p>
        </w:tc>
        <w:tc>
          <w:tcPr>
            <w:shd w:val="clear" w:color="auto" w:fill="1F3864"/>
          </w:tcPr>
          <w:p>
            <w:pPr>
              <w:pStyle w:val="TableContents"/>
            </w:pPr>
            <w:r>
              <w:rPr>
                <w:b/>
                <w:bCs/>
                <w:color w:val="FFFFFF"/>
              </w:rPr>
              <w:t>Examples</w:t>
            </w:r>
          </w:p>
        </w:tc>
        <w:tc>
          <w:tcPr>
            <w:shd w:val="clear" w:color="auto" w:fill="1F3864"/>
          </w:tcPr>
          <w:p>
            <w:pPr>
              <w:pStyle w:val="TableContents"/>
            </w:pPr>
            <w:r>
              <w:rPr>
                <w:b/>
                <w:bCs/>
                <w:color w:val="FFFFFF"/>
              </w:rPr>
              <w:t>Maximum Response Timeframe</w:t>
            </w:r>
          </w:p>
        </w:tc>
        <w:tc>
          <w:tcPr>
            <w:shd w:val="clear" w:color="auto" w:fill="1F3864"/>
          </w:tcPr>
          <w:p>
            <w:pPr>
              <w:pStyle w:val="TableContents"/>
            </w:pPr>
            <w:r>
              <w:rPr>
                <w:b/>
                <w:bCs/>
                <w:color w:val="FFFFFF"/>
              </w:rPr>
              <w:t>Notification Chain</w:t>
            </w:r>
          </w:p>
        </w:tc>
      </w:tr>
      <w:tr>
        <w:tc>
          <w:tcPr/>
          <w:p>
            <w:pPr>
              <w:pStyle w:val="TableContents"/>
            </w:pPr>
            <w:r>
              <w:t>Level 1 — Minor Administrative Non-Conformance</w:t>
            </w:r>
          </w:p>
        </w:tc>
        <w:tc>
          <w:tcPr/>
          <w:p>
            <w:pPr>
              <w:pStyle w:val="TableContents"/>
            </w:pPr>
            <w:r>
              <w:rPr>
                <w:b/>
                <w:bCs/>
                <w:color w:val="0059D1"/>
              </w:rPr>
              <w:t>[INSERT: project definition]</w:t>
            </w:r>
          </w:p>
        </w:tc>
        <w:tc>
          <w:tcPr/>
          <w:p>
            <w:pPr>
              <w:pStyle w:val="TableContents"/>
            </w:pPr>
            <w:r>
              <w:t>{'text': 'Late submission of a scheduled report; administrative record-keeping gap with no consequence to compliance status.', 'suggested': True}</w:t>
            </w:r>
          </w:p>
        </w:tc>
        <w:tc>
          <w:tcPr/>
          <w:p>
            <w:pPr>
              <w:pStyle w:val="TableContents"/>
            </w:pPr>
            <w:r>
              <w:t>{'text': 'Corrective action within 14 days', 'suggested': True}</w:t>
            </w:r>
          </w:p>
        </w:tc>
        <w:tc>
          <w:tcPr/>
          <w:p>
            <w:pPr>
              <w:pStyle w:val="TableContents"/>
            </w:pPr>
            <w:r>
              <w:rPr>
                <w:b/>
                <w:bCs/>
                <w:color w:val="0059D1"/>
              </w:rPr>
              <w:t>[INSERT: notification chain — e.g., Register Owner notifies HSESC Manager]</w:t>
            </w:r>
          </w:p>
        </w:tc>
      </w:tr>
      <w:tr>
        <w:tc>
          <w:tcPr/>
          <w:p>
            <w:pPr>
              <w:pStyle w:val="TableContents"/>
            </w:pPr>
            <w:r>
              <w:t>Level 2 — Reportable Breach</w:t>
            </w:r>
          </w:p>
        </w:tc>
        <w:tc>
          <w:tcPr/>
          <w:p>
            <w:pPr>
              <w:pStyle w:val="TableContents"/>
            </w:pPr>
            <w:r>
              <w:rPr>
                <w:b/>
                <w:bCs/>
                <w:color w:val="0059D1"/>
              </w:rPr>
              <w:t>[INSERT: project definition]</w:t>
            </w:r>
          </w:p>
        </w:tc>
        <w:tc>
          <w:tcPr/>
          <w:p>
            <w:pPr>
              <w:pStyle w:val="TableContents"/>
            </w:pPr>
            <w:r>
              <w:t>{'text': 'Exceedance of a permit limit; breach of an approval condition; non-compliance with a statutory notification requirement.', 'suggested': True}</w:t>
            </w:r>
          </w:p>
        </w:tc>
        <w:tc>
          <w:tcPr/>
          <w:p>
            <w:pPr>
              <w:pStyle w:val="TableContents"/>
            </w:pPr>
            <w:r>
              <w:t>{'text': 'Notification within 24 hours; corrective action plan within 72 hours', 'suggested': True}</w:t>
            </w:r>
          </w:p>
        </w:tc>
        <w:tc>
          <w:tcPr/>
          <w:p>
            <w:pPr>
              <w:pStyle w:val="TableContents"/>
            </w:pPr>
            <w:r>
              <w:rPr>
                <w:b/>
                <w:bCs/>
                <w:color w:val="0059D1"/>
              </w:rPr>
              <w:t>[INSERT: notification chain — e.g., HSESC Manager notifies Project Director and Corporate HSESC]</w:t>
            </w:r>
          </w:p>
        </w:tc>
      </w:tr>
      <w:tr>
        <w:tc>
          <w:tcPr/>
          <w:p>
            <w:pPr>
              <w:pStyle w:val="TableContents"/>
            </w:pPr>
            <w:r>
              <w:t>Level 3 — Enforcement Action</w:t>
            </w:r>
          </w:p>
        </w:tc>
        <w:tc>
          <w:tcPr/>
          <w:p>
            <w:pPr>
              <w:pStyle w:val="TableContents"/>
            </w:pPr>
            <w:r>
              <w:rPr>
                <w:b/>
                <w:bCs/>
                <w:color w:val="0059D1"/>
              </w:rPr>
              <w:t>[INSERT: project definition]</w:t>
            </w:r>
          </w:p>
        </w:tc>
        <w:tc>
          <w:tcPr/>
          <w:p>
            <w:pPr>
              <w:pStyle w:val="TableContents"/>
            </w:pPr>
            <w:r>
              <w:t>{'text': 'Regulator-issued notice, infringement, improvement notice, prohibition notice, or prosecution.', 'suggested': True}</w:t>
            </w:r>
          </w:p>
        </w:tc>
        <w:tc>
          <w:tcPr/>
          <w:p>
            <w:pPr>
              <w:pStyle w:val="TableContents"/>
            </w:pPr>
            <w:r>
              <w:t>{'text': 'Immediate notification; response per regulatory direction', 'suggested': True}</w:t>
            </w:r>
          </w:p>
        </w:tc>
        <w:tc>
          <w:tcPr/>
          <w:p>
            <w:pPr>
              <w:pStyle w:val="TableContents"/>
            </w:pPr>
            <w:r>
              <w:rPr>
                <w:b/>
                <w:bCs/>
                <w:color w:val="0059D1"/>
              </w:rPr>
              <w:t>[INSERT: notification chain — e.g., Project Director notifies Rio Tinto Legal and Executive Sponsor immediately]</w:t>
            </w:r>
          </w:p>
        </w:tc>
      </w:tr>
    </w:tbl>
    <w:p>
      <w:pPr>
        <w:pStyle w:val="Default"/>
      </w:pPr>
    </w:p>
    <w:p>
      <w:pPr>
        <w:pStyle w:val="NormalNumberedtext"/>
      </w:pPr>
      <w:r>
        <w:t>All non-compliance events are reported as incidents per project requirements and managed through the corrective action process defined in Section 4 of this procedure. For regulatory enforcement incidents, refer RTPR-HSE-PRO-0009.</w:t>
      </w:r>
    </w:p>
    <w:p>
      <w:pPr>
        <w:pStyle w:val="Heading1Numbered"/>
      </w:pPr>
      <w:r>
        <w:t>5  Communication and Contractor Obligations</w:t>
      </w:r>
    </w:p>
    <w:p>
      <w:pPr>
        <w:pStyle w:val="NormalNumberedtext"/>
      </w:pPr>
      <w:r>
        <w:t>This section defines how legal and regulatory requirements are communicated to project personnel and contractor organisations and how contractor compliance is monitored.</w:t>
      </w:r>
    </w:p>
    <w:p>
      <w:pPr>
        <w:pStyle w:val="Heading2Numbered"/>
      </w:pPr>
      <w:r>
        <w:t>5.1  Communication of Legal Requirements</w:t>
      </w:r>
    </w:p>
    <w:p>
      <w:pPr>
        <w:pStyle w:val="NormalNumberedtext"/>
      </w:pPr>
      <w:r>
        <w:t>This section defines the process for communicating newly identified or changed legal requirements to all affected personnel and contractor organisations.</w:t>
      </w:r>
    </w:p>
    <w:p>
      <w:pPr>
        <w:pStyle w:val="NormalNumberedtext"/>
      </w:pPr>
      <w:r>
        <w:t>Newly identified or changed legal requirements are communicated to all affected project personnel, supervisors, and contractor organisations within the timeframes defined in Table 3. The Register Owner is accountable for initiating communication whenever the register is updated as a result of a regulatory change.</w:t>
      </w:r>
    </w:p>
    <w:p>
      <w:pPr>
        <w:pStyle w:val="NormalNumberedtext"/>
      </w:pPr>
      <w:r>
        <w:t>Communication is delivered through the following channels, confirmed for this project:</w:t>
      </w:r>
    </w:p>
    <w:p>
      <w:pPr>
        <w:pStyle w:val="NormalNumberedtext"/>
      </w:pPr>
      <w:r>
        <w:t>Communication channels for regulatory updates include:</w:t>
      </w:r>
    </w:p>
    <w:p>
      <w:pPr>
        <w:pStyle w:val="NumberedBulletL1"/>
      </w:pPr>
      <w:r>
        <w:rPr>
          <w:color w:val="C55A11"/>
        </w:rPr>
        <w:t>Toolbox talks or pre-start briefings delivered by the relevant supervisor to the work group within 48 hours of a register update affecting site activities.</w:t>
      </w:r>
    </w:p>
    <w:p>
      <w:pPr>
        <w:pStyle w:val="NumberedBulletL1"/>
      </w:pPr>
      <w:r>
        <w:rPr>
          <w:color w:val="C55A11"/>
        </w:rPr>
        <w:t>Written notification issued by the HSESC Manager to all contractor HSE representatives when a change affects contractor scope of work.</w:t>
      </w:r>
    </w:p>
    <w:p>
      <w:pPr>
        <w:pStyle w:val="NumberedBulletL1"/>
      </w:pPr>
      <w:r>
        <w:rPr>
          <w:color w:val="C55A11"/>
        </w:rPr>
        <w:t>Project safety bulletin distributed to all project personnel when a change affects site-wide obligations.</w:t>
      </w:r>
    </w:p>
    <w:p>
      <w:pPr>
        <w:pStyle w:val="NumberedBulletL1"/>
      </w:pPr>
      <w:r>
        <w:rPr>
          <w:b/>
          <w:bCs/>
          <w:color w:val="0059D1"/>
        </w:rPr>
        <w:t>[INSERT: project_communication_channel]</w:t>
      </w:r>
    </w:p>
    <w:p>
      <w:pPr>
        <w:pStyle w:val="NormalNumberedtext"/>
      </w:pPr>
      <w:r>
        <w:t>All workers have access to information about the legal and regulatory requirements applicable to their work, including their rights under applicable health and safety law. This information is provided at project induction and is available through the project HSESC management system for the duration of the project.</w:t>
      </w:r>
    </w:p>
    <w:p>
      <w:pPr>
        <w:pStyle w:val="Heading2Numbered"/>
      </w:pPr>
      <w:r>
        <w:t>5.2  Contractor Obligations</w:t>
      </w:r>
    </w:p>
    <w:p>
      <w:pPr>
        <w:pStyle w:val="NormalNumberedtext"/>
      </w:pPr>
      <w:r>
        <w:t>This section defines how contractor compliance with legal requirements is established through contract and monitored through the project ESMS.</w:t>
      </w:r>
    </w:p>
    <w:p>
      <w:pPr>
        <w:pStyle w:val="NormalNumberedtext"/>
      </w:pPr>
      <w:r>
        <w:t>Relevant legal requirements are communicated to contractors through contractual clauses that form part of each contractor's engagement. These clauses identify the applicable legal obligations, confirm the contractor's responsibility to comply, and require the contractor to notify the project of any non-compliance within the timeframes defined in Table 4.</w:t>
      </w:r>
    </w:p>
    <w:p>
      <w:pPr>
        <w:pStyle w:val="NormalNumberedtext"/>
      </w:pPr>
      <w:r>
        <w:t>Contractor compliance with legal obligations is monitored through the project ESMS using the following mechanisms:</w:t>
      </w:r>
    </w:p>
    <w:p>
      <w:pPr>
        <w:pStyle w:val="NormalNumberedtext"/>
      </w:pPr>
      <w:r>
        <w:t>Contractor compliance monitoring mechanisms include:</w:t>
      </w:r>
    </w:p>
    <w:p>
      <w:pPr>
        <w:pStyle w:val="NumberedBulletL1"/>
      </w:pPr>
      <w:r>
        <w:rPr>
          <w:color w:val="C55A11"/>
        </w:rPr>
        <w:t>Review of contractor compliance status as a standing agenda item at monthly contractor HSE meetings.</w:t>
      </w:r>
    </w:p>
    <w:p>
      <w:pPr>
        <w:pStyle w:val="NumberedBulletL1"/>
      </w:pPr>
      <w:r>
        <w:rPr>
          <w:color w:val="C55A11"/>
        </w:rPr>
        <w:t>Inclusion of legal compliance as an audit criterion in scheduled and unannounced contractor HSESC audits.</w:t>
      </w:r>
    </w:p>
    <w:p>
      <w:pPr>
        <w:pStyle w:val="NumberedBulletL1"/>
      </w:pPr>
      <w:r>
        <w:rPr>
          <w:color w:val="C55A11"/>
        </w:rPr>
        <w:t>Contractor obligation to maintain and submit a compliance status report to the Register Owner on a quarterly basis.</w:t>
      </w:r>
    </w:p>
    <w:p>
      <w:pPr>
        <w:pStyle w:val="NumberedBulletL1"/>
      </w:pPr>
      <w:r>
        <w:rPr>
          <w:b/>
          <w:bCs/>
          <w:color w:val="0059D1"/>
        </w:rPr>
        <w:t>[INSERT: project_contractor_monitoring]</w:t>
      </w:r>
    </w:p>
    <w:p>
      <w:pPr>
        <w:pStyle w:val="NormalNumberedtext"/>
      </w:pPr>
      <w:r>
        <w:t>Where a contractor identifies a legal requirement not already captured in the register, the contractor notifies the Register Owner within 48 hours and the Register Owner assesses whether the obligation is to be added. The register is updated before any activity governed by the newly identified requirement commences.</w:t>
      </w:r>
    </w:p>
    <w:p>
      <w:pPr>
        <w:pStyle w:val="Heading1Numbered"/>
      </w:pPr>
      <w:r>
        <w:t>6  Non-Compliance Management</w:t>
      </w:r>
    </w:p>
    <w:p>
      <w:pPr>
        <w:pStyle w:val="NormalNumberedtext"/>
      </w:pPr>
      <w:r>
        <w:t>This section defines the corrective action process triggered by identified non-compliance and the documentation requirements that apply to each non-compliance event.</w:t>
      </w:r>
    </w:p>
    <w:p>
      <w:pPr>
        <w:pStyle w:val="Heading2Numbered"/>
      </w:pPr>
      <w:r>
        <w:t>6.1  Corrective Action Process</w:t>
      </w:r>
    </w:p>
    <w:p>
      <w:pPr>
        <w:pStyle w:val="NormalNumberedtext"/>
      </w:pPr>
      <w:r>
        <w:t>This section defines how identified non-compliances are documented, actioned, and closed out through the project action tracking system.</w:t>
      </w:r>
    </w:p>
    <w:p>
      <w:pPr>
        <w:pStyle w:val="NormalNumberedtext"/>
      </w:pPr>
      <w:r>
        <w:t>Any identified non-compliance with applicable laws, regulations, or permit conditions triggers a corrective action process. The non-compliance is documented in the project action tracking system with a defined closeout date, a named owner, and a reference to the obligation breached in the Legal and Other Requirements Register (RTPR-HSE-REG-0001).</w:t>
      </w:r>
    </w:p>
    <w:p>
      <w:pPr>
        <w:pStyle w:val="NormalNumberedtext"/>
      </w:pPr>
      <w:r>
        <w:t>All regulatory non-compliances, government notices, and enforcement actions are reported promptly to the project leadership team and to the relevant corporate function, consistent with the escalation thresholds defined in Table 4. Non-compliance events that meet the definition of an incident or near miss are reported per project requirements, refer RTPR-HSE-PRO-0009.</w:t>
      </w:r>
    </w:p>
    <w:p>
      <w:pPr>
        <w:pStyle w:val="NormalNumberedtext"/>
      </w:pPr>
      <w:r>
        <w:t>The corrective action record includes the following minimum content:</w:t>
      </w:r>
    </w:p>
    <w:p>
      <w:pPr>
        <w:pStyle w:val="NormalNumberedtext"/>
      </w:pPr>
      <w:r>
        <w:t>Each corrective action record documents:</w:t>
      </w:r>
    </w:p>
    <w:p>
      <w:pPr>
        <w:pStyle w:val="NumberedBulletL1"/>
      </w:pPr>
      <w:r>
        <w:t>The obligation breached, with reference to the relevant register entry in RTPR-HSE-REG-0001.</w:t>
      </w:r>
    </w:p>
    <w:p>
      <w:pPr>
        <w:pStyle w:val="NumberedBulletL1"/>
      </w:pPr>
      <w:r>
        <w:t>The date the non-compliance was identified and the name of the person who identified it.</w:t>
      </w:r>
    </w:p>
    <w:p>
      <w:pPr>
        <w:pStyle w:val="NumberedBulletL1"/>
      </w:pPr>
      <w:r>
        <w:t>The escalation level assigned under Table 4 and the notification actions taken.</w:t>
      </w:r>
    </w:p>
    <w:p>
      <w:pPr>
        <w:pStyle w:val="NumberedBulletL1"/>
      </w:pPr>
      <w:r>
        <w:t>The root cause of the non-compliance.</w:t>
      </w:r>
    </w:p>
    <w:p>
      <w:pPr>
        <w:pStyle w:val="NumberedBulletL1"/>
      </w:pPr>
      <w:r>
        <w:t>The corrective and preventive actions required, with a named owner and a defined closeout date.</w:t>
      </w:r>
    </w:p>
    <w:p>
      <w:pPr>
        <w:pStyle w:val="NumberedBulletL1"/>
      </w:pPr>
      <w:r>
        <w:t>The date the corrective action was verified as closed out and the name of the verifying officer.</w:t>
      </w:r>
    </w:p>
    <w:p>
      <w:pPr>
        <w:pStyle w:val="NormalNumberedtext"/>
      </w:pPr>
      <w:r>
        <w:t>The Register Owner reviews the action tracking system at each quarterly register review to confirm all open corrective actions remain on track and that no overdue actions exist. Where an action is overdue, the Register Owner escalates to the HSESC Manager and project leadership team within 24 hours of the overdue date.</w:t>
      </w:r>
    </w:p>
    <w:p>
      <w:pPr>
        <w:pStyle w:val="NormalNumberedtext"/>
      </w:pPr>
      <w:r>
        <w:t>Table 5: Non-Compliance Reporting and Closeout Requirements</w:t>
      </w:r>
    </w:p>
    <w:tbl>
      <w:tblPr>
        <w:tblStyle w:val="TableOption2"/>
        <w:tblW w:type="pct" w:w="5000"/>
      </w:tblPr>
      <w:tr>
        <w:trPr>
          <w:tblHeader/>
        </w:trPr>
        <w:tc>
          <w:tcPr>
            <w:shd w:val="clear" w:color="auto" w:fill="1F3864"/>
          </w:tcPr>
          <w:p>
            <w:pPr>
              <w:pStyle w:val="TableContents"/>
            </w:pPr>
            <w:r>
              <w:rPr>
                <w:b/>
                <w:bCs/>
                <w:color w:val="FFFFFF"/>
              </w:rPr>
              <w:t>Escalation Level</w:t>
            </w:r>
          </w:p>
        </w:tc>
        <w:tc>
          <w:tcPr>
            <w:shd w:val="clear" w:color="auto" w:fill="1F3864"/>
          </w:tcPr>
          <w:p>
            <w:pPr>
              <w:pStyle w:val="TableContents"/>
            </w:pPr>
            <w:r>
              <w:rPr>
                <w:b/>
                <w:bCs/>
                <w:color w:val="FFFFFF"/>
              </w:rPr>
              <w:t>Initial Notification Timeframe</w:t>
            </w:r>
          </w:p>
        </w:tc>
        <w:tc>
          <w:tcPr>
            <w:shd w:val="clear" w:color="auto" w:fill="1F3864"/>
          </w:tcPr>
          <w:p>
            <w:pPr>
              <w:pStyle w:val="TableContents"/>
            </w:pPr>
            <w:r>
              <w:rPr>
                <w:b/>
                <w:bCs/>
                <w:color w:val="FFFFFF"/>
              </w:rPr>
              <w:t>Corrective Action Plan Due</w:t>
            </w:r>
          </w:p>
        </w:tc>
        <w:tc>
          <w:tcPr>
            <w:shd w:val="clear" w:color="auto" w:fill="1F3864"/>
          </w:tcPr>
          <w:p>
            <w:pPr>
              <w:pStyle w:val="TableContents"/>
            </w:pPr>
            <w:r>
              <w:rPr>
                <w:b/>
                <w:bCs/>
                <w:color w:val="FFFFFF"/>
              </w:rPr>
              <w:t>Closeout Verification By</w:t>
            </w:r>
          </w:p>
        </w:tc>
        <w:tc>
          <w:tcPr>
            <w:shd w:val="clear" w:color="auto" w:fill="1F3864"/>
          </w:tcPr>
          <w:p>
            <w:pPr>
              <w:pStyle w:val="TableContents"/>
            </w:pPr>
            <w:r>
              <w:rPr>
                <w:b/>
                <w:bCs/>
                <w:color w:val="FFFFFF"/>
              </w:rPr>
              <w:t>Record Retained In</w:t>
            </w:r>
          </w:p>
        </w:tc>
      </w:tr>
      <w:tr>
        <w:tc>
          <w:tcPr/>
          <w:p>
            <w:pPr>
              <w:pStyle w:val="TableContents"/>
            </w:pPr>
            <w:r>
              <w:t>Level 1 — Minor Administrative Non-Conformance</w:t>
            </w:r>
          </w:p>
        </w:tc>
        <w:tc>
          <w:tcPr/>
          <w:p>
            <w:pPr>
              <w:pStyle w:val="TableContents"/>
            </w:pPr>
            <w:r>
              <w:t>{'text': 'Register Owner notified same business day', 'suggested': True}</w:t>
            </w:r>
          </w:p>
        </w:tc>
        <w:tc>
          <w:tcPr/>
          <w:p>
            <w:pPr>
              <w:pStyle w:val="TableContents"/>
            </w:pPr>
            <w:r>
              <w:t>{'text': 'Within 14 days', 'suggested': True}</w:t>
            </w:r>
          </w:p>
        </w:tc>
        <w:tc>
          <w:tcPr/>
          <w:p>
            <w:pPr>
              <w:pStyle w:val="TableContents"/>
            </w:pPr>
            <w:r>
              <w:t>{'text': 'Register Owner', 'suggested': True}</w:t>
            </w:r>
          </w:p>
        </w:tc>
        <w:tc>
          <w:tcPr/>
          <w:p>
            <w:pPr>
              <w:pStyle w:val="TableContents"/>
            </w:pPr>
            <w:r>
              <w:t>Project action tracking system and RTPR-HSE-REG-0001</w:t>
            </w:r>
          </w:p>
        </w:tc>
      </w:tr>
      <w:tr>
        <w:tc>
          <w:tcPr/>
          <w:p>
            <w:pPr>
              <w:pStyle w:val="TableContents"/>
            </w:pPr>
            <w:r>
              <w:t>Level 2 — Reportable Breach</w:t>
            </w:r>
          </w:p>
        </w:tc>
        <w:tc>
          <w:tcPr/>
          <w:p>
            <w:pPr>
              <w:pStyle w:val="TableContents"/>
            </w:pPr>
            <w:r>
              <w:t>{'text': 'HSESC Manager and Project Director notified within 24 hours', 'suggested': True}</w:t>
            </w:r>
          </w:p>
        </w:tc>
        <w:tc>
          <w:tcPr/>
          <w:p>
            <w:pPr>
              <w:pStyle w:val="TableContents"/>
            </w:pPr>
            <w:r>
              <w:t>{'text': 'Within 72 hours', 'suggested': True}</w:t>
            </w:r>
          </w:p>
        </w:tc>
        <w:tc>
          <w:tcPr/>
          <w:p>
            <w:pPr>
              <w:pStyle w:val="TableContents"/>
            </w:pPr>
            <w:r>
              <w:t>{'text': 'HSESC Manager', 'suggested': True}</w:t>
            </w:r>
          </w:p>
        </w:tc>
        <w:tc>
          <w:tcPr/>
          <w:p>
            <w:pPr>
              <w:pStyle w:val="TableContents"/>
            </w:pPr>
            <w:r>
              <w:t>Project action tracking system, RTPR-HSE-REG-0001, and Corporate HSESC reporting system</w:t>
            </w:r>
          </w:p>
        </w:tc>
      </w:tr>
      <w:tr>
        <w:tc>
          <w:tcPr/>
          <w:p>
            <w:pPr>
              <w:pStyle w:val="TableContents"/>
            </w:pPr>
            <w:r>
              <w:t>Level 3 — Enforcement Action</w:t>
            </w:r>
          </w:p>
        </w:tc>
        <w:tc>
          <w:tcPr/>
          <w:p>
            <w:pPr>
              <w:pStyle w:val="TableContents"/>
            </w:pPr>
            <w:r>
              <w:t>{'text': 'Project Director and Rio Tinto Legal notified immediately', 'suggested': True}</w:t>
            </w:r>
          </w:p>
        </w:tc>
        <w:tc>
          <w:tcPr/>
          <w:p>
            <w:pPr>
              <w:pStyle w:val="TableContents"/>
            </w:pPr>
            <w:r>
              <w:t>{'text': 'Per regulatory direction', 'suggested': True}</w:t>
            </w:r>
          </w:p>
        </w:tc>
        <w:tc>
          <w:tcPr/>
          <w:p>
            <w:pPr>
              <w:pStyle w:val="TableContents"/>
            </w:pPr>
            <w:r>
              <w:t>{'text': 'Project Director and HSESC Manager', 'suggested': True}</w:t>
            </w:r>
          </w:p>
        </w:tc>
        <w:tc>
          <w:tcPr/>
          <w:p>
            <w:pPr>
              <w:pStyle w:val="TableContents"/>
            </w:pPr>
            <w:r>
              <w:t>Project action tracking system, RTPR-HSE-REG-0001, Corporate HSESC reporting system, and Legal register</w:t>
            </w:r>
          </w:p>
        </w:tc>
      </w:tr>
    </w:tbl>
    <w:p>
      <w:pPr>
        <w:pStyle w:val="Default"/>
      </w:pPr>
    </w:p>
    <w:p>
      <w:pPr>
        <w:pStyle w:val="Heading1Numbered"/>
      </w:pPr>
      <w:r>
        <w:t>7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Security and Community — the integrated management framework governing all related obligations and controls on Rio Tinto owner-led projects.</w:t>
            </w:r>
          </w:p>
        </w:tc>
      </w:tr>
      <w:tr>
        <w:tc>
          <w:tcPr/>
          <w:p>
            <w:pPr>
              <w:pStyle w:val="TableContents"/>
            </w:pPr>
            <w:r>
              <w:t>HSE</w:t>
            </w:r>
          </w:p>
        </w:tc>
        <w:tc>
          <w:tcPr/>
          <w:p>
            <w:pPr>
              <w:pStyle w:val="TableContents"/>
            </w:pPr>
            <w:r>
              <w:t>Health, Safety and Environment — the discipline encompassing occupational health, safety management and environmental protection obligations.</w:t>
            </w:r>
          </w:p>
        </w:tc>
      </w:tr>
      <w:tr>
        <w:tc>
          <w:tcPr/>
          <w:p>
            <w:pPr>
              <w:pStyle w:val="TableContents"/>
            </w:pPr>
            <w:r>
              <w:t>PRO</w:t>
            </w:r>
          </w:p>
        </w:tc>
        <w:tc>
          <w:tcPr/>
          <w:p>
            <w:pPr>
              <w:pStyle w:val="TableContents"/>
            </w:pPr>
            <w:r>
              <w:t>Procedure — a controlled document that prescribes the mandatory steps, responsibilities and records required to fulfil a specific management system requirement.</w:t>
            </w:r>
          </w:p>
        </w:tc>
      </w:tr>
      <w:tr>
        <w:tc>
          <w:tcPr/>
          <w:p>
            <w:pPr>
              <w:pStyle w:val="TableContents"/>
            </w:pPr>
            <w:r>
              <w:t>RT</w:t>
            </w:r>
          </w:p>
        </w:tc>
        <w:tc>
          <w:tcPr/>
          <w:p>
            <w:pPr>
              <w:pStyle w:val="TableContents"/>
            </w:pPr>
            <w:r>
              <w:t>Rio Tinto — the parent company whose standards, frameworks and requirements flow down to all owner-led project operations.</w:t>
            </w:r>
          </w:p>
        </w:tc>
      </w:tr>
      <w:tr>
        <w:tc>
          <w:tcPr/>
          <w:p>
            <w:pPr>
              <w:pStyle w:val="TableContents"/>
            </w:pPr>
            <w:r>
              <w:t>RTPR</w:t>
            </w:r>
          </w:p>
        </w:tc>
        <w:tc>
          <w:tcPr/>
          <w:p>
            <w:pPr>
              <w:pStyle w:val="TableContents"/>
            </w:pPr>
            <w:r>
              <w:t>Rio Tinto Project Requirements — the controlled document series issued under the project management system for owner-led capital projects.</w:t>
            </w:r>
          </w:p>
        </w:tc>
      </w:tr>
      <w:tr>
        <w:tc>
          <w:tcPr/>
          <w:p>
            <w:pPr>
              <w:pStyle w:val="TableContents"/>
            </w:pPr>
            <w:r>
              <w:t>LOR</w:t>
            </w:r>
          </w:p>
        </w:tc>
        <w:tc>
          <w:tcPr/>
          <w:p>
            <w:pPr>
              <w:pStyle w:val="TableContents"/>
            </w:pPr>
            <w:r>
              <w:t>Legal and Other Requirements — the collective body of legislation, regulations, standards, licences, permits, approvals, agreements and other binding or voluntary obligations applicable to the project.</w:t>
            </w:r>
          </w:p>
        </w:tc>
      </w:tr>
      <w:tr>
        <w:tc>
          <w:tcPr/>
          <w:p>
            <w:pPr>
              <w:pStyle w:val="TableContents"/>
            </w:pPr>
            <w:r>
              <w:t>PCG</w:t>
            </w:r>
          </w:p>
        </w:tc>
        <w:tc>
          <w:tcPr/>
          <w:p>
            <w:pPr>
              <w:pStyle w:val="TableContents"/>
            </w:pPr>
            <w:r>
              <w:t>Project Control Group — the senior governance body responsible for oversight of project delivery, risk and compliance performance.</w:t>
            </w:r>
          </w:p>
        </w:tc>
      </w:tr>
      <w:tr>
        <w:tc>
          <w:tcPr/>
          <w:p>
            <w:pPr>
              <w:pStyle w:val="TableContents"/>
            </w:pPr>
            <w:r>
              <w:t>PMT</w:t>
            </w:r>
          </w:p>
        </w:tc>
        <w:tc>
          <w:tcPr/>
          <w:p>
            <w:pPr>
              <w:pStyle w:val="TableContents"/>
            </w:pPr>
            <w:r>
              <w:t>Project Management Team — the owner-led team responsible for day-to-day management, execution and compliance of the project.</w:t>
            </w:r>
          </w:p>
        </w:tc>
      </w:tr>
      <w:tr>
        <w:tc>
          <w:tcPr/>
          <w:p>
            <w:pPr>
              <w:pStyle w:val="TableContents"/>
            </w:pPr>
            <w:r>
              <w:t>HSESC MS</w:t>
            </w:r>
          </w:p>
        </w:tc>
        <w:tc>
          <w:tcPr/>
          <w:p>
            <w:pPr>
              <w:pStyle w:val="TableContents"/>
            </w:pPr>
            <w:r>
              <w:t>HSESC Management System — the structured set of interrelated procedures, plans, registers and controls used to manage health, safety, environment, security and community obligations throughout the project lifecycle.</w:t>
            </w:r>
          </w:p>
        </w:tc>
      </w:tr>
      <w:tr>
        <w:tc>
          <w:tcPr/>
          <w:p>
            <w:pPr>
              <w:pStyle w:val="TableContents"/>
            </w:pPr>
            <w:r>
              <w:t>CAR</w:t>
            </w:r>
          </w:p>
        </w:tc>
        <w:tc>
          <w:tcPr/>
          <w:p>
            <w:pPr>
              <w:pStyle w:val="TableContents"/>
            </w:pPr>
            <w:r>
              <w:t>Corrective Action Request — a formal documented instruction requiring a responsible party to investigate, remediate and close out a identified non-conformance or non-compliance within a defined timeframe.</w:t>
            </w:r>
          </w:p>
        </w:tc>
      </w:tr>
      <w:tr>
        <w:tc>
          <w:tcPr/>
          <w:p>
            <w:pPr>
              <w:pStyle w:val="TableContents"/>
            </w:pPr>
            <w:r>
              <w:t>NCR</w:t>
            </w:r>
          </w:p>
        </w:tc>
        <w:tc>
          <w:tcPr/>
          <w:p>
            <w:pPr>
              <w:pStyle w:val="TableContents"/>
            </w:pPr>
            <w:r>
              <w:t>Non-Conformance Report — a formal record documenting a deviation from a specified requirement, standard, procedure or legal obligation, requiring investigation and corrective action.</w:t>
            </w:r>
          </w:p>
        </w:tc>
      </w:tr>
      <w:tr>
        <w:tc>
          <w:tcPr/>
          <w:p>
            <w:pPr>
              <w:pStyle w:val="TableContents"/>
            </w:pPr>
            <w:r>
              <w:t>PCBU</w:t>
            </w:r>
          </w:p>
        </w:tc>
        <w:tc>
          <w:tcPr/>
          <w:p>
            <w:pPr>
              <w:pStyle w:val="TableContents"/>
            </w:pPr>
            <w:r>
              <w:t>Person Conducting a Business or Undertaking — a defined duty-holder under work health and safety legislation who has primary obligations to ensure, so far as is reasonably practicable, the health and safety of workers and others.</w:t>
            </w:r>
          </w:p>
        </w:tc>
      </w:tr>
      <w:tr>
        <w:tc>
          <w:tcPr/>
          <w:p>
            <w:pPr>
              <w:pStyle w:val="TableContents"/>
            </w:pPr>
            <w:r>
              <w:t>WHS</w:t>
            </w:r>
          </w:p>
        </w:tc>
        <w:tc>
          <w:tcPr/>
          <w:p>
            <w:pPr>
              <w:pStyle w:val="TableContents"/>
            </w:pPr>
            <w:r>
              <w:t>Work Health and Safety — the legislative and regulatory framework governing the health, safety and welfare of persons at work, including applicable Acts, Regulations and Codes of Practice.</w:t>
            </w:r>
          </w:p>
        </w:tc>
      </w:tr>
      <w:tr>
        <w:tc>
          <w:tcPr/>
          <w:p>
            <w:pPr>
              <w:pStyle w:val="TableContents"/>
            </w:pPr>
            <w:r>
              <w:t>EPL</w:t>
            </w:r>
          </w:p>
        </w:tc>
        <w:tc>
          <w:tcPr/>
          <w:p>
            <w:pPr>
              <w:pStyle w:val="TableContents"/>
            </w:pPr>
            <w:r>
              <w:t>Environment Protection Licence — a statutory approval issued by a relevant regulatory authority that specifies conditions, limits and monitoring requirements for activities with potential environmental impact.</w:t>
            </w:r>
          </w:p>
        </w:tc>
      </w:tr>
      <w:tr>
        <w:tc>
          <w:tcPr/>
          <w:p>
            <w:pPr>
              <w:pStyle w:val="TableContents"/>
            </w:pPr>
            <w:r>
              <w:t>DA</w:t>
            </w:r>
          </w:p>
        </w:tc>
        <w:tc>
          <w:tcPr/>
          <w:p>
            <w:pPr>
              <w:pStyle w:val="TableContents"/>
            </w:pPr>
            <w:r>
              <w:t>Development Approval — a regulatory consent issued by a planning or environment authority permitting specific project construction or operational activities subject to defined conditions.</w:t>
            </w:r>
          </w:p>
        </w:tc>
      </w:tr>
      <w:tr>
        <w:tc>
          <w:tcPr/>
          <w:p>
            <w:pPr>
              <w:pStyle w:val="TableContents"/>
            </w:pPr>
            <w:r>
              <w:t>SME</w:t>
            </w:r>
          </w:p>
        </w:tc>
        <w:tc>
          <w:tcPr/>
          <w:p>
            <w:pPr>
              <w:pStyle w:val="TableContents"/>
            </w:pPr>
            <w:r>
              <w:t>Subject Matter Expert — an individual with demonstrated specialist knowledge and competence in a specific technical, legal or functional discipline relevant to the project.</w:t>
            </w:r>
          </w:p>
        </w:tc>
      </w:tr>
      <w:tr>
        <w:tc>
          <w:tcPr/>
          <w:p>
            <w:pPr>
              <w:pStyle w:val="TableContents"/>
            </w:pPr>
            <w:r>
              <w:t>KPI</w:t>
            </w:r>
          </w:p>
        </w:tc>
        <w:tc>
          <w:tcPr/>
          <w:p>
            <w:pPr>
              <w:pStyle w:val="TableContents"/>
            </w:pPr>
            <w:r>
              <w:t>Key Performance Indicator — a measurable value used to evaluate the effectiveness of compliance with legal and other requirements over a defined reporting period.</w:t>
            </w:r>
          </w:p>
        </w:tc>
      </w:tr>
      <w:tr>
        <w:tc>
          <w:tcPr/>
          <w:p>
            <w:pPr>
              <w:pStyle w:val="TableContents"/>
            </w:pPr>
            <w:r>
              <w:t>ISO</w:t>
            </w:r>
          </w:p>
        </w:tc>
        <w:tc>
          <w:tcPr/>
          <w:p>
            <w:pPr>
              <w:pStyle w:val="TableContents"/>
            </w:pPr>
            <w:r>
              <w:t>International Organization for Standardization — the independent international body that develops and publishes voluntary consensus standards, including ISO 14001 and ISO 45001 referenced as framework documents.</w:t>
            </w:r>
          </w:p>
        </w:tc>
      </w:tr>
      <w:tr>
        <w:tc>
          <w:tcPr/>
          <w:p>
            <w:pPr>
              <w:pStyle w:val="TableContents"/>
            </w:pPr>
            <w:r>
              <w:t>ICMM</w:t>
            </w:r>
          </w:p>
        </w:tc>
        <w:tc>
          <w:tcPr/>
          <w:p>
            <w:pPr>
              <w:pStyle w:val="TableContents"/>
            </w:pPr>
            <w:r>
              <w:t>International Council on Mining and Metals — the industry body whose principles and position statements constitute voluntary commitments and 'other requirements' applicable to Rio Tinto operations and projects.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8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Document Control Procedure</w:t>
            </w:r>
          </w:p>
        </w:tc>
        <w:tc>
          <w:tcPr/>
          <w:p>
            <w:pPr>
              <w:pStyle w:val="TableContents"/>
            </w:pPr>
            <w:r>
              <w:t>RTPR-HSE-PRO-0010</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Records Management Procedure</w:t>
            </w:r>
          </w:p>
        </w:tc>
        <w:tc>
          <w:tcPr/>
          <w:p>
            <w:pPr>
              <w:pStyle w:val="TableContents"/>
            </w:pPr>
            <w:r>
              <w:t>RTPR-HSE-PRO-0043</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Compliance and Legal Obligations</w:t>
            </w:r>
          </w:p>
        </w:tc>
        <w:tc>
          <w:tcPr/>
          <w:p>
            <w:pPr>
              <w:pStyle w:val="TableContents"/>
            </w:pPr>
            <w:r>
              <w:t>RT Risk Management Standard — Appendix C, C-1</w:t>
            </w:r>
          </w:p>
        </w:tc>
        <w:tc>
          <w:tcPr/>
          <w:p>
            <w:pPr>
              <w:pStyle w:val="TableContents"/>
            </w:pPr>
            <w:r>
              <w:t>External RT</w:t>
            </w:r>
          </w:p>
        </w:tc>
      </w:tr>
      <w:tr>
        <w:tc>
          <w:tcPr/>
          <w:p>
            <w:pPr>
              <w:pStyle w:val="TableContents"/>
            </w:pPr>
            <w:r>
              <w:t>Rio Tinto Health, Safety, Environment and Communities (HSEC) Way — Obligations Framework</w:t>
            </w:r>
          </w:p>
        </w:tc>
        <w:tc>
          <w:tcPr/>
          <w:p>
            <w:pPr>
              <w:pStyle w:val="TableContents"/>
            </w:pPr>
            <w:r>
              <w:t>RT HSEC Way</w:t>
            </w:r>
          </w:p>
        </w:tc>
        <w:tc>
          <w:tcPr/>
          <w:p>
            <w:pPr>
              <w:pStyle w:val="TableContents"/>
            </w:pPr>
            <w:r>
              <w:t>External RT</w:t>
            </w:r>
          </w:p>
        </w:tc>
      </w:tr>
      <w:tr>
        <w:tc>
          <w:tcPr/>
          <w:p>
            <w:pPr>
              <w:pStyle w:val="TableContents"/>
            </w:pPr>
            <w:r>
              <w:t>Rio Tinto Legal and Compliance Obligations Management Standard</w:t>
            </w:r>
          </w:p>
        </w:tc>
        <w:tc>
          <w:tcPr/>
          <w:p>
            <w:pPr>
              <w:pStyle w:val="TableContents"/>
            </w:pPr>
            <w:r>
              <w:t>RT Legal Compliance Standard</w:t>
            </w:r>
          </w:p>
        </w:tc>
        <w:tc>
          <w:tcPr/>
          <w:p>
            <w:pPr>
              <w:pStyle w:val="TableContents"/>
            </w:pPr>
            <w:r>
              <w:t>External RT</w:t>
            </w:r>
          </w:p>
        </w:tc>
      </w:tr>
      <w:tr>
        <w:tc>
          <w:tcPr/>
          <w:p>
            <w:pPr>
              <w:pStyle w:val="TableContents"/>
            </w:pPr>
            <w:r>
              <w:t>Environmental Management Systems — Requirements with Guidance for Use</w:t>
            </w:r>
          </w:p>
        </w:tc>
        <w:tc>
          <w:tcPr/>
          <w:p>
            <w:pPr>
              <w:pStyle w:val="TableContents"/>
            </w:pPr>
            <w:r>
              <w:t>ISO 14001:2015</w:t>
            </w:r>
          </w:p>
        </w:tc>
        <w:tc>
          <w:tcPr/>
          <w:p>
            <w:pPr>
              <w:pStyle w:val="TableContents"/>
            </w:pPr>
            <w:r>
              <w:t>External framework</w:t>
            </w:r>
          </w:p>
        </w:tc>
      </w:tr>
      <w:tr>
        <w:tc>
          <w:tcPr/>
          <w:p>
            <w:pPr>
              <w:pStyle w:val="TableContents"/>
            </w:pPr>
            <w:r>
              <w:t>Occupational Health and Safety Management Systems — Requirements with Guidance for Use</w:t>
            </w:r>
          </w:p>
        </w:tc>
        <w:tc>
          <w:tcPr/>
          <w:p>
            <w:pPr>
              <w:pStyle w:val="TableContents"/>
            </w:pPr>
            <w:r>
              <w:t>ISO 45001:2018</w:t>
            </w:r>
          </w:p>
        </w:tc>
        <w:tc>
          <w:tcPr/>
          <w:p>
            <w:pPr>
              <w:pStyle w:val="TableContents"/>
            </w:pPr>
            <w:r>
              <w:t>External framework</w:t>
            </w:r>
          </w:p>
        </w:tc>
      </w:tr>
      <w:tr>
        <w:tc>
          <w:tcPr/>
          <w:p>
            <w:pPr>
              <w:pStyle w:val="TableContents"/>
            </w:pPr>
            <w:r>
              <w:t>ICMM Mining Principles — Principle 6: Uphold Fundamental Human Rights and Respect Cultures, Customs and Values</w:t>
            </w:r>
          </w:p>
        </w:tc>
        <w:tc>
          <w:tcPr/>
          <w:p>
            <w:pPr>
              <w:pStyle w:val="TableContents"/>
            </w:pPr>
            <w:r>
              <w:t>ICMM 10 Mining Principles</w:t>
            </w:r>
          </w:p>
        </w:tc>
        <w:tc>
          <w:tcPr/>
          <w:p>
            <w:pPr>
              <w:pStyle w:val="TableContents"/>
            </w:pPr>
            <w:r>
              <w:t>External framework</w:t>
            </w:r>
          </w:p>
        </w:tc>
      </w:tr>
      <w:tr>
        <w:tc>
          <w:tcPr/>
          <w:p>
            <w:pPr>
              <w:pStyle w:val="TableContents"/>
            </w:pPr>
            <w:r>
              <w:t>Work Health and Safety Act (Model WHS Act)</w:t>
            </w:r>
          </w:p>
        </w:tc>
        <w:tc>
          <w:tcPr/>
          <w:p>
            <w:pPr>
              <w:pStyle w:val="TableContents"/>
            </w:pPr>
            <w:r>
              <w:t>Model WHS Act 2011 (as adopted in applicable jurisdictions)</w:t>
            </w:r>
          </w:p>
        </w:tc>
        <w:tc>
          <w:tcPr/>
          <w:p>
            <w:pPr>
              <w:pStyle w:val="TableContents"/>
            </w:pPr>
            <w:r>
              <w:t>External framework</w:t>
            </w:r>
          </w:p>
        </w:tc>
      </w:tr>
      <w:tr>
        <w:tc>
          <w:tcPr/>
          <w:p>
            <w:pPr>
              <w:pStyle w:val="TableContents"/>
            </w:pPr>
            <w:r>
              <w:t>Work Health and Safety Regulations (Model WHS Regulations)</w:t>
            </w:r>
          </w:p>
        </w:tc>
        <w:tc>
          <w:tcPr/>
          <w:p>
            <w:pPr>
              <w:pStyle w:val="TableContents"/>
            </w:pPr>
            <w:r>
              <w:t>Model WHS Regulations 2017 (as adopted in applicable jurisdictions)</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9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10  Source Requirements Traceability (DELETE BEFORE ISSUE)</w:t>
      </w:r>
    </w:p>
    <w:p>
      <w:pPr>
        <w:pStyle w:val="Heading2Numbered"/>
      </w:pPr>
      <w:r>
        <w:t>10.1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 Management &amp; Compliance Standard</w:t>
            </w:r>
          </w:p>
        </w:tc>
        <w:tc>
          <w:tcPr/>
          <w:p>
            <w:pPr>
              <w:pStyle w:val="TableContents"/>
            </w:pPr>
            <w:r>
              <w:t>Requires a continuous method for identifying, tracking, and updating regulatory requirements, with formal review at minimum quarterly and following any legislative or permit change.</w:t>
            </w:r>
          </w:p>
        </w:tc>
        <w:tc>
          <w:tcPr/>
          <w:p>
            <w:pPr>
              <w:pStyle w:val="TableContents"/>
            </w:pPr>
            <w:r>
              <w:t>Full</w:t>
            </w:r>
          </w:p>
        </w:tc>
      </w:tr>
      <w:tr>
        <w:tc>
          <w:tcPr/>
          <w:p>
            <w:pPr>
              <w:pStyle w:val="TableContents"/>
            </w:pPr>
            <w:r>
              <w:rPr>
                <w:b/>
                <w:bCs/>
                <w:color w:val="0059D1"/>
              </w:rPr>
              <w:t>[INSERT: section]</w:t>
            </w:r>
          </w:p>
        </w:tc>
        <w:tc>
          <w:tcPr/>
          <w:p>
            <w:pPr>
              <w:pStyle w:val="TableContents"/>
            </w:pPr>
            <w:r>
              <w:t>Appendix C C-1 §19</w:t>
            </w:r>
          </w:p>
        </w:tc>
        <w:tc>
          <w:tcPr/>
          <w:p>
            <w:pPr>
              <w:pStyle w:val="TableContents"/>
            </w:pPr>
            <w:r>
              <w:t>Requires submission of the regulatory requirements register to the project authority within 30 days of the Effective Date, with clearly defined roles and responsibilities for compliance, and communication of changed requirements to all project participants.</w:t>
            </w:r>
          </w:p>
        </w:tc>
        <w:tc>
          <w:tcPr/>
          <w:p>
            <w:pPr>
              <w:pStyle w:val="TableContents"/>
            </w:pPr>
            <w:r>
              <w:t>Full</w:t>
            </w:r>
          </w:p>
        </w:tc>
      </w:tr>
      <w:tr>
        <w:tc>
          <w:tcPr/>
          <w:p>
            <w:pPr>
              <w:pStyle w:val="TableContents"/>
            </w:pPr>
            <w:r>
              <w:rPr>
                <w:b/>
                <w:bCs/>
                <w:color w:val="0059D1"/>
              </w:rPr>
              <w:t>[INSERT: section]</w:t>
            </w:r>
          </w:p>
        </w:tc>
        <w:tc>
          <w:tcPr/>
          <w:p>
            <w:pPr>
              <w:pStyle w:val="TableContents"/>
            </w:pPr>
            <w:r>
              <w:t>IFC PS1 IFC PS1 §6 and Guidance Note §GN9</w:t>
            </w:r>
          </w:p>
        </w:tc>
        <w:tc>
          <w:tcPr/>
          <w:p>
            <w:pPr>
              <w:pStyle w:val="TableContents"/>
            </w:pPr>
            <w:r>
              <w:t>Requires that all permits, approvals, conditions of consent, and ESIA commitments are included in the register and tracked as binding obligations throughout the project lifecycle.</w:t>
            </w:r>
          </w:p>
        </w:tc>
        <w:tc>
          <w:tcPr/>
          <w:p>
            <w:pPr>
              <w:pStyle w:val="TableContents"/>
            </w:pPr>
            <w:r>
              <w:t>Full</w:t>
            </w:r>
          </w:p>
        </w:tc>
      </w:tr>
      <w:tr>
        <w:tc>
          <w:tcPr/>
          <w:p>
            <w:pPr>
              <w:pStyle w:val="TableContents"/>
            </w:pPr>
            <w:r>
              <w:rPr>
                <w:b/>
                <w:bCs/>
                <w:color w:val="0059D1"/>
              </w:rPr>
              <w:t>[INSERT: section]</w:t>
            </w:r>
          </w:p>
        </w:tc>
        <w:tc>
          <w:tcPr/>
          <w:p>
            <w:pPr>
              <w:pStyle w:val="TableContents"/>
            </w:pPr>
            <w:r>
              <w:t>IFC PS1 IFC PS1 Guidance Note §GN18</w:t>
            </w:r>
          </w:p>
        </w:tc>
        <w:tc>
          <w:tcPr/>
          <w:p>
            <w:pPr>
              <w:pStyle w:val="TableContents"/>
            </w:pPr>
            <w:r>
              <w:t>Requires that where host country laws are less stringent than IFC Performance Standards or World Bank EHS Guidelines, the more stringent requirement is documented as the project standard.</w:t>
            </w:r>
          </w:p>
        </w:tc>
        <w:tc>
          <w:tcPr/>
          <w:p>
            <w:pPr>
              <w:pStyle w:val="TableContents"/>
            </w:pPr>
            <w:r>
              <w:t>Full</w:t>
            </w:r>
          </w:p>
        </w:tc>
      </w:tr>
      <w:tr>
        <w:tc>
          <w:tcPr/>
          <w:p>
            <w:pPr>
              <w:pStyle w:val="TableContents"/>
            </w:pPr>
            <w:r>
              <w:rPr>
                <w:b/>
                <w:bCs/>
                <w:color w:val="0059D1"/>
              </w:rPr>
              <w:t>[INSERT: section]</w:t>
            </w:r>
          </w:p>
        </w:tc>
        <w:tc>
          <w:tcPr/>
          <w:p>
            <w:pPr>
              <w:pStyle w:val="TableContents"/>
            </w:pPr>
            <w:r>
              <w:t>IFC PS1 IFC PS1 Guidance Note §GN33</w:t>
            </w:r>
          </w:p>
        </w:tc>
        <w:tc>
          <w:tcPr/>
          <w:p>
            <w:pPr>
              <w:pStyle w:val="TableContents"/>
            </w:pPr>
            <w:r>
              <w:t>Requires that legal requirements are communicated to contractors through contractual clauses and that contractor compliance is monitored through the project ESMS.</w:t>
            </w:r>
          </w:p>
        </w:tc>
        <w:tc>
          <w:tcPr/>
          <w:p>
            <w:pPr>
              <w:pStyle w:val="TableContents"/>
            </w:pPr>
            <w:r>
              <w:t>Full</w:t>
            </w:r>
          </w:p>
        </w:tc>
      </w:tr>
      <w:tr>
        <w:tc>
          <w:tcPr/>
          <w:p>
            <w:pPr>
              <w:pStyle w:val="TableContents"/>
            </w:pPr>
            <w:r>
              <w:rPr>
                <w:b/>
                <w:bCs/>
                <w:color w:val="0059D1"/>
              </w:rPr>
              <w:t>[INSERT: section]</w:t>
            </w:r>
          </w:p>
        </w:tc>
        <w:tc>
          <w:tcPr/>
          <w:p>
            <w:pPr>
              <w:pStyle w:val="TableContents"/>
            </w:pPr>
            <w:r>
              <w:t>IFC PS1 IFC PS1 §11</w:t>
            </w:r>
          </w:p>
        </w:tc>
        <w:tc>
          <w:tcPr/>
          <w:p>
            <w:pPr>
              <w:pStyle w:val="TableContents"/>
            </w:pPr>
            <w:r>
              <w:t>Requires that any identified non-compliance with applicable laws, regulations, or permit conditions triggers a corrective action process documented in the project action tracking system with a defined closeout date and owner.</w:t>
            </w:r>
          </w:p>
        </w:tc>
        <w:tc>
          <w:tcPr/>
          <w:p>
            <w:pPr>
              <w:pStyle w:val="TableContents"/>
            </w:pPr>
            <w:r>
              <w:t>Full</w:t>
            </w:r>
          </w:p>
        </w:tc>
      </w:tr>
      <w:tr>
        <w:tc>
          <w:tcPr/>
          <w:p>
            <w:pPr>
              <w:pStyle w:val="TableContents"/>
            </w:pPr>
            <w:r>
              <w:rPr>
                <w:b/>
                <w:bCs/>
                <w:color w:val="0059D1"/>
              </w:rPr>
              <w:t>[INSERT: section]</w:t>
            </w:r>
          </w:p>
        </w:tc>
        <w:tc>
          <w:tcPr/>
          <w:p>
            <w:pPr>
              <w:pStyle w:val="TableContents"/>
            </w:pPr>
            <w:r>
              <w:t>ICMM ICMM Principle 1 – Ethical Business</w:t>
            </w:r>
          </w:p>
        </w:tc>
        <w:tc>
          <w:tcPr/>
          <w:p>
            <w:pPr>
              <w:pStyle w:val="TableContents"/>
            </w:pPr>
            <w:r>
              <w:t>Requires that the project commits to full compliance with applicable national and international laws, regulations, and voluntary commitments to which the organisation subscribes.</w:t>
            </w:r>
          </w:p>
        </w:tc>
        <w:tc>
          <w:tcPr/>
          <w:p>
            <w:pPr>
              <w:pStyle w:val="TableContents"/>
            </w:pPr>
            <w:r>
              <w:t>Full</w:t>
            </w:r>
          </w:p>
        </w:tc>
      </w:tr>
      <w:tr>
        <w:tc>
          <w:tcPr/>
          <w:p>
            <w:pPr>
              <w:pStyle w:val="TableContents"/>
            </w:pPr>
            <w:r>
              <w:rPr>
                <w:b/>
                <w:bCs/>
                <w:color w:val="0059D1"/>
              </w:rPr>
              <w:t>[INSERT: section]</w:t>
            </w:r>
          </w:p>
        </w:tc>
        <w:tc>
          <w:tcPr/>
          <w:p>
            <w:pPr>
              <w:pStyle w:val="TableContents"/>
            </w:pPr>
            <w:r>
              <w:t>TSM TSM – Safe, Healthy and Respectful Workplaces Protocol, Indicator SH1</w:t>
            </w:r>
          </w:p>
        </w:tc>
        <w:tc>
          <w:tcPr/>
          <w:p>
            <w:pPr>
              <w:pStyle w:val="TableContents"/>
            </w:pPr>
            <w:r>
              <w:t>Requires that all applicable occupational health and safety legislation is captured in the register and that senior management accountability for its currency is clearly assigned.</w:t>
            </w:r>
          </w:p>
        </w:tc>
        <w:tc>
          <w:tcPr/>
          <w:p>
            <w:pPr>
              <w:pStyle w:val="TableContents"/>
            </w:pPr>
            <w:r>
              <w:t>Full</w:t>
            </w:r>
          </w:p>
        </w:tc>
      </w:tr>
      <w:tr>
        <w:tc>
          <w:tcPr/>
          <w:p>
            <w:pPr>
              <w:pStyle w:val="TableContents"/>
            </w:pPr>
            <w:r>
              <w:rPr>
                <w:b/>
                <w:bCs/>
                <w:color w:val="0059D1"/>
              </w:rPr>
              <w:t>[INSERT: section]</w:t>
            </w:r>
          </w:p>
        </w:tc>
        <w:tc>
          <w:tcPr/>
          <w:p>
            <w:pPr>
              <w:pStyle w:val="TableContents"/>
            </w:pPr>
            <w:r>
              <w:t>OSHA OSHA RP 2016 – Management Leadership</w:t>
            </w:r>
          </w:p>
        </w:tc>
        <w:tc>
          <w:tcPr/>
          <w:p>
            <w:pPr>
              <w:pStyle w:val="TableContents"/>
            </w:pPr>
            <w:r>
              <w:t>Requires assignment of a named accountable role with authority to ensure the register is current and compliance obligations are actioned within defined timeframes.</w:t>
            </w:r>
          </w:p>
        </w:tc>
        <w:tc>
          <w:tcPr/>
          <w:p>
            <w:pPr>
              <w:pStyle w:val="TableContents"/>
            </w:pPr>
            <w:r>
              <w:t>Full</w:t>
            </w:r>
          </w:p>
        </w:tc>
      </w:tr>
      <w:tr>
        <w:tc>
          <w:tcPr/>
          <w:p>
            <w:pPr>
              <w:pStyle w:val="TableContents"/>
            </w:pPr>
            <w:r>
              <w:rPr>
                <w:b/>
                <w:bCs/>
                <w:color w:val="0059D1"/>
              </w:rPr>
              <w:t>[INSERT: section]</w:t>
            </w:r>
          </w:p>
        </w:tc>
        <w:tc>
          <w:tcPr/>
          <w:p>
            <w:pPr>
              <w:pStyle w:val="TableContents"/>
            </w:pPr>
            <w:r>
              <w:t>OSHA OSHA RP 2016 – Worker Participation</w:t>
            </w:r>
          </w:p>
        </w:tc>
        <w:tc>
          <w:tcPr/>
          <w:p>
            <w:pPr>
              <w:pStyle w:val="TableContents"/>
            </w:pPr>
            <w:r>
              <w:t>Requires that workers have access to information about the legal and regulatory requirements applicable to their work, including their rights under applicable health and safety law.</w:t>
            </w:r>
          </w:p>
        </w:tc>
        <w:tc>
          <w:tcPr/>
          <w:p>
            <w:pPr>
              <w:pStyle w:val="TableContents"/>
            </w:pPr>
            <w:r>
              <w:t>Full</w:t>
            </w:r>
          </w:p>
        </w:tc>
      </w:tr>
    </w:tbl>
    <w:p>
      <w:pPr>
        <w:pStyle w:val="Default"/>
      </w:pPr>
    </w:p>
    <w:p>
      <w:pPr>
        <w:pStyle w:val="Heading2Numbered"/>
      </w:pPr>
      <w:r>
        <w:t>10.2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