
<file path=[Content_Types].xml><?xml version="1.0" encoding="utf-8"?>
<Types xmlns="http://schemas.openxmlformats.org/package/2006/content-types">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Props/core0.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openxmlformats.org/officedocument/2006/relationships/metadata/core-properties" Target="docProps/core0.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4AC7248" w14:textId="77777777" w:rsidR="00240E6E" w:rsidRDefault="00E31E85" w:rsidP="004D6E31">
      <w:pPr>
        <w:pStyle w:val="Subtitle"/>
      </w:pPr>
      <w:r>
        <w:t>Procedure</w:t>
      </w:r>
    </w:p>
    <w:p w14:paraId="66A8DEA3" w14:textId="3F068664" w:rsidR="003C2B09" w:rsidRPr="00DF7812" w:rsidRDefault="00B03658" w:rsidP="00240E6E">
      <w:pPr>
        <w:pStyle w:val="FrontcoverHeading"/>
        <w:spacing w:before="0"/>
      </w:pPr>
      <w:r>
        <w:t>Supplier and Contractor Management</w:t>
      </w:r>
    </w:p>
    <w:p w14:paraId="7772130A" w14:textId="77777777" w:rsidR="00194B94" w:rsidRPr="005157BB" w:rsidRDefault="00194B94" w:rsidP="005157BB">
      <w:pPr>
        <w:pStyle w:val="AutomatedProjectName"/>
        <w:spacing w:before="120" w:after="360"/>
        <w:rPr>
          <w:noProof/>
          <w:color w:val="404040" w:themeColor="text1" w:themeTint="BF"/>
          <w:sz w:val="36"/>
          <w:szCs w:val="36"/>
        </w:rPr>
      </w:pPr>
      <w:r>
        <w:rPr>
          <w:noProof/>
          <w:color w:val="404040" w:themeColor="text1" w:themeTint="BF"/>
          <w:sz w:val="36"/>
          <w:szCs w:val="36"/>
        </w:rPr>
        <mc:AlternateContent>
          <mc:Choice Requires="wps">
            <w:drawing>
              <wp:anchor distT="0" distB="0" distL="114300" distR="114300" simplePos="0" relativeHeight="251666944" behindDoc="1" locked="0" layoutInCell="1" allowOverlap="1" wp14:anchorId="56037885" wp14:editId="12603C25">
                <wp:simplePos x="0" y="0"/>
                <wp:positionH relativeFrom="column">
                  <wp:posOffset>3810</wp:posOffset>
                </wp:positionH>
                <wp:positionV relativeFrom="paragraph">
                  <wp:posOffset>498475</wp:posOffset>
                </wp:positionV>
                <wp:extent cx="6120130" cy="0"/>
                <wp:effectExtent l="0" t="19050" r="52070" b="38100"/>
                <wp:wrapTight wrapText="bothSides">
                  <wp:wrapPolygon edited="0">
                    <wp:start x="0" y="-1"/>
                    <wp:lineTo x="0" y="-1"/>
                    <wp:lineTo x="21717" y="-1"/>
                    <wp:lineTo x="21717" y="-1"/>
                    <wp:lineTo x="0" y="-1"/>
                  </wp:wrapPolygon>
                </wp:wrapTight>
                <wp:docPr id="220367452" name="Straight Connector 6"/>
                <wp:cNvGraphicFramePr/>
                <a:graphic xmlns:a="http://schemas.openxmlformats.org/drawingml/2006/main">
                  <a:graphicData uri="http://schemas.microsoft.com/office/word/2010/wordprocessingShape">
                    <wps:wsp>
                      <wps:cNvCnPr/>
                      <wps:spPr>
                        <a:xfrm>
                          <a:off x="0" y="0"/>
                          <a:ext cx="6120130" cy="0"/>
                        </a:xfrm>
                        <a:prstGeom prst="line">
                          <a:avLst/>
                        </a:prstGeom>
                        <a:ln w="57150">
                          <a:solidFill>
                            <a:schemeClr val="tx1">
                              <a:lumMod val="75000"/>
                              <a:lumOff val="25000"/>
                            </a:schemeClr>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page">
                  <wp14:pctWidth>0</wp14:pctWidth>
                </wp14:sizeRelH>
                <wp14:sizeRelV relativeFrom="page">
                  <wp14:pctHeight>0</wp14:pctHeight>
                </wp14:sizeRelV>
              </wp:anchor>
            </w:drawing>
          </mc:Choice>
          <mc:Fallback>
            <w:pict>
              <v:line w14:anchorId="7B9FC26C" id="Straight Connector 6" o:spid="_x0000_s1026" style="position:absolute;z-index:-2516495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3pt,39.25pt" to="482.2pt,39.25pt"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B0HJXF2AEAABkEAAAOAAAAZHJzL2Uyb0RvYy54bWysU8tu2zAQvBfoPxC815IcOCkEyzkkSC/N A318AEMtLQJ8gWQs+e+zJGU5aU8tcqGk3Z3ZneFqez1pRQ7gg7Smo82qpgQMt700+47+/nX35Ssl ITLTM2UNdPQIgV7vPn/ajq6FtR2s6sETJDGhHV1HhxhdW1WBD6BZWFkHBpPCes0ifvp91Xs2IrtW 1bquL6vR+t55yyEEjN6WJN1lfiGAx0chAkSiOoqzxXz6fD6ns9ptWbv3zA2Sz2Ow/5hCM2mw6UJ1 yyIjL17+RaUl9zZYEVfc6soKITlkDaimqf9Q83NgDrIWNCe4xabwcbT84XBjnjzaMLrQBvfkk4pJ eJ2eOB+ZslnHxSyYIuEYvGxw4gv0lJ9y1RnofIjfwGqSXjqqpEk6WMsO30PEZlh6KklhZcjY0c1V s6lzWbBK9ndSqZTMuwA3ypMDw1uMU5Nr1Iu+t32JXW3qer5LDOONl/D6FMZ2C0tu/qYB5pTB4Fl/ fotHBWW0HyCI7FFx6bsQlR6MczCxSYuUmbA6wQQOvwBnUWmnzzreA+f6BIW8tv8CXhC5szVxAWtp rC+Wvu+eXCwji1J/cqDoThY82/6YNyNbg/uXFc7/Slrwt98Zfv6jd68AAAD//wMAUEsDBBQABgAI AAAAIQA73xSf3QAAAAYBAAAPAAAAZHJzL2Rvd25yZXYueG1sTI5fT8IwFMXfTfgOzTXxTToEB8x1 xGAkMfgimBjeSntZF9bbZS1s8Omt8UEfz5+c88sXva3ZGVtfORIwGibAkJTTFZUCPrev9zNgPkjS snaEAi7oYVEMbnKZadfRB543oWRxhHwmBZgQmoxzrwxa6YeuQYrZwbVWhijbkutWdnHc1vwhSVJu ZUXxwcgGlwbVcXOyAt7HdnxdXtfmgOpt1329rC4jtRLi7rZ/fgIWsA9/ZfjBj+hQRKa9O5H2rBaQ xp6A6ewRWEzn6WQCbP9r8CLn//GLbwAAAP//AwBQSwECLQAUAAYACAAAACEAtoM4kv4AAADhAQAA EwAAAAAAAAAAAAAAAAAAAAAAW0NvbnRlbnRfVHlwZXNdLnhtbFBLAQItABQABgAIAAAAIQA4/SH/ 1gAAAJQBAAALAAAAAAAAAAAAAAAAAC8BAABfcmVscy8ucmVsc1BLAQItABQABgAIAAAAIQB0HJXF 2AEAABkEAAAOAAAAAAAAAAAAAAAAAC4CAABkcnMvZTJvRG9jLnhtbFBLAQItABQABgAIAAAAIQA7 3xSf3QAAAAYBAAAPAAAAAAAAAAAAAAAAADIEAABkcnMvZG93bnJldi54bWxQSwUGAAAAAAQABADz AAAAPAUAAAAA " strokecolor="#404040 [2429]" strokeweight="4.5pt">
                <v:stroke joinstyle="miter"/>
                <w10:wrap type="tight"/>
              </v:line>
            </w:pict>
          </mc:Fallback>
        </mc:AlternateContent>
      </w:r>
      <w:r>
        <w:rPr>
          <w:noProof/>
          <w:color w:val="404040" w:themeColor="text1" w:themeTint="BF"/>
          <w:sz w:val="36"/>
          <w:szCs w:val="36"/>
        </w:rPr>
        <w:t>[Enter Project Name]</w:t>
      </w:r>
    </w:p>
    <w:p w14:paraId="6E516230" w14:textId="77777777" w:rsidR="003C2B09" w:rsidRDefault="003C2B09" w:rsidP="003C2B09"/>
    <w:p w14:paraId="4330B982" w14:textId="77777777" w:rsidR="00FC1013" w:rsidRDefault="00FC1013"/>
    <w:p w14:paraId="3F49839F" w14:textId="77777777" w:rsidR="00FC1013" w:rsidRDefault="00FC1013"/>
    <w:p w14:paraId="024B4AF9" w14:textId="77777777" w:rsidR="00FC1013" w:rsidRDefault="00FC1013"/>
    <w:p w14:paraId="1D87EEA0" w14:textId="77777777" w:rsidR="00FC1013" w:rsidRDefault="00FC1013"/>
    <w:p w14:paraId="02DA4480" w14:textId="77777777" w:rsidR="00FC1013" w:rsidRDefault="00FC1013"/>
    <w:p w14:paraId="0A829ADA" w14:textId="77777777" w:rsidR="00FC1013" w:rsidRDefault="00FC1013"/>
    <w:p w14:paraId="4F7B4116" w14:textId="77777777" w:rsidR="00FC1013" w:rsidRDefault="00FC1013"/>
    <w:p w14:paraId="467CDA0D" w14:textId="77777777" w:rsidR="00FC1013" w:rsidRDefault="00FC1013"/>
    <w:p w14:paraId="3EC5F2F3" w14:textId="77777777" w:rsidR="00FC1013" w:rsidRDefault="00FC1013"/>
    <w:p w14:paraId="4B062008" w14:textId="77777777" w:rsidR="00FC1013" w:rsidRDefault="00FC1013"/>
    <w:p w14:paraId="45079EE2" w14:textId="77777777" w:rsidR="00FC1013" w:rsidRDefault="00FC1013"/>
    <w:p w14:paraId="506724FC" w14:textId="77777777" w:rsidR="00FC1013" w:rsidRDefault="00FC1013"/>
    <w:p w14:paraId="2002AC11" w14:textId="77777777" w:rsidR="00FC1013" w:rsidRDefault="00FC1013"/>
    <w:p w14:paraId="218FDDD2" w14:textId="77777777" w:rsidR="00FC1013" w:rsidRDefault="00FC1013"/>
    <w:p w14:paraId="273D8C5E" w14:textId="77777777" w:rsidR="00FC1013" w:rsidRDefault="00FC1013"/>
    <w:p w14:paraId="7F3ECC22" w14:textId="77777777" w:rsidR="00FC1013" w:rsidRDefault="00FC1013"/>
    <w:p w14:paraId="272A3A53" w14:textId="77777777" w:rsidR="00FC1013" w:rsidRDefault="00FC1013"/>
    <w:p w14:paraId="1A0C534D" w14:textId="77777777" w:rsidR="00FC1013" w:rsidRDefault="00FC1013"/>
    <w:p w14:paraId="65E47FF2" w14:textId="77777777" w:rsidR="00FC1013" w:rsidRDefault="00FC1013"/>
    <w:p w14:paraId="0A0D51FD" w14:textId="77777777" w:rsidR="00FC1013" w:rsidRDefault="00FC1013"/>
    <w:p w14:paraId="3C0F200A" w14:textId="77777777" w:rsidR="00FC1013" w:rsidRDefault="00FC1013"/>
    <w:p w14:paraId="2B4D0443" w14:textId="77777777" w:rsidR="00FC1013" w:rsidRDefault="00FC1013"/>
    <w:p w14:paraId="44A95602" w14:textId="77777777" w:rsidR="00FC1013" w:rsidRDefault="00FC1013"/>
    <w:p w14:paraId="2F555222" w14:textId="77777777" w:rsidR="00FC1013" w:rsidRDefault="00FC1013"/>
    <w:p w14:paraId="773CC029" w14:textId="77777777" w:rsidR="00FC1013" w:rsidRDefault="00FC1013"/>
    <w:p w14:paraId="70A4CE9E" w14:textId="77777777" w:rsidR="00FC1013" w:rsidRDefault="00FC1013"/>
    <w:p w14:paraId="7D9768A0" w14:textId="77777777" w:rsidR="00FC1013" w:rsidRDefault="00FC1013"/>
    <w:tbl>
      <w:tblPr>
        <w:tblStyle w:val="Holdingtable"/>
        <w:tblW w:w="9622" w:type="dxa"/>
        <w:tblLayout w:type="fixed"/>
        <w:tblCellMar>
          <w:left w:w="0" w:type="dxa"/>
          <w:right w:w="0" w:type="dxa"/>
        </w:tblCellMar>
        <w:tblLook w:val="04A0" w:firstRow="1" w:lastRow="0" w:firstColumn="1" w:lastColumn="0" w:noHBand="0" w:noVBand="1"/>
      </w:tblPr>
      <w:tblGrid>
        <w:gridCol w:w="3207"/>
        <w:gridCol w:w="1895"/>
        <w:gridCol w:w="4520"/>
      </w:tblGrid>
      <w:tr w:rsidR="00FC1013" w14:paraId="6E9D92D4" w14:textId="77777777">
        <w:tc>
          <w:tcPr>
            <w:tcW w:w="3207" w:type="dxa"/>
          </w:tcPr>
          <w:p w14:paraId="3495AB40" w14:textId="77777777" w:rsidR="00FC1013" w:rsidRDefault="004C465B">
            <w:pPr>
              <w:rPr>
                <w:rFonts w:ascii="Arial" w:eastAsia="Arial" w:hAnsi="Arial"/>
              </w:rPr>
            </w:pPr>
            <w:r>
              <w:rPr>
                <w:rFonts w:eastAsia="Arial"/>
                <w:b/>
                <w:bCs/>
              </w:rPr>
              <w:t>Document Number</w:t>
            </w:r>
          </w:p>
        </w:tc>
        <w:tc>
          <w:tcPr>
            <w:tcW w:w="1895" w:type="dxa"/>
          </w:tcPr>
          <w:p w14:paraId="6CD78A18" w14:textId="77777777" w:rsidR="00FC1013" w:rsidRDefault="004C465B">
            <w:pPr>
              <w:rPr>
                <w:b/>
                <w:bCs/>
              </w:rPr>
            </w:pPr>
            <w:r>
              <w:rPr>
                <w:rFonts w:eastAsia="Arial"/>
                <w:b/>
                <w:bCs/>
              </w:rPr>
              <w:t>Revision</w:t>
            </w:r>
          </w:p>
        </w:tc>
        <w:tc>
          <w:tcPr>
            <w:tcW w:w="4520" w:type="dxa"/>
          </w:tcPr>
          <w:p w14:paraId="23D99E60" w14:textId="77777777" w:rsidR="00FC1013" w:rsidRDefault="004C465B">
            <w:pPr>
              <w:rPr>
                <w:b/>
                <w:bCs/>
              </w:rPr>
            </w:pPr>
            <w:r>
              <w:rPr>
                <w:rFonts w:eastAsia="Arial"/>
                <w:b/>
                <w:bCs/>
              </w:rPr>
              <w:t>Date</w:t>
            </w:r>
          </w:p>
        </w:tc>
      </w:tr>
      <w:tr w:rsidR="00FC1013" w14:paraId="153840A8" w14:textId="77777777">
        <w:trPr>
          <w:trHeight w:val="466"/>
        </w:trPr>
        <w:tc>
          <w:tcPr>
            <w:tcW w:w="3207" w:type="dxa"/>
          </w:tcPr>
          <w:p w14:paraId="2E16B392" w14:textId="77777777" w:rsidR="00FC1013" w:rsidRDefault="004C465B">
            <w:pPr>
              <w:rPr>
                <w:rFonts w:ascii="Arial" w:eastAsia="Arial" w:hAnsi="Arial"/>
              </w:rPr>
            </w:pPr>
            <w:r>
              <w:rPr>
                <w:rFonts w:eastAsia="Arial"/>
              </w:rPr>
              <w:t>RTPR-HSE-PRO-XXXX</w:t>
            </w:r>
          </w:p>
        </w:tc>
        <w:tc>
          <w:tcPr>
            <w:tcW w:w="1895" w:type="dxa"/>
          </w:tcPr>
          <w:p w14:paraId="37F3B8E3" w14:textId="77777777" w:rsidR="00FC1013" w:rsidRDefault="004C465B">
            <w:pPr>
              <w:rPr>
                <w:rFonts w:ascii="Arial" w:eastAsia="Arial" w:hAnsi="Arial"/>
              </w:rPr>
            </w:pPr>
            <w:r>
              <w:rPr>
                <w:rFonts w:eastAsia="Arial"/>
              </w:rPr>
              <w:t>Rev 0</w:t>
            </w:r>
          </w:p>
        </w:tc>
        <w:tc>
          <w:tcPr>
            <w:tcW w:w="4520" w:type="dxa"/>
          </w:tcPr>
          <w:p w14:paraId="1C08B5EF" w14:textId="77777777" w:rsidR="00FC1013" w:rsidRDefault="00C46050">
            <w:pPr>
              <w:rPr>
                <w:rFonts w:ascii="Arial" w:eastAsia="Arial" w:hAnsi="Arial"/>
              </w:rPr>
            </w:pPr>
            <w:r>
              <w:rPr>
                <w:rFonts w:eastAsia="Arial"/>
              </w:rPr>
              <w:t>30/06/2026</w:t>
            </w:r>
          </w:p>
        </w:tc>
      </w:tr>
    </w:tbl>
    <w:p w14:paraId="2A1534AA" w14:textId="77777777" w:rsidR="00FC1013" w:rsidRDefault="00FC1013"/>
    <w:p w14:paraId="0A922A1D" w14:textId="77777777" w:rsidR="00FC1013" w:rsidRDefault="00FC1013"/>
    <w:tbl>
      <w:tblPr>
        <w:tblStyle w:val="TableGrid"/>
        <w:tblW w:w="9597" w:type="dxa"/>
        <w:tblInd w:w="-10" w:type="dxa"/>
        <w:tblLayout w:type="fixed"/>
        <w:tblLook w:val="04A0" w:firstRow="1" w:lastRow="0" w:firstColumn="1" w:lastColumn="0" w:noHBand="0" w:noVBand="1"/>
      </w:tblPr>
      <w:tblGrid>
        <w:gridCol w:w="1419"/>
        <w:gridCol w:w="1847"/>
        <w:gridCol w:w="3260"/>
        <w:gridCol w:w="3071"/>
      </w:tblGrid>
      <w:tr w:rsidR="00FC1013" w14:paraId="42A4BE91" w14:textId="77777777">
        <w:trPr>
          <w:trHeight w:val="340"/>
        </w:trPr>
        <w:tc>
          <w:tcPr>
            <w:tcW w:w="1418" w:type="dxa"/>
            <w:shd w:val="clear" w:color="auto" w:fill="F2F2F2" w:themeFill="background1" w:themeFillShade="F2"/>
          </w:tcPr>
          <w:p w14:paraId="24665189" w14:textId="77777777" w:rsidR="00FC1013" w:rsidRDefault="004C465B">
            <w:pPr>
              <w:rPr>
                <w:b/>
                <w:bCs/>
              </w:rPr>
            </w:pPr>
            <w:r>
              <w:rPr>
                <w:rFonts w:eastAsia="Arial"/>
                <w:b/>
                <w:bCs/>
              </w:rPr>
              <w:t xml:space="preserve"> Status</w:t>
            </w:r>
          </w:p>
        </w:tc>
        <w:tc>
          <w:tcPr>
            <w:tcW w:w="1847" w:type="dxa"/>
            <w:shd w:val="clear" w:color="auto" w:fill="F2F2F2" w:themeFill="background1" w:themeFillShade="F2"/>
          </w:tcPr>
          <w:p w14:paraId="0452B4B0" w14:textId="77777777" w:rsidR="00FC1013" w:rsidRDefault="004C465B">
            <w:pPr>
              <w:rPr>
                <w:b/>
                <w:bCs/>
              </w:rPr>
            </w:pPr>
            <w:r>
              <w:rPr>
                <w:rFonts w:eastAsia="Arial"/>
                <w:b/>
                <w:bCs/>
              </w:rPr>
              <w:t>Name</w:t>
            </w:r>
          </w:p>
        </w:tc>
        <w:tc>
          <w:tcPr>
            <w:tcW w:w="3260" w:type="dxa"/>
            <w:shd w:val="clear" w:color="auto" w:fill="F2F2F2" w:themeFill="background1" w:themeFillShade="F2"/>
          </w:tcPr>
          <w:p w14:paraId="73EA7516" w14:textId="77777777" w:rsidR="00FC1013" w:rsidRDefault="004C465B">
            <w:pPr>
              <w:rPr>
                <w:b/>
                <w:bCs/>
              </w:rPr>
            </w:pPr>
            <w:r>
              <w:rPr>
                <w:rFonts w:eastAsia="Arial"/>
                <w:b/>
                <w:bCs/>
              </w:rPr>
              <w:t>Position</w:t>
            </w:r>
          </w:p>
        </w:tc>
        <w:tc>
          <w:tcPr>
            <w:tcW w:w="3071" w:type="dxa"/>
            <w:shd w:val="clear" w:color="auto" w:fill="F2F2F2" w:themeFill="background1" w:themeFillShade="F2"/>
          </w:tcPr>
          <w:p w14:paraId="049AD331" w14:textId="77777777" w:rsidR="00FC1013" w:rsidRDefault="004C465B">
            <w:pPr>
              <w:rPr>
                <w:b/>
                <w:bCs/>
              </w:rPr>
            </w:pPr>
            <w:r>
              <w:rPr>
                <w:rFonts w:eastAsia="Arial"/>
                <w:b/>
                <w:bCs/>
              </w:rPr>
              <w:t>Signature</w:t>
            </w:r>
          </w:p>
        </w:tc>
      </w:tr>
      <w:tr w:rsidR="00FC1013" w14:paraId="17860165" w14:textId="77777777">
        <w:trPr>
          <w:trHeight w:val="340"/>
        </w:trPr>
        <w:tc>
          <w:tcPr>
            <w:tcW w:w="1418" w:type="dxa"/>
            <w:tcBorders>
              <w:bottom w:val="dotted" w:sz="4" w:space="0" w:color="000000"/>
            </w:tcBorders>
          </w:tcPr>
          <w:p w14:paraId="452F8A41" w14:textId="77777777" w:rsidR="00FC1013" w:rsidRDefault="004C465B">
            <w:pPr>
              <w:rPr>
                <w:rFonts w:ascii="Arial" w:eastAsia="Arial" w:hAnsi="Arial"/>
              </w:rPr>
            </w:pPr>
            <w:r>
              <w:rPr>
                <w:rFonts w:eastAsia="Arial"/>
              </w:rPr>
              <w:t>Originator</w:t>
            </w:r>
          </w:p>
        </w:tc>
        <w:tc>
          <w:tcPr>
            <w:tcW w:w="1847" w:type="dxa"/>
            <w:tcBorders>
              <w:bottom w:val="dotted" w:sz="4" w:space="0" w:color="000000"/>
            </w:tcBorders>
          </w:tcPr>
          <w:p w14:paraId="4BD7C7B0" w14:textId="77777777" w:rsidR="00FC1013" w:rsidRDefault="004C465B">
            <w:pPr>
              <w:rPr>
                <w:rFonts w:ascii="Arial" w:eastAsia="Arial" w:hAnsi="Arial"/>
              </w:rPr>
            </w:pPr>
            <w:r>
              <w:rPr>
                <w:rFonts w:eastAsia="Arial"/>
              </w:rPr>
              <w:t>Ashleigh Phillips</w:t>
            </w:r>
          </w:p>
        </w:tc>
        <w:tc>
          <w:tcPr>
            <w:tcW w:w="3260" w:type="dxa"/>
            <w:tcBorders>
              <w:bottom w:val="dotted" w:sz="4" w:space="0" w:color="000000"/>
            </w:tcBorders>
          </w:tcPr>
          <w:p w14:paraId="3014903E" w14:textId="77777777" w:rsidR="00FC1013" w:rsidRDefault="004C465B">
            <w:pPr>
              <w:rPr>
                <w:rFonts w:ascii="Arial" w:eastAsia="Arial" w:hAnsi="Arial"/>
              </w:rPr>
            </w:pPr>
            <w:r>
              <w:rPr>
                <w:rFonts w:eastAsia="Arial"/>
              </w:rPr>
              <w:t>[External] HSES Industry Partners</w:t>
            </w:r>
          </w:p>
        </w:tc>
        <w:tc>
          <w:tcPr>
            <w:tcW w:w="3071" w:type="dxa"/>
            <w:tcBorders>
              <w:bottom w:val="dotted" w:sz="4" w:space="0" w:color="000000"/>
            </w:tcBorders>
          </w:tcPr>
          <w:p w14:paraId="1FEE642E" w14:textId="77777777" w:rsidR="00FC1013" w:rsidRDefault="00FC1013">
            <w:pPr>
              <w:rPr>
                <w:rFonts w:ascii="Arial" w:eastAsia="Arial" w:hAnsi="Arial"/>
              </w:rPr>
            </w:pPr>
          </w:p>
        </w:tc>
      </w:tr>
      <w:tr w:rsidR="00FC1013" w14:paraId="3F76D41D" w14:textId="77777777">
        <w:trPr>
          <w:trHeight w:val="340"/>
        </w:trPr>
        <w:tc>
          <w:tcPr>
            <w:tcW w:w="1418" w:type="dxa"/>
            <w:tcBorders>
              <w:top w:val="dotted" w:sz="4" w:space="0" w:color="000000"/>
              <w:bottom w:val="dotted" w:sz="4" w:space="0" w:color="000000"/>
            </w:tcBorders>
          </w:tcPr>
          <w:p w14:paraId="0AF03A84" w14:textId="77777777" w:rsidR="00FC1013" w:rsidRDefault="004C465B">
            <w:pPr>
              <w:rPr>
                <w:rFonts w:ascii="Arial" w:eastAsia="Arial" w:hAnsi="Arial"/>
              </w:rPr>
            </w:pPr>
            <w:r>
              <w:rPr>
                <w:rFonts w:eastAsia="Arial"/>
              </w:rPr>
              <w:t>Reviewed</w:t>
            </w:r>
          </w:p>
        </w:tc>
        <w:tc>
          <w:tcPr>
            <w:tcW w:w="1847" w:type="dxa"/>
            <w:tcBorders>
              <w:top w:val="dotted" w:sz="4" w:space="0" w:color="000000"/>
              <w:bottom w:val="dotted" w:sz="4" w:space="0" w:color="000000"/>
            </w:tcBorders>
          </w:tcPr>
          <w:p w14:paraId="3D017D9F" w14:textId="77777777" w:rsidR="00FC1013" w:rsidRDefault="004C465B">
            <w:pPr>
              <w:rPr>
                <w:rFonts w:ascii="Arial" w:eastAsia="Arial" w:hAnsi="Arial"/>
              </w:rPr>
            </w:pPr>
            <w:r>
              <w:rPr>
                <w:rFonts w:eastAsia="Arial"/>
              </w:rPr>
              <w:t>Kirsten Snyman</w:t>
            </w:r>
          </w:p>
        </w:tc>
        <w:tc>
          <w:tcPr>
            <w:tcW w:w="3260" w:type="dxa"/>
            <w:tcBorders>
              <w:top w:val="dotted" w:sz="4" w:space="0" w:color="000000"/>
              <w:bottom w:val="dotted" w:sz="4" w:space="0" w:color="000000"/>
            </w:tcBorders>
          </w:tcPr>
          <w:p w14:paraId="7D3D01EB" w14:textId="77777777" w:rsidR="00FC1013" w:rsidRDefault="004C465B">
            <w:pPr>
              <w:rPr>
                <w:rFonts w:ascii="Arial" w:eastAsia="Arial" w:hAnsi="Arial"/>
              </w:rPr>
            </w:pPr>
            <w:r>
              <w:rPr>
                <w:rFonts w:eastAsia="Arial"/>
              </w:rPr>
              <w:t>Snr Manager, CSP RioProjects</w:t>
            </w:r>
          </w:p>
        </w:tc>
        <w:tc>
          <w:tcPr>
            <w:tcW w:w="3071" w:type="dxa"/>
            <w:tcBorders>
              <w:top w:val="dotted" w:sz="4" w:space="0" w:color="000000"/>
              <w:bottom w:val="dotted" w:sz="4" w:space="0" w:color="000000"/>
            </w:tcBorders>
          </w:tcPr>
          <w:p w14:paraId="287F8750" w14:textId="77777777" w:rsidR="00FC1013" w:rsidRDefault="00FC1013">
            <w:pPr>
              <w:rPr>
                <w:rFonts w:ascii="Arial" w:eastAsia="Arial" w:hAnsi="Arial"/>
              </w:rPr>
            </w:pPr>
          </w:p>
        </w:tc>
      </w:tr>
      <w:tr w:rsidR="00FC1013" w14:paraId="14D2A514" w14:textId="77777777">
        <w:trPr>
          <w:trHeight w:val="340"/>
        </w:trPr>
        <w:tc>
          <w:tcPr>
            <w:tcW w:w="1418" w:type="dxa"/>
            <w:tcBorders>
              <w:top w:val="dotted" w:sz="4" w:space="0" w:color="000000"/>
              <w:bottom w:val="dotted" w:sz="4" w:space="0" w:color="000000"/>
            </w:tcBorders>
          </w:tcPr>
          <w:p w14:paraId="4CB44463" w14:textId="77777777" w:rsidR="00FC1013" w:rsidRDefault="004C465B">
            <w:pPr>
              <w:rPr>
                <w:rFonts w:ascii="Arial" w:eastAsia="Arial" w:hAnsi="Arial"/>
              </w:rPr>
            </w:pPr>
            <w:r>
              <w:rPr>
                <w:rFonts w:eastAsia="Arial"/>
              </w:rPr>
              <w:t>Reviewed</w:t>
            </w:r>
          </w:p>
        </w:tc>
        <w:tc>
          <w:tcPr>
            <w:tcW w:w="1847" w:type="dxa"/>
            <w:tcBorders>
              <w:top w:val="dotted" w:sz="4" w:space="0" w:color="000000"/>
              <w:bottom w:val="dotted" w:sz="4" w:space="0" w:color="000000"/>
            </w:tcBorders>
          </w:tcPr>
          <w:p w14:paraId="3AB05A5D" w14:textId="77777777" w:rsidR="00FC1013" w:rsidRDefault="004C465B">
            <w:pPr>
              <w:rPr>
                <w:rFonts w:ascii="Arial" w:eastAsia="Arial" w:hAnsi="Arial"/>
              </w:rPr>
            </w:pPr>
            <w:r>
              <w:rPr>
                <w:rFonts w:eastAsia="Arial"/>
              </w:rPr>
              <w:t>Matt Moroz</w:t>
            </w:r>
          </w:p>
        </w:tc>
        <w:tc>
          <w:tcPr>
            <w:tcW w:w="3260" w:type="dxa"/>
            <w:tcBorders>
              <w:top w:val="dotted" w:sz="4" w:space="0" w:color="000000"/>
              <w:bottom w:val="dotted" w:sz="4" w:space="0" w:color="000000"/>
            </w:tcBorders>
          </w:tcPr>
          <w:p w14:paraId="1A8777CE" w14:textId="77777777" w:rsidR="00FC1013" w:rsidRDefault="004C465B">
            <w:pPr>
              <w:rPr>
                <w:rFonts w:ascii="Arial" w:eastAsia="Arial" w:hAnsi="Arial"/>
              </w:rPr>
            </w:pPr>
            <w:r>
              <w:rPr>
                <w:rFonts w:eastAsia="Arial"/>
              </w:rPr>
              <w:t>Snr Manager, HSES RioProjects</w:t>
            </w:r>
          </w:p>
        </w:tc>
        <w:tc>
          <w:tcPr>
            <w:tcW w:w="3071" w:type="dxa"/>
            <w:tcBorders>
              <w:top w:val="dotted" w:sz="4" w:space="0" w:color="000000"/>
              <w:bottom w:val="dotted" w:sz="4" w:space="0" w:color="000000"/>
            </w:tcBorders>
          </w:tcPr>
          <w:p w14:paraId="5A0BE164" w14:textId="77777777" w:rsidR="00FC1013" w:rsidRDefault="00FC1013">
            <w:pPr>
              <w:rPr>
                <w:rFonts w:ascii="Arial" w:eastAsia="Arial" w:hAnsi="Arial"/>
              </w:rPr>
            </w:pPr>
          </w:p>
        </w:tc>
      </w:tr>
      <w:tr w:rsidR="00FC1013" w14:paraId="52143E74" w14:textId="77777777">
        <w:trPr>
          <w:trHeight w:val="340"/>
        </w:trPr>
        <w:tc>
          <w:tcPr>
            <w:tcW w:w="1418" w:type="dxa"/>
            <w:tcBorders>
              <w:top w:val="dotted" w:sz="4" w:space="0" w:color="000000"/>
            </w:tcBorders>
          </w:tcPr>
          <w:p w14:paraId="7013AB62" w14:textId="77777777" w:rsidR="00FC1013" w:rsidRDefault="004C465B">
            <w:pPr>
              <w:rPr>
                <w:rFonts w:ascii="Arial" w:eastAsia="Arial" w:hAnsi="Arial"/>
              </w:rPr>
            </w:pPr>
            <w:r>
              <w:rPr>
                <w:rFonts w:eastAsia="Arial"/>
              </w:rPr>
              <w:t>Approved</w:t>
            </w:r>
          </w:p>
        </w:tc>
        <w:tc>
          <w:tcPr>
            <w:tcW w:w="1847" w:type="dxa"/>
            <w:tcBorders>
              <w:top w:val="dotted" w:sz="4" w:space="0" w:color="000000"/>
            </w:tcBorders>
          </w:tcPr>
          <w:p w14:paraId="3DA2B481" w14:textId="77777777" w:rsidR="00FC1013" w:rsidRDefault="004C465B">
            <w:pPr>
              <w:rPr>
                <w:rFonts w:ascii="Arial" w:eastAsia="Arial" w:hAnsi="Arial"/>
              </w:rPr>
            </w:pPr>
            <w:r>
              <w:rPr>
                <w:rFonts w:eastAsia="Arial"/>
              </w:rPr>
              <w:t>Greg Doyle</w:t>
            </w:r>
          </w:p>
        </w:tc>
        <w:tc>
          <w:tcPr>
            <w:tcW w:w="3260" w:type="dxa"/>
            <w:tcBorders>
              <w:top w:val="dotted" w:sz="4" w:space="0" w:color="000000"/>
            </w:tcBorders>
          </w:tcPr>
          <w:p w14:paraId="25F393E7" w14:textId="77777777" w:rsidR="00FC1013" w:rsidRDefault="004C465B">
            <w:pPr>
              <w:rPr>
                <w:rFonts w:ascii="Arial" w:eastAsia="Arial" w:hAnsi="Arial"/>
              </w:rPr>
            </w:pPr>
            <w:r>
              <w:rPr>
                <w:rFonts w:eastAsia="Arial"/>
              </w:rPr>
              <w:t>Vice President HSESC, SD&amp;T</w:t>
            </w:r>
          </w:p>
        </w:tc>
        <w:tc>
          <w:tcPr>
            <w:tcW w:w="3071" w:type="dxa"/>
            <w:tcBorders>
              <w:top w:val="dotted" w:sz="4" w:space="0" w:color="000000"/>
            </w:tcBorders>
          </w:tcPr>
          <w:p w14:paraId="0C7DD2FF" w14:textId="77777777" w:rsidR="00FC1013" w:rsidRDefault="00FC1013">
            <w:pPr>
              <w:rPr>
                <w:rFonts w:ascii="Arial" w:eastAsia="Arial" w:hAnsi="Arial"/>
              </w:rPr>
            </w:pPr>
          </w:p>
        </w:tc>
      </w:tr>
    </w:tbl>
    <w:p w14:paraId="6DACBC5C" w14:textId="77777777" w:rsidR="00FC1013" w:rsidRDefault="00FC1013"/>
    <w:p w14:paraId="16C2F58F" w14:textId="77777777" w:rsidR="00FC1013" w:rsidRPr="007B6B9B" w:rsidRDefault="004C465B">
      <w:pPr>
        <w:rPr>
          <w:rFonts w:asciiTheme="majorHAnsi" w:eastAsiaTheme="majorEastAsia" w:hAnsiTheme="majorHAnsi" w:cstheme="majorBidi"/>
          <w:b/>
          <w:szCs w:val="32"/>
        </w:rPr>
      </w:pPr>
      <w:r>
        <w:br w:type="page"/>
      </w:r>
    </w:p>
    <w:p w14:paraId="50532439" w14:textId="77777777" w:rsidR="00FC1013" w:rsidRDefault="004C465B">
      <w:pPr>
        <w:spacing w:after="920"/>
        <w:rPr>
          <w:sz w:val="56"/>
          <w:szCs w:val="56"/>
        </w:rPr>
      </w:pPr>
      <w:r>
        <w:rPr>
          <w:sz w:val="56"/>
          <w:szCs w:val="56"/>
        </w:rPr>
        <w:lastRenderedPageBreak/>
        <w:t>Contents</w:t>
      </w:r>
    </w:p>
    <w:sdt>
      <w:sdtPr>
        <w:id w:val="747538175"/>
        <w:docPartObj>
          <w:docPartGallery w:val="Table of Contents"/>
          <w:docPartUnique/>
        </w:docPartObj>
      </w:sdtPr>
      <w:sdtEndPr/>
      <w:sdtContent>
        <w:p w14:paraId="0D143738" w14:textId="0F56A9A0" w:rsidR="00B03658" w:rsidRDefault="004C465B">
          <w:pPr>
            <w:pStyle w:val="TOC1"/>
            <w:rPr>
              <w:rFonts w:eastAsiaTheme="minorEastAsia"/>
              <w:b w:val="0"/>
              <w:noProof/>
              <w:kern w:val="2"/>
              <w:sz w:val="24"/>
              <w:lang w:val="en-AU" w:eastAsia="en-AU"/>
              <w14:ligatures w14:val="standardContextual"/>
            </w:rPr>
          </w:pPr>
          <w:r>
            <w:fldChar w:fldCharType="begin"/>
          </w:r>
          <w:r>
            <w:rPr>
              <w:rStyle w:val="IndexLink"/>
              <w:webHidden/>
            </w:rPr>
            <w:instrText xml:space="preserve"> TOC \z \o "1-3" \u \h</w:instrText>
          </w:r>
          <w:r>
            <w:rPr>
              <w:rStyle w:val="IndexLink"/>
            </w:rPr>
            <w:fldChar w:fldCharType="separate"/>
          </w:r>
          <w:hyperlink w:anchor="_Toc232534342" w:history="1">
            <w:r w:rsidR="00B03658" w:rsidRPr="00B04E7F">
              <w:rPr>
                <w:rStyle w:val="Hyperlink"/>
                <w:noProof/>
              </w:rPr>
              <w:t>0</w:t>
            </w:r>
            <w:r w:rsidR="00B03658">
              <w:rPr>
                <w:rFonts w:eastAsiaTheme="minorEastAsia"/>
                <w:b w:val="0"/>
                <w:noProof/>
                <w:kern w:val="2"/>
                <w:sz w:val="24"/>
                <w:lang w:val="en-AU" w:eastAsia="en-AU"/>
                <w14:ligatures w14:val="standardContextual"/>
              </w:rPr>
              <w:tab/>
            </w:r>
            <w:r w:rsidR="00B03658" w:rsidRPr="00B04E7F">
              <w:rPr>
                <w:rStyle w:val="Hyperlink"/>
                <w:noProof/>
              </w:rPr>
              <w:t>How to Use This Document</w:t>
            </w:r>
            <w:r w:rsidR="00B03658">
              <w:rPr>
                <w:noProof/>
                <w:webHidden/>
              </w:rPr>
              <w:tab/>
            </w:r>
            <w:r w:rsidR="00B03658">
              <w:rPr>
                <w:noProof/>
                <w:webHidden/>
              </w:rPr>
              <w:fldChar w:fldCharType="begin"/>
            </w:r>
            <w:r w:rsidR="00B03658">
              <w:rPr>
                <w:noProof/>
                <w:webHidden/>
              </w:rPr>
              <w:instrText xml:space="preserve"> PAGEREF _Toc232534342 \h </w:instrText>
            </w:r>
            <w:r w:rsidR="00B03658">
              <w:rPr>
                <w:noProof/>
                <w:webHidden/>
              </w:rPr>
            </w:r>
            <w:r w:rsidR="00B03658">
              <w:rPr>
                <w:noProof/>
                <w:webHidden/>
              </w:rPr>
              <w:fldChar w:fldCharType="separate"/>
            </w:r>
            <w:r w:rsidR="00B03658">
              <w:rPr>
                <w:noProof/>
                <w:webHidden/>
              </w:rPr>
              <w:t>3</w:t>
            </w:r>
            <w:r w:rsidR="00B03658">
              <w:rPr>
                <w:noProof/>
                <w:webHidden/>
              </w:rPr>
              <w:fldChar w:fldCharType="end"/>
            </w:r>
          </w:hyperlink>
        </w:p>
        <w:p w14:paraId="5B971EE2" w14:textId="096CA7A9" w:rsidR="00B03658" w:rsidRDefault="00B03658">
          <w:pPr>
            <w:pStyle w:val="TOC2"/>
            <w:tabs>
              <w:tab w:val="left" w:pos="1134"/>
            </w:tabs>
            <w:rPr>
              <w:rFonts w:eastAsiaTheme="minorEastAsia"/>
              <w:noProof/>
              <w:kern w:val="2"/>
              <w:sz w:val="24"/>
              <w:lang w:val="en-AU" w:eastAsia="en-AU"/>
              <w14:ligatures w14:val="standardContextual"/>
            </w:rPr>
          </w:pPr>
          <w:hyperlink w:anchor="_Toc232534343" w:history="1">
            <w:r w:rsidRPr="00B04E7F">
              <w:rPr>
                <w:rStyle w:val="Hyperlink"/>
                <w:noProof/>
              </w:rPr>
              <w:t>0.1</w:t>
            </w:r>
            <w:r>
              <w:rPr>
                <w:rFonts w:eastAsiaTheme="minorEastAsia"/>
                <w:noProof/>
                <w:kern w:val="2"/>
                <w:sz w:val="24"/>
                <w:lang w:val="en-AU" w:eastAsia="en-AU"/>
                <w14:ligatures w14:val="standardContextual"/>
              </w:rPr>
              <w:tab/>
            </w:r>
            <w:r w:rsidRPr="00B04E7F">
              <w:rPr>
                <w:rStyle w:val="Hyperlink"/>
                <w:noProof/>
              </w:rPr>
              <w:t>Purpose of This Template</w:t>
            </w:r>
            <w:r>
              <w:rPr>
                <w:noProof/>
                <w:webHidden/>
              </w:rPr>
              <w:tab/>
            </w:r>
            <w:r>
              <w:rPr>
                <w:noProof/>
                <w:webHidden/>
              </w:rPr>
              <w:fldChar w:fldCharType="begin"/>
            </w:r>
            <w:r>
              <w:rPr>
                <w:noProof/>
                <w:webHidden/>
              </w:rPr>
              <w:instrText xml:space="preserve"> PAGEREF _Toc232534343 \h </w:instrText>
            </w:r>
            <w:r>
              <w:rPr>
                <w:noProof/>
                <w:webHidden/>
              </w:rPr>
            </w:r>
            <w:r>
              <w:rPr>
                <w:noProof/>
                <w:webHidden/>
              </w:rPr>
              <w:fldChar w:fldCharType="separate"/>
            </w:r>
            <w:r>
              <w:rPr>
                <w:noProof/>
                <w:webHidden/>
              </w:rPr>
              <w:t>3</w:t>
            </w:r>
            <w:r>
              <w:rPr>
                <w:noProof/>
                <w:webHidden/>
              </w:rPr>
              <w:fldChar w:fldCharType="end"/>
            </w:r>
          </w:hyperlink>
        </w:p>
        <w:p w14:paraId="4F889F24" w14:textId="524EB743" w:rsidR="00B03658" w:rsidRDefault="00B03658">
          <w:pPr>
            <w:pStyle w:val="TOC2"/>
            <w:tabs>
              <w:tab w:val="left" w:pos="1134"/>
            </w:tabs>
            <w:rPr>
              <w:rFonts w:eastAsiaTheme="minorEastAsia"/>
              <w:noProof/>
              <w:kern w:val="2"/>
              <w:sz w:val="24"/>
              <w:lang w:val="en-AU" w:eastAsia="en-AU"/>
              <w14:ligatures w14:val="standardContextual"/>
            </w:rPr>
          </w:pPr>
          <w:hyperlink w:anchor="_Toc232534344" w:history="1">
            <w:r w:rsidRPr="00B04E7F">
              <w:rPr>
                <w:rStyle w:val="Hyperlink"/>
                <w:noProof/>
              </w:rPr>
              <w:t>0.2</w:t>
            </w:r>
            <w:r>
              <w:rPr>
                <w:rFonts w:eastAsiaTheme="minorEastAsia"/>
                <w:noProof/>
                <w:kern w:val="2"/>
                <w:sz w:val="24"/>
                <w:lang w:val="en-AU" w:eastAsia="en-AU"/>
                <w14:ligatures w14:val="standardContextual"/>
              </w:rPr>
              <w:tab/>
            </w:r>
            <w:r w:rsidRPr="00B04E7F">
              <w:rPr>
                <w:rStyle w:val="Hyperlink"/>
                <w:noProof/>
              </w:rPr>
              <w:t>How This Document is Structured</w:t>
            </w:r>
            <w:r>
              <w:rPr>
                <w:noProof/>
                <w:webHidden/>
              </w:rPr>
              <w:tab/>
            </w:r>
            <w:r>
              <w:rPr>
                <w:noProof/>
                <w:webHidden/>
              </w:rPr>
              <w:fldChar w:fldCharType="begin"/>
            </w:r>
            <w:r>
              <w:rPr>
                <w:noProof/>
                <w:webHidden/>
              </w:rPr>
              <w:instrText xml:space="preserve"> PAGEREF _Toc232534344 \h </w:instrText>
            </w:r>
            <w:r>
              <w:rPr>
                <w:noProof/>
                <w:webHidden/>
              </w:rPr>
            </w:r>
            <w:r>
              <w:rPr>
                <w:noProof/>
                <w:webHidden/>
              </w:rPr>
              <w:fldChar w:fldCharType="separate"/>
            </w:r>
            <w:r>
              <w:rPr>
                <w:noProof/>
                <w:webHidden/>
              </w:rPr>
              <w:t>3</w:t>
            </w:r>
            <w:r>
              <w:rPr>
                <w:noProof/>
                <w:webHidden/>
              </w:rPr>
              <w:fldChar w:fldCharType="end"/>
            </w:r>
          </w:hyperlink>
        </w:p>
        <w:p w14:paraId="474DF627" w14:textId="1FAF07AB" w:rsidR="00B03658" w:rsidRDefault="00B03658">
          <w:pPr>
            <w:pStyle w:val="TOC2"/>
            <w:tabs>
              <w:tab w:val="left" w:pos="1134"/>
            </w:tabs>
            <w:rPr>
              <w:rFonts w:eastAsiaTheme="minorEastAsia"/>
              <w:noProof/>
              <w:kern w:val="2"/>
              <w:sz w:val="24"/>
              <w:lang w:val="en-AU" w:eastAsia="en-AU"/>
              <w14:ligatures w14:val="standardContextual"/>
            </w:rPr>
          </w:pPr>
          <w:hyperlink w:anchor="_Toc232534345" w:history="1">
            <w:r w:rsidRPr="00B04E7F">
              <w:rPr>
                <w:rStyle w:val="Hyperlink"/>
                <w:noProof/>
              </w:rPr>
              <w:t>0.3</w:t>
            </w:r>
            <w:r>
              <w:rPr>
                <w:rFonts w:eastAsiaTheme="minorEastAsia"/>
                <w:noProof/>
                <w:kern w:val="2"/>
                <w:sz w:val="24"/>
                <w:lang w:val="en-AU" w:eastAsia="en-AU"/>
                <w14:ligatures w14:val="standardContextual"/>
              </w:rPr>
              <w:tab/>
            </w:r>
            <w:r w:rsidRPr="00B04E7F">
              <w:rPr>
                <w:rStyle w:val="Hyperlink"/>
                <w:noProof/>
              </w:rPr>
              <w:t>Step-by-Step Completion Instructions</w:t>
            </w:r>
            <w:r>
              <w:rPr>
                <w:noProof/>
                <w:webHidden/>
              </w:rPr>
              <w:tab/>
            </w:r>
            <w:r>
              <w:rPr>
                <w:noProof/>
                <w:webHidden/>
              </w:rPr>
              <w:fldChar w:fldCharType="begin"/>
            </w:r>
            <w:r>
              <w:rPr>
                <w:noProof/>
                <w:webHidden/>
              </w:rPr>
              <w:instrText xml:space="preserve"> PAGEREF _Toc232534345 \h </w:instrText>
            </w:r>
            <w:r>
              <w:rPr>
                <w:noProof/>
                <w:webHidden/>
              </w:rPr>
            </w:r>
            <w:r>
              <w:rPr>
                <w:noProof/>
                <w:webHidden/>
              </w:rPr>
              <w:fldChar w:fldCharType="separate"/>
            </w:r>
            <w:r>
              <w:rPr>
                <w:noProof/>
                <w:webHidden/>
              </w:rPr>
              <w:t>3</w:t>
            </w:r>
            <w:r>
              <w:rPr>
                <w:noProof/>
                <w:webHidden/>
              </w:rPr>
              <w:fldChar w:fldCharType="end"/>
            </w:r>
          </w:hyperlink>
        </w:p>
        <w:p w14:paraId="14E91A5A" w14:textId="7B88F346" w:rsidR="00B03658" w:rsidRDefault="00B03658">
          <w:pPr>
            <w:pStyle w:val="TOC2"/>
            <w:tabs>
              <w:tab w:val="left" w:pos="1134"/>
            </w:tabs>
            <w:rPr>
              <w:rFonts w:eastAsiaTheme="minorEastAsia"/>
              <w:noProof/>
              <w:kern w:val="2"/>
              <w:sz w:val="24"/>
              <w:lang w:val="en-AU" w:eastAsia="en-AU"/>
              <w14:ligatures w14:val="standardContextual"/>
            </w:rPr>
          </w:pPr>
          <w:hyperlink w:anchor="_Toc232534346" w:history="1">
            <w:r w:rsidRPr="00B04E7F">
              <w:rPr>
                <w:rStyle w:val="Hyperlink"/>
                <w:noProof/>
              </w:rPr>
              <w:t>0.4</w:t>
            </w:r>
            <w:r>
              <w:rPr>
                <w:rFonts w:eastAsiaTheme="minorEastAsia"/>
                <w:noProof/>
                <w:kern w:val="2"/>
                <w:sz w:val="24"/>
                <w:lang w:val="en-AU" w:eastAsia="en-AU"/>
                <w14:ligatures w14:val="standardContextual"/>
              </w:rPr>
              <w:tab/>
            </w:r>
            <w:r w:rsidRPr="00B04E7F">
              <w:rPr>
                <w:rStyle w:val="Hyperlink"/>
                <w:noProof/>
              </w:rPr>
              <w:t>Pre-Issue Checklist</w:t>
            </w:r>
            <w:r>
              <w:rPr>
                <w:noProof/>
                <w:webHidden/>
              </w:rPr>
              <w:tab/>
            </w:r>
            <w:r>
              <w:rPr>
                <w:noProof/>
                <w:webHidden/>
              </w:rPr>
              <w:fldChar w:fldCharType="begin"/>
            </w:r>
            <w:r>
              <w:rPr>
                <w:noProof/>
                <w:webHidden/>
              </w:rPr>
              <w:instrText xml:space="preserve"> PAGEREF _Toc232534346 \h </w:instrText>
            </w:r>
            <w:r>
              <w:rPr>
                <w:noProof/>
                <w:webHidden/>
              </w:rPr>
            </w:r>
            <w:r>
              <w:rPr>
                <w:noProof/>
                <w:webHidden/>
              </w:rPr>
              <w:fldChar w:fldCharType="separate"/>
            </w:r>
            <w:r>
              <w:rPr>
                <w:noProof/>
                <w:webHidden/>
              </w:rPr>
              <w:t>4</w:t>
            </w:r>
            <w:r>
              <w:rPr>
                <w:noProof/>
                <w:webHidden/>
              </w:rPr>
              <w:fldChar w:fldCharType="end"/>
            </w:r>
          </w:hyperlink>
        </w:p>
        <w:p w14:paraId="4DA49C8D" w14:textId="567CA8C6" w:rsidR="00B03658" w:rsidRDefault="00B03658">
          <w:pPr>
            <w:pStyle w:val="TOC2"/>
            <w:tabs>
              <w:tab w:val="left" w:pos="1134"/>
            </w:tabs>
            <w:rPr>
              <w:rFonts w:eastAsiaTheme="minorEastAsia"/>
              <w:noProof/>
              <w:kern w:val="2"/>
              <w:sz w:val="24"/>
              <w:lang w:val="en-AU" w:eastAsia="en-AU"/>
              <w14:ligatures w14:val="standardContextual"/>
            </w:rPr>
          </w:pPr>
          <w:hyperlink w:anchor="_Toc232534347" w:history="1">
            <w:r w:rsidRPr="00B04E7F">
              <w:rPr>
                <w:rStyle w:val="Hyperlink"/>
                <w:noProof/>
              </w:rPr>
              <w:t>0.5</w:t>
            </w:r>
            <w:r>
              <w:rPr>
                <w:rFonts w:eastAsiaTheme="minorEastAsia"/>
                <w:noProof/>
                <w:kern w:val="2"/>
                <w:sz w:val="24"/>
                <w:lang w:val="en-AU" w:eastAsia="en-AU"/>
                <w14:ligatures w14:val="standardContextual"/>
              </w:rPr>
              <w:tab/>
            </w:r>
            <w:r w:rsidRPr="00B04E7F">
              <w:rPr>
                <w:rStyle w:val="Hyperlink"/>
                <w:noProof/>
              </w:rPr>
              <w:t>Document Relationships</w:t>
            </w:r>
            <w:r>
              <w:rPr>
                <w:noProof/>
                <w:webHidden/>
              </w:rPr>
              <w:tab/>
            </w:r>
            <w:r>
              <w:rPr>
                <w:noProof/>
                <w:webHidden/>
              </w:rPr>
              <w:fldChar w:fldCharType="begin"/>
            </w:r>
            <w:r>
              <w:rPr>
                <w:noProof/>
                <w:webHidden/>
              </w:rPr>
              <w:instrText xml:space="preserve"> PAGEREF _Toc232534347 \h </w:instrText>
            </w:r>
            <w:r>
              <w:rPr>
                <w:noProof/>
                <w:webHidden/>
              </w:rPr>
            </w:r>
            <w:r>
              <w:rPr>
                <w:noProof/>
                <w:webHidden/>
              </w:rPr>
              <w:fldChar w:fldCharType="separate"/>
            </w:r>
            <w:r>
              <w:rPr>
                <w:noProof/>
                <w:webHidden/>
              </w:rPr>
              <w:t>4</w:t>
            </w:r>
            <w:r>
              <w:rPr>
                <w:noProof/>
                <w:webHidden/>
              </w:rPr>
              <w:fldChar w:fldCharType="end"/>
            </w:r>
          </w:hyperlink>
        </w:p>
        <w:p w14:paraId="3F16AD5B" w14:textId="1087B8A6" w:rsidR="00B03658" w:rsidRDefault="00B03658">
          <w:pPr>
            <w:pStyle w:val="TOC1"/>
            <w:rPr>
              <w:rFonts w:eastAsiaTheme="minorEastAsia"/>
              <w:b w:val="0"/>
              <w:noProof/>
              <w:kern w:val="2"/>
              <w:sz w:val="24"/>
              <w:lang w:val="en-AU" w:eastAsia="en-AU"/>
              <w14:ligatures w14:val="standardContextual"/>
            </w:rPr>
          </w:pPr>
          <w:hyperlink w:anchor="_Toc232534348" w:history="1">
            <w:r w:rsidRPr="00B04E7F">
              <w:rPr>
                <w:rStyle w:val="Hyperlink"/>
                <w:noProof/>
              </w:rPr>
              <w:t>1</w:t>
            </w:r>
            <w:r>
              <w:rPr>
                <w:rFonts w:eastAsiaTheme="minorEastAsia"/>
                <w:b w:val="0"/>
                <w:noProof/>
                <w:kern w:val="2"/>
                <w:sz w:val="24"/>
                <w:lang w:val="en-AU" w:eastAsia="en-AU"/>
                <w14:ligatures w14:val="standardContextual"/>
              </w:rPr>
              <w:tab/>
            </w:r>
            <w:r w:rsidRPr="00B04E7F">
              <w:rPr>
                <w:rStyle w:val="Hyperlink"/>
                <w:noProof/>
              </w:rPr>
              <w:t>Heading</w:t>
            </w:r>
            <w:r>
              <w:rPr>
                <w:noProof/>
                <w:webHidden/>
              </w:rPr>
              <w:tab/>
            </w:r>
            <w:r>
              <w:rPr>
                <w:noProof/>
                <w:webHidden/>
              </w:rPr>
              <w:fldChar w:fldCharType="begin"/>
            </w:r>
            <w:r>
              <w:rPr>
                <w:noProof/>
                <w:webHidden/>
              </w:rPr>
              <w:instrText xml:space="preserve"> PAGEREF _Toc232534348 \h </w:instrText>
            </w:r>
            <w:r>
              <w:rPr>
                <w:noProof/>
                <w:webHidden/>
              </w:rPr>
            </w:r>
            <w:r>
              <w:rPr>
                <w:noProof/>
                <w:webHidden/>
              </w:rPr>
              <w:fldChar w:fldCharType="separate"/>
            </w:r>
            <w:r>
              <w:rPr>
                <w:noProof/>
                <w:webHidden/>
              </w:rPr>
              <w:t>6</w:t>
            </w:r>
            <w:r>
              <w:rPr>
                <w:noProof/>
                <w:webHidden/>
              </w:rPr>
              <w:fldChar w:fldCharType="end"/>
            </w:r>
          </w:hyperlink>
        </w:p>
        <w:p w14:paraId="7EBEFCE2" w14:textId="6405579E" w:rsidR="00FC1013" w:rsidRDefault="004C465B">
          <w:pPr>
            <w:pStyle w:val="TOC1"/>
            <w:rPr>
              <w:rFonts w:eastAsiaTheme="minorEastAsia"/>
              <w:b w:val="0"/>
              <w:kern w:val="2"/>
              <w:sz w:val="24"/>
              <w:lang w:val="en-AU" w:eastAsia="en-AU"/>
              <w14:ligatures w14:val="standardContextual"/>
            </w:rPr>
          </w:pPr>
          <w:r>
            <w:rPr>
              <w:rStyle w:val="IndexLink"/>
            </w:rPr>
            <w:fldChar w:fldCharType="end"/>
          </w:r>
        </w:p>
      </w:sdtContent>
    </w:sdt>
    <w:p w14:paraId="7FF867E7" w14:textId="77777777" w:rsidR="00FC1013" w:rsidRDefault="00FC1013"/>
    <w:p w14:paraId="77B70838" w14:textId="77777777" w:rsidR="00FC1013" w:rsidRDefault="00FC1013"/>
    <w:p w14:paraId="43C33D8F" w14:textId="77777777" w:rsidR="00FC1013" w:rsidRDefault="00FC1013"/>
    <w:p w14:paraId="7DE44C64" w14:textId="472472E9" w:rsidR="00F92E88" w:rsidRPr="00F92E88" w:rsidRDefault="004C465B" w:rsidP="00F92E88">
      <w:r>
        <w:br w:type="page"/>
      </w:r>
    </w:p>
    <w:p w14:paraId="3F00B330" w14:textId="077DD352" w:rsidR="004C5CA9" w:rsidRDefault="00B03658" w:rsidP="000726E8">
      <w:pPr>
        <w:pStyle w:val="Heading1Numbered"/>
      </w:pPr>
      <w:bookmarkStart w:id="0" w:name="_Toc232534348"/>
      <w:r>
        <w:lastRenderedPageBreak/>
        <w:t>Heading</w:t>
      </w:r>
      <w:bookmarkEnd w:id="0"/>
    </w:p>
    <w:tbl>
      <w:tblPr>
        <w:tblStyle w:val="TableOption1"/>
        <w:tblW w:type="pct" w:w="5000"/>
      </w:tblPr>
      <w:tr>
        <w:tc>
          <w:tcPr>
            <w:shd w:val="clear" w:color="auto" w:fill="FFF2CC"/>
          </w:tcPr>
          <w:p>
            <w:pPr>
              <w:pStyle w:val="Instructions"/>
            </w:pPr>
            <w:r>
              <w:rPr>
                <w:b/>
                <w:bCs/>
                <w:color w:val="C55A11"/>
              </w:rPr>
              <w:t>INSTRUCTION: Read, action and delete this box before this procedure is issued. Delete the entire Section 0 before this document is submitted for review or approval. It must not appear in any approved version of this procedure.</w:t>
            </w:r>
          </w:p>
        </w:tc>
      </w:tr>
    </w:tbl>
    <w:p>
      <w:pPr>
        <w:pStyle w:val="Default"/>
      </w:pPr>
    </w:p>
    <w:p>
      <w:pPr>
        <w:pStyle w:val="Heading1Numbered"/>
      </w:pPr>
      <w:r>
        <w:t>0  How to Use This Document</w:t>
      </w:r>
    </w:p>
    <w:p>
      <w:pPr>
        <w:pStyle w:val="NormalNumberedtext"/>
      </w:pPr>
      <w:r>
        <w:t>This section explains the purpose of the template, how it is structured, the sequence for completing it and the checks required before it is issued. It must be read in full before any section of this document is completed. Delete Section 0 in its entirety before issue.</w:t>
      </w:r>
    </w:p>
    <w:p>
      <w:pPr>
        <w:pStyle w:val="Heading2Numbered"/>
      </w:pPr>
      <w:r>
        <w:t>0.1  Purpose of This Template</w:t>
      </w:r>
    </w:p>
    <w:p>
      <w:pPr>
        <w:pStyle w:val="NormalNumberedtext"/>
      </w:pPr>
      <w:r>
        <w:t>This template supports the preparation of a project-specific Supplier and Contractor Management Procedure for projects delivered under an Owner-Led model. Under this model, Rio Tinto directly manages all project activities, and this procedure applies to all personnel on the project, including Rio Tinto staff and all contractor organisations.</w:t>
      </w:r>
    </w:p>
    <w:p>
      <w:pPr>
        <w:pStyle w:val="NormalNumberedtext"/>
      </w:pPr>
      <w:r>
        <w:t>This template is provided as a 90% draft. Fixed content reflects the minimum Rio Tinto requirement and must not be reduced. The remaining 10% covers role names, register locations, schedules and project-specific triggers, and must be completed by the project team before issue.</w:t>
      </w:r>
    </w:p>
    <w:p>
      <w:pPr>
        <w:pStyle w:val="Heading2Numbered"/>
      </w:pPr>
      <w:r>
        <w:t>0.2  How This Document is Structured</w:t>
      </w:r>
    </w:p>
    <w:p>
      <w:pPr>
        <w:pStyle w:val="NormalNumberedtext"/>
      </w:pPr>
      <w:r>
        <w:t>This document contains four content types:</w:t>
      </w:r>
    </w:p>
    <w:p>
      <w:pPr>
        <w:pStyle w:val="NormalNumberedtext"/>
      </w:pPr>
      <w:r>
        <w:rPr>
          <w:b/>
          <w:bCs/>
        </w:rPr>
        <w:t xml:space="preserve">Fixed content </w:t>
      </w:r>
      <w:r>
        <w:rPr/>
        <w:t>is plain black text reflecting minimum Rio Tinto requirements. Fixed content must not be reduced, deleted or overridden.</w:t>
      </w:r>
    </w:p>
    <w:p>
      <w:pPr>
        <w:pStyle w:val="NormalNumberedtext"/>
      </w:pPr>
      <w:r>
        <w:rPr>
          <w:b/>
          <w:bCs/>
          <w:color w:val="0059D1"/>
        </w:rPr>
        <w:t xml:space="preserve">[INSERT: placeholder text] </w:t>
      </w:r>
      <w:r>
        <w:rPr/>
        <w:t>appears in blue bold. Each placeholder must be replaced with accurate, project-specific information before issue.</w:t>
      </w:r>
    </w:p>
    <w:p>
      <w:pPr>
        <w:pStyle w:val="NormalNumberedtext"/>
      </w:pPr>
      <w:r>
        <w:rPr>
          <w:color w:val="C55A11"/>
        </w:rPr>
        <w:t xml:space="preserve">Orange text </w:t>
      </w:r>
      <w:r>
        <w:rPr/>
        <w:t>marks specific who, what, when, or how detail included as a best practice suggestion. The project team may retain, modify, or replace orange detail.</w:t>
      </w:r>
    </w:p>
    <w:p>
      <w:pPr>
        <w:pStyle w:val="Heading2Numbered"/>
      </w:pPr>
      <w:r>
        <w:t>0.3  Pre-Issue Checklist</w:t>
      </w:r>
    </w:p>
    <w:p>
      <w:pPr>
        <w:pStyle w:val="NormalNumberedtext"/>
      </w:pPr>
      <w:r>
        <w:t>Before submitting this document for review or approval, confirm all items below are complete, then delete this checklist together with the rest of Section 0.</w:t>
      </w:r>
    </w:p>
    <w:tbl>
      <w:tblPr>
        <w:tblStyle w:val="TableOption2"/>
        <w:tblW w:type="pct" w:w="5000"/>
      </w:tblPr>
      <w:tr>
        <w:trPr>
          <w:tblHeader/>
        </w:trPr>
        <w:tc>
          <w:tcPr>
            <w:shd w:val="clear" w:color="auto" w:fill="1F3864"/>
          </w:tcPr>
          <w:p>
            <w:pPr>
              <w:pStyle w:val="TableContents"/>
            </w:pPr>
            <w:r>
              <w:rPr>
                <w:b/>
                <w:bCs/>
                <w:color w:val="FFFFFF"/>
              </w:rPr>
              <w:t>Check</w:t>
            </w:r>
          </w:p>
        </w:tc>
        <w:tc>
          <w:tcPr>
            <w:shd w:val="clear" w:color="auto" w:fill="1F3864"/>
          </w:tcPr>
          <w:p>
            <w:pPr>
              <w:pStyle w:val="TableContents"/>
            </w:pPr>
            <w:r>
              <w:rPr>
                <w:b/>
                <w:bCs/>
                <w:color w:val="FFFFFF"/>
              </w:rPr>
              <w:t>Complete?</w:t>
            </w:r>
          </w:p>
        </w:tc>
      </w:tr>
      <w:tr>
        <w:tc>
          <w:tcPr/>
          <w:p>
            <w:pPr>
              <w:pStyle w:val="TableContents"/>
            </w:pPr>
            <w:r>
              <w:t>Cover page is complete including document number, revision, date and signatories</w:t>
            </w:r>
          </w:p>
        </w:tc>
        <w:tc>
          <w:tcPr/>
          <w:p>
            <w:pPr>
              <w:pStyle w:val="TableContents"/>
            </w:pPr>
            <w:r>
              <w:t>☐</w:t>
            </w:r>
          </w:p>
        </w:tc>
      </w:tr>
      <w:tr>
        <w:tc>
          <w:tcPr/>
          <w:p>
            <w:pPr>
              <w:pStyle w:val="TableContents"/>
            </w:pPr>
            <w:r>
              <w:t>All [INSERT:] placeholder text has been replaced with project-specific information</w:t>
            </w:r>
          </w:p>
        </w:tc>
        <w:tc>
          <w:tcPr/>
          <w:p>
            <w:pPr>
              <w:pStyle w:val="TableContents"/>
            </w:pPr>
            <w:r>
              <w:t>☐</w:t>
            </w:r>
          </w:p>
        </w:tc>
      </w:tr>
      <w:tr>
        <w:tc>
          <w:tcPr/>
          <w:p>
            <w:pPr>
              <w:pStyle w:val="TableContents"/>
            </w:pPr>
            <w:r>
              <w:t>All instruction boxes have been read, actioned and deleted</w:t>
            </w:r>
          </w:p>
        </w:tc>
        <w:tc>
          <w:tcPr/>
          <w:p>
            <w:pPr>
              <w:pStyle w:val="TableContents"/>
            </w:pPr>
            <w:r>
              <w:t>☐</w:t>
            </w:r>
          </w:p>
        </w:tc>
      </w:tr>
      <w:tr>
        <w:tc>
          <w:tcPr/>
          <w:p>
            <w:pPr>
              <w:pStyle w:val="TableContents"/>
            </w:pPr>
            <w:r>
              <w:t>All role titles match the actual project organisational structure</w:t>
            </w:r>
          </w:p>
        </w:tc>
        <w:tc>
          <w:tcPr/>
          <w:p>
            <w:pPr>
              <w:pStyle w:val="TableContents"/>
            </w:pPr>
            <w:r>
              <w:t>☐</w:t>
            </w:r>
          </w:p>
        </w:tc>
      </w:tr>
      <w:tr>
        <w:tc>
          <w:tcPr/>
          <w:p>
            <w:pPr>
              <w:pStyle w:val="TableContents"/>
            </w:pPr>
            <w:r>
              <w:t>All system and register locations are confirmed and inserted</w:t>
            </w:r>
          </w:p>
        </w:tc>
        <w:tc>
          <w:tcPr/>
          <w:p>
            <w:pPr>
              <w:pStyle w:val="TableContents"/>
            </w:pPr>
            <w:r>
              <w:t>☐</w:t>
            </w:r>
          </w:p>
        </w:tc>
      </w:tr>
      <w:tr>
        <w:tc>
          <w:tcPr/>
          <w:p>
            <w:pPr>
              <w:pStyle w:val="TableContents"/>
            </w:pPr>
            <w:r>
              <w:t>All workshop and meeting dates are confirmed against the project programme</w:t>
            </w:r>
          </w:p>
        </w:tc>
        <w:tc>
          <w:tcPr/>
          <w:p>
            <w:pPr>
              <w:pStyle w:val="TableContents"/>
            </w:pPr>
            <w:r>
              <w:t>☐</w:t>
            </w:r>
          </w:p>
        </w:tc>
      </w:tr>
      <w:tr>
        <w:tc>
          <w:tcPr/>
          <w:p>
            <w:pPr>
              <w:pStyle w:val="TableContents"/>
            </w:pPr>
            <w:r>
              <w:t>Related procedures in the References section are issued or being issued concurrently</w:t>
            </w:r>
          </w:p>
        </w:tc>
        <w:tc>
          <w:tcPr/>
          <w:p>
            <w:pPr>
              <w:pStyle w:val="TableContents"/>
            </w:pPr>
            <w:r>
              <w:t>☐</w:t>
            </w:r>
          </w:p>
        </w:tc>
      </w:tr>
      <w:tr>
        <w:tc>
          <w:tcPr/>
          <w:p>
            <w:pPr>
              <w:pStyle w:val="TableContents"/>
            </w:pPr>
            <w:r>
              <w:t>Section 17 (Source Requirements Traceability) will be deleted before final issue</w:t>
            </w:r>
          </w:p>
        </w:tc>
        <w:tc>
          <w:tcPr/>
          <w:p>
            <w:pPr>
              <w:pStyle w:val="TableContents"/>
            </w:pPr>
            <w:r>
              <w:t>☐</w:t>
            </w:r>
          </w:p>
        </w:tc>
      </w:tr>
      <w:tr>
        <w:tc>
          <w:tcPr/>
          <w:p>
            <w:pPr>
              <w:pStyle w:val="TableContents"/>
            </w:pPr>
            <w:r>
              <w:t>Section 16 (Project Localisation Edits) has been populated with all changes made during preparation</w:t>
            </w:r>
          </w:p>
        </w:tc>
        <w:tc>
          <w:tcPr/>
          <w:p>
            <w:pPr>
              <w:pStyle w:val="TableContents"/>
            </w:pPr>
            <w:r>
              <w:t>☐</w:t>
            </w:r>
          </w:p>
        </w:tc>
      </w:tr>
      <w:tr>
        <w:tc>
          <w:tcPr/>
          <w:p>
            <w:pPr>
              <w:pStyle w:val="TableContents"/>
            </w:pPr>
            <w:r>
              <w:t>Section 0 has been deleted in its entirety</w:t>
            </w:r>
          </w:p>
        </w:tc>
        <w:tc>
          <w:tcPr/>
          <w:p>
            <w:pPr>
              <w:pStyle w:val="TableContents"/>
            </w:pPr>
            <w:r>
              <w:t>☐</w:t>
            </w:r>
          </w:p>
        </w:tc>
      </w:tr>
    </w:tbl>
    <w:p>
      <w:pPr>
        <w:pStyle w:val="Default"/>
      </w:pPr>
    </w:p>
    <w:p>
      <w:pPr>
        <w:pStyle w:val="Heading1Numbered"/>
      </w:pPr>
      <w:r>
        <w:t>1  Purpose and Scope</w:t>
      </w:r>
    </w:p>
    <w:p>
      <w:pPr>
        <w:pStyle w:val="NormalNumberedtext"/>
      </w:pPr>
      <w:r>
        <w:t>This section defines the purpose of this procedure, the project lifecycle phases within scope, and the obligations it establishes from project Execution through to Handover.</w:t>
      </w:r>
    </w:p>
    <w:p>
      <w:pPr>
        <w:pStyle w:val="Heading2Numbered"/>
      </w:pPr>
      <w:r>
        <w:t>1.1  Purpose of This Document</w:t>
      </w:r>
    </w:p>
    <w:p>
      <w:pPr>
        <w:pStyle w:val="NormalNumberedtext"/>
      </w:pPr>
      <w:r>
        <w:t>This section states the purpose of this procedure and the requirements it establishes for the project.</w:t>
      </w:r>
    </w:p>
    <w:p>
      <w:pPr>
        <w:pStyle w:val="NormalNumberedtext"/>
      </w:pPr>
      <w:r>
        <w:t>This procedure defines how the owner-led project selects, onboards, monitors, and manages the HSESC performance of all contractor organisations and suppliers. In the owner-led model, RT carries direct responsibility for ensuring that all parties working under the project management system meet the HSESC standards established for the project — this cannot be delegated to an EPCM intermediary.</w:t>
      </w:r>
    </w:p>
    <w:p>
      <w:pPr>
        <w:pStyle w:val="Heading2Numbered"/>
      </w:pPr>
      <w:r>
        <w:t>1.2  Scope of This Document</w:t>
      </w:r>
    </w:p>
    <w:p>
      <w:pPr>
        <w:pStyle w:val="NormalNumberedtext"/>
      </w:pPr>
      <w:r>
        <w:t>This section defines which activities and lifecycle phases are governed by this document.</w:t>
      </w:r>
    </w:p>
    <w:p>
      <w:pPr>
        <w:pStyle w:val="NormalNumberedtext"/>
      </w:pPr>
      <w:r>
        <w:t>This procedure applies to all Rio Tinto project personnel and all contractor organisations performing work under an Owner-Led project. It governs supplier and contractor management from project Execution through to Handover.</w:t>
      </w:r>
    </w:p>
    <w:p>
      <w:pPr>
        <w:pStyle w:val="NormalNumberedtext"/>
      </w:pPr>
      <w:r>
        <w:rPr>
          <w:b/>
          <w:bCs/>
          <w:color w:val="0059D1"/>
        </w:rPr>
        <w:t>[INSERT: scope qualifications] — note any activities, phases, or locations excluded from this procedure's scope</w:t>
      </w:r>
    </w:p>
    <w:p>
      <w:pPr>
        <w:pStyle w:val="Heading1Numbered"/>
      </w:pPr>
      <w:r>
        <w:t>2  Roles and Responsibilities</w:t>
      </w:r>
    </w:p>
    <w:p>
      <w:pPr>
        <w:pStyle w:val="NormalNumberedtext"/>
      </w:pPr>
      <w:r>
        <w:t>This section defines the responsibilities for all project roles relevant to this procedure, covering the Rio Tinto project team and all contractor organisations. Responsibilities are aligned to governance, oversight, assessment execution, reporting, and control verification.</w:t>
      </w:r>
    </w:p>
    <w:tbl>
      <w:tblPr>
        <w:tblStyle w:val="TableOption2"/>
        <w:tblW w:type="pct" w:w="5000"/>
      </w:tblPr>
      <w:tr>
        <w:trPr>
          <w:tblHeader/>
        </w:trPr>
        <w:tc>
          <w:tcPr>
            <w:shd w:val="clear" w:color="auto" w:fill="1F3864"/>
          </w:tcPr>
          <w:p>
            <w:pPr>
              <w:pStyle w:val="TableContents"/>
            </w:pPr>
            <w:r>
              <w:rPr>
                <w:b/>
                <w:bCs/>
                <w:color w:val="FFFFFF"/>
              </w:rPr>
              <w:t>Responsibilities</w:t>
            </w:r>
          </w:p>
        </w:tc>
        <w:tc>
          <w:tcPr>
            <w:shd w:val="clear" w:color="auto" w:fill="1F3864"/>
          </w:tcPr>
          <w:p>
            <w:pPr>
              <w:pStyle w:val="TableContents"/>
            </w:pPr>
            <w:r>
              <w:rPr>
                <w:b/>
                <w:bCs/>
                <w:color w:val="FFFFFF"/>
              </w:rPr>
              <w:t>Company</w:t>
            </w:r>
          </w:p>
        </w:tc>
        <w:tc>
          <w:tcPr>
            <w:shd w:val="clear" w:color="auto" w:fill="1F3864"/>
          </w:tcPr>
          <w:p>
            <w:pPr>
              <w:pStyle w:val="TableContents"/>
            </w:pPr>
            <w:r>
              <w:rPr>
                <w:b/>
                <w:bCs/>
                <w:color w:val="FFFFFF"/>
              </w:rPr>
              <w:t>Contractor</w:t>
            </w:r>
          </w:p>
        </w:tc>
        <w:tc>
          <w:tcPr>
            <w:shd w:val="clear" w:color="auto" w:fill="1F3864"/>
          </w:tcPr>
          <w:p>
            <w:pPr>
              <w:pStyle w:val="TableContents"/>
            </w:pPr>
            <w:r>
              <w:rPr>
                <w:b/>
                <w:bCs/>
                <w:color w:val="FFFFFF"/>
              </w:rPr>
              <w:t>Section</w:t>
            </w:r>
          </w:p>
        </w:tc>
      </w:tr>
      <w:tr>
        <w:tc>
          <w:tcPr>
            <w:gridSpan w:val="4"/>
          </w:tcPr>
          <w:p>
            <w:pPr>
              <w:pStyle w:val="TableHeading"/>
            </w:pPr>
            <w:r>
              <w:t>Project Management</w:t>
            </w:r>
          </w:p>
        </w:tc>
      </w:tr>
      <w:tr>
        <w:tc>
          <w:tcPr/>
          <w:p>
            <w:pPr>
              <w:pStyle w:val="TableBulletPoints"/>
            </w:pPr>
            <w:r>
              <w:t>Holds overall accountability for project compliance with this procedure and approves this procedure and any material amendment.</w:t>
            </w:r>
          </w:p>
        </w:tc>
        <w:tc>
          <w:tcPr/>
          <w:p>
            <w:pPr>
              <w:pStyle w:val="TableContents"/>
            </w:pPr>
            <w:r>
              <w:rPr>
                <w:b/>
                <w:bCs/>
              </w:rPr>
              <w:t>✓</w:t>
            </w:r>
          </w:p>
        </w:tc>
        <w:tc>
          <w:tcPr/>
          <w:p>
            <w:pPr>
              <w:pStyle w:val="TableContents"/>
            </w:pPr>
          </w:p>
        </w:tc>
        <w:tc>
          <w:tcPr/>
          <w:p>
            <w:pPr>
              <w:pStyle w:val="TableContents"/>
            </w:pPr>
          </w:p>
        </w:tc>
      </w:tr>
      <w:tr>
        <w:tc>
          <w:tcPr/>
          <w:p>
            <w:pPr>
              <w:pStyle w:val="TableBulletPoints"/>
            </w:pPr>
            <w:r>
              <w:t>Accepts residual risk at the highest risk class level and authorises continuation where escalation is required.</w:t>
            </w:r>
          </w:p>
        </w:tc>
        <w:tc>
          <w:tcPr/>
          <w:p>
            <w:pPr>
              <w:pStyle w:val="TableContents"/>
            </w:pPr>
            <w:r>
              <w:rPr>
                <w:b/>
                <w:bCs/>
              </w:rPr>
              <w:t>✓</w:t>
            </w:r>
          </w:p>
        </w:tc>
        <w:tc>
          <w:tcPr/>
          <w:p>
            <w:pPr>
              <w:pStyle w:val="TableContents"/>
            </w:pPr>
          </w:p>
        </w:tc>
        <w:tc>
          <w:tcPr/>
          <w:p>
            <w:pPr>
              <w:pStyle w:val="TableContents"/>
            </w:pPr>
          </w:p>
        </w:tc>
      </w:tr>
      <w:tr>
        <w:tc>
          <w:tcPr>
            <w:gridSpan w:val="4"/>
          </w:tcPr>
          <w:p>
            <w:pPr>
              <w:pStyle w:val="TableContents"/>
            </w:pPr>
            <w:r>
              <w:rPr>
                <w:b/>
                <w:bCs/>
                <w:color w:val="0059D1"/>
              </w:rPr>
              <w:t>[INSERT: add further responsibilities as required]</w:t>
            </w:r>
          </w:p>
        </w:tc>
      </w:tr>
      <w:tr>
        <w:tc>
          <w:tcPr>
            <w:gridSpan w:val="4"/>
          </w:tcPr>
          <w:p>
            <w:pPr>
              <w:pStyle w:val="TableHeading"/>
            </w:pPr>
            <w:r>
              <w:t>HSE/CSP Management</w:t>
            </w:r>
          </w:p>
        </w:tc>
      </w:tr>
      <w:tr>
        <w:tc>
          <w:tcPr/>
          <w:p>
            <w:pPr>
              <w:pStyle w:val="TableBulletPoints"/>
            </w:pPr>
            <w:r>
              <w:t>Maintains and implements this procedure and confirms all activities meet its requirements before work proceeds.</w:t>
            </w:r>
          </w:p>
        </w:tc>
        <w:tc>
          <w:tcPr/>
          <w:p>
            <w:pPr>
              <w:pStyle w:val="TableContents"/>
            </w:pPr>
            <w:r>
              <w:rPr>
                <w:b/>
                <w:bCs/>
              </w:rPr>
              <w:t>✓</w:t>
            </w:r>
          </w:p>
        </w:tc>
        <w:tc>
          <w:tcPr/>
          <w:p>
            <w:pPr>
              <w:pStyle w:val="TableContents"/>
            </w:pPr>
            <w:r>
              <w:rPr>
                <w:b/>
                <w:bCs/>
              </w:rPr>
              <w:t>✓</w:t>
            </w:r>
          </w:p>
        </w:tc>
        <w:tc>
          <w:tcPr/>
          <w:p>
            <w:pPr>
              <w:pStyle w:val="TableContents"/>
            </w:pPr>
          </w:p>
        </w:tc>
      </w:tr>
      <w:tr>
        <w:tc>
          <w:tcPr/>
          <w:p>
            <w:pPr>
              <w:pStyle w:val="TableBulletPoints"/>
            </w:pPr>
            <w:r>
              <w:t>Reviews and approves all required assessments, plans, and registers produced under this procedure.</w:t>
            </w:r>
          </w:p>
        </w:tc>
        <w:tc>
          <w:tcPr/>
          <w:p>
            <w:pPr>
              <w:pStyle w:val="TableContents"/>
            </w:pPr>
            <w:r>
              <w:rPr>
                <w:b/>
                <w:bCs/>
              </w:rPr>
              <w:t>✓</w:t>
            </w:r>
          </w:p>
        </w:tc>
        <w:tc>
          <w:tcPr/>
          <w:p>
            <w:pPr>
              <w:pStyle w:val="TableContents"/>
            </w:pPr>
            <w:r>
              <w:rPr>
                <w:b/>
                <w:bCs/>
              </w:rPr>
              <w:t>✓</w:t>
            </w:r>
          </w:p>
        </w:tc>
        <w:tc>
          <w:tcPr/>
          <w:p>
            <w:pPr>
              <w:pStyle w:val="TableContents"/>
            </w:pPr>
          </w:p>
        </w:tc>
      </w:tr>
      <w:tr>
        <w:tc>
          <w:tcPr/>
          <w:p>
            <w:pPr>
              <w:pStyle w:val="TableBulletPoints"/>
            </w:pPr>
            <w:r>
              <w:t>Reports performance against this procedure at the agreed project HSESC performance meeting.</w:t>
            </w:r>
          </w:p>
        </w:tc>
        <w:tc>
          <w:tcPr/>
          <w:p>
            <w:pPr>
              <w:pStyle w:val="TableContents"/>
            </w:pPr>
            <w:r>
              <w:rPr>
                <w:b/>
                <w:bCs/>
              </w:rPr>
              <w:t>✓</w:t>
            </w:r>
          </w:p>
        </w:tc>
        <w:tc>
          <w:tcPr/>
          <w:p>
            <w:pPr>
              <w:pStyle w:val="TableContents"/>
            </w:pPr>
            <w:r>
              <w:rPr>
                <w:b/>
                <w:bCs/>
              </w:rPr>
              <w:t>✓</w:t>
            </w:r>
          </w:p>
        </w:tc>
        <w:tc>
          <w:tcPr/>
          <w:p>
            <w:pPr>
              <w:pStyle w:val="TableContents"/>
            </w:pPr>
          </w:p>
        </w:tc>
      </w:tr>
      <w:tr>
        <w:tc>
          <w:tcPr/>
          <w:p>
            <w:pPr>
              <w:pStyle w:val="TableBulletPoints"/>
            </w:pPr>
            <w:r>
              <w:t>Reviews performance data, identifies trends, and incorporates systemic findings into corrective action programmes.</w:t>
            </w:r>
          </w:p>
        </w:tc>
        <w:tc>
          <w:tcPr/>
          <w:p>
            <w:pPr>
              <w:pStyle w:val="TableContents"/>
            </w:pPr>
            <w:r>
              <w:rPr>
                <w:b/>
                <w:bCs/>
              </w:rPr>
              <w:t>✓</w:t>
            </w:r>
          </w:p>
        </w:tc>
        <w:tc>
          <w:tcPr/>
          <w:p>
            <w:pPr>
              <w:pStyle w:val="TableContents"/>
            </w:pPr>
            <w:r>
              <w:rPr>
                <w:b/>
                <w:bCs/>
              </w:rPr>
              <w:t>✓</w:t>
            </w:r>
          </w:p>
        </w:tc>
        <w:tc>
          <w:tcPr/>
          <w:p>
            <w:pPr>
              <w:pStyle w:val="TableContents"/>
            </w:pPr>
          </w:p>
        </w:tc>
      </w:tr>
      <w:tr>
        <w:tc>
          <w:tcPr>
            <w:gridSpan w:val="4"/>
          </w:tcPr>
          <w:p>
            <w:pPr>
              <w:pStyle w:val="TableContents"/>
            </w:pPr>
            <w:r>
              <w:rPr>
                <w:b/>
                <w:bCs/>
                <w:color w:val="0059D1"/>
              </w:rPr>
              <w:t>[INSERT: add further responsibilities as required]</w:t>
            </w:r>
          </w:p>
        </w:tc>
      </w:tr>
      <w:tr>
        <w:tc>
          <w:tcPr>
            <w:gridSpan w:val="4"/>
          </w:tcPr>
          <w:p>
            <w:pPr>
              <w:pStyle w:val="TableHeading"/>
            </w:pPr>
            <w:r>
              <w:t>Frontline Supervision</w:t>
            </w:r>
          </w:p>
        </w:tc>
      </w:tr>
      <w:tr>
        <w:tc>
          <w:tcPr/>
          <w:p>
            <w:pPr>
              <w:pStyle w:val="TableBulletPoints"/>
            </w:pPr>
            <w:r>
              <w:t>Ensures work crew compliance with this procedure before and during all relevant task executions.</w:t>
            </w:r>
          </w:p>
        </w:tc>
        <w:tc>
          <w:tcPr/>
          <w:p>
            <w:pPr>
              <w:pStyle w:val="TableContents"/>
            </w:pPr>
            <w:r>
              <w:rPr>
                <w:b/>
                <w:bCs/>
              </w:rPr>
              <w:t>✓</w:t>
            </w:r>
          </w:p>
        </w:tc>
        <w:tc>
          <w:tcPr/>
          <w:p>
            <w:pPr>
              <w:pStyle w:val="TableContents"/>
            </w:pPr>
            <w:r>
              <w:rPr>
                <w:b/>
                <w:bCs/>
              </w:rPr>
              <w:t>✓</w:t>
            </w:r>
          </w:p>
        </w:tc>
        <w:tc>
          <w:tcPr/>
          <w:p>
            <w:pPr>
              <w:pStyle w:val="TableContents"/>
            </w:pPr>
          </w:p>
        </w:tc>
      </w:tr>
      <w:tr>
        <w:tc>
          <w:tcPr/>
          <w:p>
            <w:pPr>
              <w:pStyle w:val="TableBulletPoints"/>
            </w:pPr>
            <w:r>
              <w:t>Stops work when the requirements of this procedure cannot be met and notifies the HSESC Manager.</w:t>
            </w:r>
          </w:p>
        </w:tc>
        <w:tc>
          <w:tcPr/>
          <w:p>
            <w:pPr>
              <w:pStyle w:val="TableContents"/>
            </w:pPr>
            <w:r>
              <w:rPr>
                <w:b/>
                <w:bCs/>
              </w:rPr>
              <w:t>✓</w:t>
            </w:r>
          </w:p>
        </w:tc>
        <w:tc>
          <w:tcPr/>
          <w:p>
            <w:pPr>
              <w:pStyle w:val="TableContents"/>
            </w:pPr>
            <w:r>
              <w:rPr>
                <w:b/>
                <w:bCs/>
              </w:rPr>
              <w:t>✓</w:t>
            </w:r>
          </w:p>
        </w:tc>
        <w:tc>
          <w:tcPr/>
          <w:p>
            <w:pPr>
              <w:pStyle w:val="TableContents"/>
            </w:pPr>
          </w:p>
        </w:tc>
      </w:tr>
      <w:tr>
        <w:tc>
          <w:tcPr/>
          <w:p>
            <w:pPr>
              <w:pStyle w:val="TableBulletPoints"/>
            </w:pPr>
            <w:r>
              <w:t>Confirms all personnel under their supervision are trained and competent before commencing relevant activities.</w:t>
            </w:r>
          </w:p>
        </w:tc>
        <w:tc>
          <w:tcPr/>
          <w:p>
            <w:pPr>
              <w:pStyle w:val="TableContents"/>
            </w:pPr>
            <w:r>
              <w:rPr>
                <w:b/>
                <w:bCs/>
              </w:rPr>
              <w:t>✓</w:t>
            </w:r>
          </w:p>
        </w:tc>
        <w:tc>
          <w:tcPr/>
          <w:p>
            <w:pPr>
              <w:pStyle w:val="TableContents"/>
            </w:pPr>
            <w:r>
              <w:rPr>
                <w:b/>
                <w:bCs/>
              </w:rPr>
              <w:t>✓</w:t>
            </w:r>
          </w:p>
        </w:tc>
        <w:tc>
          <w:tcPr/>
          <w:p>
            <w:pPr>
              <w:pStyle w:val="TableContents"/>
            </w:pPr>
          </w:p>
        </w:tc>
      </w:tr>
      <w:tr>
        <w:tc>
          <w:tcPr>
            <w:gridSpan w:val="4"/>
          </w:tcPr>
          <w:p>
            <w:pPr>
              <w:pStyle w:val="TableContents"/>
            </w:pPr>
            <w:r>
              <w:rPr>
                <w:b/>
                <w:bCs/>
                <w:color w:val="0059D1"/>
              </w:rPr>
              <w:t>[INSERT: add further responsibilities as required]</w:t>
            </w:r>
          </w:p>
        </w:tc>
      </w:tr>
      <w:tr>
        <w:tc>
          <w:tcPr>
            <w:gridSpan w:val="4"/>
          </w:tcPr>
          <w:p>
            <w:pPr>
              <w:pStyle w:val="TableHeading"/>
            </w:pPr>
            <w:r>
              <w:t>All Project Personnel / Workers</w:t>
            </w:r>
          </w:p>
        </w:tc>
      </w:tr>
      <w:tr>
        <w:tc>
          <w:tcPr/>
          <w:p>
            <w:pPr>
              <w:pStyle w:val="TableBulletPoints"/>
            </w:pPr>
            <w:r>
              <w:t>Complies with the requirements of this procedure in all relevant work activities.</w:t>
            </w:r>
          </w:p>
        </w:tc>
        <w:tc>
          <w:tcPr/>
          <w:p>
            <w:pPr>
              <w:pStyle w:val="TableContents"/>
            </w:pPr>
            <w:r>
              <w:rPr>
                <w:b/>
                <w:bCs/>
              </w:rPr>
              <w:t>✓</w:t>
            </w:r>
          </w:p>
        </w:tc>
        <w:tc>
          <w:tcPr/>
          <w:p>
            <w:pPr>
              <w:pStyle w:val="TableContents"/>
            </w:pPr>
            <w:r>
              <w:rPr>
                <w:b/>
                <w:bCs/>
              </w:rPr>
              <w:t>✓</w:t>
            </w:r>
          </w:p>
        </w:tc>
        <w:tc>
          <w:tcPr/>
          <w:p>
            <w:pPr>
              <w:pStyle w:val="TableContents"/>
            </w:pPr>
          </w:p>
        </w:tc>
      </w:tr>
      <w:tr>
        <w:tc>
          <w:tcPr/>
          <w:p>
            <w:pPr>
              <w:pStyle w:val="TableBulletPoints"/>
            </w:pPr>
            <w:r>
              <w:t>Reports any non-compliance with this procedure immediately to their supervisor.</w:t>
            </w:r>
          </w:p>
        </w:tc>
        <w:tc>
          <w:tcPr/>
          <w:p>
            <w:pPr>
              <w:pStyle w:val="TableContents"/>
            </w:pPr>
            <w:r>
              <w:rPr>
                <w:b/>
                <w:bCs/>
              </w:rPr>
              <w:t>✓</w:t>
            </w:r>
          </w:p>
        </w:tc>
        <w:tc>
          <w:tcPr/>
          <w:p>
            <w:pPr>
              <w:pStyle w:val="TableContents"/>
            </w:pPr>
            <w:r>
              <w:rPr>
                <w:b/>
                <w:bCs/>
              </w:rPr>
              <w:t>✓</w:t>
            </w:r>
          </w:p>
        </w:tc>
        <w:tc>
          <w:tcPr/>
          <w:p>
            <w:pPr>
              <w:pStyle w:val="TableContents"/>
            </w:pPr>
          </w:p>
        </w:tc>
      </w:tr>
      <w:tr>
        <w:tc>
          <w:tcPr>
            <w:gridSpan w:val="4"/>
          </w:tcPr>
          <w:p>
            <w:pPr>
              <w:pStyle w:val="TableContents"/>
            </w:pPr>
            <w:r>
              <w:rPr>
                <w:b/>
                <w:bCs/>
                <w:color w:val="0059D1"/>
              </w:rPr>
              <w:t>[INSERT: add further responsibilities as required]</w:t>
            </w:r>
          </w:p>
        </w:tc>
      </w:tr>
    </w:tbl>
    <w:p>
      <w:pPr>
        <w:pStyle w:val="Default"/>
      </w:pPr>
    </w:p>
    <w:p>
      <w:pPr>
        <w:pStyle w:val="Heading1Numbered"/>
      </w:pPr>
      <w:r>
        <w:t>3  Purpose and Scope</w:t>
      </w:r>
    </w:p>
    <w:p>
      <w:pPr>
        <w:pStyle w:val="NormalNumberedtext"/>
      </w:pPr>
      <w:r>
        <w:t>This section defines the purpose of this procedure, the contractor and supplier management activities it governs, and the lifecycle phases to which it applies from mobilisation through to demobilisation.</w:t>
      </w:r>
    </w:p>
    <w:p>
      <w:pPr>
        <w:pStyle w:val="Heading2Numbered"/>
      </w:pPr>
      <w:r>
        <w:t>3.1  Purpose of This Document</w:t>
      </w:r>
    </w:p>
    <w:p>
      <w:pPr>
        <w:pStyle w:val="NormalNumberedtext"/>
      </w:pPr>
      <w:r>
        <w:t>This section states the purpose of this procedure and the HSESC obligations it establishes for contractor and supplier management.</w:t>
      </w:r>
    </w:p>
    <w:p>
      <w:pPr>
        <w:pStyle w:val="NormalNumberedtext"/>
      </w:pPr>
      <w:r>
        <w:t>This procedure meets the following purpose requirements:</w:t>
      </w:r>
    </w:p>
    <w:p>
      <w:pPr>
        <w:pStyle w:val="NormalNumberedtext"/>
      </w:pPr>
      <w:r>
        <w:t>This procedure establishes the HSESC requirements for the selection, onboarding, and ongoing monitoring of contractor organisations and the due diligence requirements for suppliers engaged on the project.</w:t>
      </w:r>
    </w:p>
    <w:p>
      <w:pPr>
        <w:pStyle w:val="NormalNumberedtext"/>
      </w:pPr>
      <w:r>
        <w:t>This procedure operationalises the Rio Tinto Appendix C contractor HSESC framework into a documented, project-specific process covering pre-qualification, contractual alignment, performance monitoring, and escalation. It applies to all contractor and subcontractor organisations performing work on the project and to suppliers whose procurement activities carry elevated HSESC risk.</w:t>
      </w:r>
    </w:p>
    <w:p>
      <w:pPr>
        <w:pStyle w:val="NormalNumberedtext"/>
      </w:pPr>
      <w:r>
        <w:t>Accountability for the safety and health performance of contracted workers is retained at the project owner level and is not treated as solely the contractor's responsibility. The project owner exercises the right to review and approve contractor selection on HSESC grounds.</w:t>
      </w:r>
    </w:p>
    <w:p>
      <w:pPr>
        <w:pStyle w:val="Heading2Numbered"/>
      </w:pPr>
      <w:r>
        <w:t>3.2  Scope of This Document</w:t>
      </w:r>
    </w:p>
    <w:p>
      <w:pPr>
        <w:pStyle w:val="NormalNumberedtext"/>
      </w:pPr>
      <w:r>
        <w:t>This section defines which contractor and supplier management activities are governed by this procedure and the lifecycle phases it covers.</w:t>
      </w:r>
    </w:p>
    <w:p>
      <w:pPr>
        <w:pStyle w:val="NormalNumberedtext"/>
      </w:pPr>
      <w:r>
        <w:t>This procedure applies the following scope requirements:</w:t>
      </w:r>
    </w:p>
    <w:p>
      <w:pPr>
        <w:pStyle w:val="NormalNumberedtext"/>
      </w:pPr>
      <w:r>
        <w:t>This procedure governs contractor HSESC pre-qualification and selection, onboarding and requirements communication, and ongoing compliance monitoring from contractor mobilisation through to demobilisation and close-out.</w:t>
      </w:r>
    </w:p>
    <w:p>
      <w:pPr>
        <w:pStyle w:val="NormalNumberedtext"/>
      </w:pPr>
      <w:r>
        <w:t>This procedure governs HSESC due diligence for high-risk suppliers. Suppliers of products and services are outside the Appendix C contractor framework and are managed through the separate HSESC risk management approach for procurement activities defined in Section 5 of this procedure.</w:t>
      </w:r>
    </w:p>
    <w:p>
      <w:pPr>
        <w:pStyle w:val="NormalNumberedtext"/>
      </w:pPr>
      <w:r>
        <w:t>The scope of this procedure starts when a contractor or supplier is identified for engagement and ends when that organisation's scope of work is complete and their personnel have demobilised from site. Risk identification activities supporting contractor engagement are conducted using the methodology defined in RTPR-HSE-PRO-0002.</w:t>
      </w:r>
    </w:p>
    <w:p>
      <w:pPr>
        <w:pStyle w:val="Heading1Numbered"/>
      </w:pPr>
      <w:r>
        <w:t>4  Roles and Responsibilities</w:t>
      </w:r>
    </w:p>
    <w:p>
      <w:pPr>
        <w:pStyle w:val="NormalNumberedtext"/>
      </w:pPr>
      <w:r>
        <w:t>This section defines contractor and supplier management responsibilities for all project roles, covering the Rio Tinto project team and all contractor organisations from pre-qualification through to close-out.</w:t>
      </w:r>
    </w:p>
    <w:p>
      <w:pPr>
        <w:pStyle w:val="NormalNumberedtext"/>
      </w:pPr>
      <w:r>
        <w:t>Responsibilities for contractor and supplier HSESC management are assigned as follows:</w:t>
      </w:r>
    </w:p>
    <w:p>
      <w:pPr>
        <w:pStyle w:val="NormalNumberedtext"/>
      </w:pPr>
      <w:r>
        <w:t>Table 1: Contractor and Supplier Management Roles and Responsibilities</w:t>
      </w:r>
    </w:p>
    <w:tbl>
      <w:tblPr>
        <w:tblStyle w:val="TableOption2"/>
        <w:tblW w:type="pct" w:w="5000"/>
      </w:tblPr>
      <w:tr>
        <w:trPr>
          <w:tblHeader/>
        </w:trPr>
        <w:tc>
          <w:tcPr>
            <w:shd w:val="clear" w:color="auto" w:fill="1F3864"/>
          </w:tcPr>
          <w:p>
            <w:pPr>
              <w:pStyle w:val="TableContents"/>
            </w:pPr>
            <w:r>
              <w:rPr>
                <w:b/>
                <w:bCs/>
                <w:color w:val="FFFFFF"/>
              </w:rPr>
              <w:t>Role</w:t>
            </w:r>
          </w:p>
        </w:tc>
        <w:tc>
          <w:tcPr>
            <w:shd w:val="clear" w:color="auto" w:fill="1F3864"/>
          </w:tcPr>
          <w:p>
            <w:pPr>
              <w:pStyle w:val="TableContents"/>
            </w:pPr>
            <w:r>
              <w:rPr>
                <w:b/>
                <w:bCs/>
                <w:color w:val="FFFFFF"/>
              </w:rPr>
              <w:t>Responsibility</w:t>
            </w:r>
          </w:p>
        </w:tc>
      </w:tr>
      <w:tr>
        <w:tc>
          <w:tcPr/>
          <w:p>
            <w:pPr>
              <w:pStyle w:val="TableContents"/>
            </w:pPr>
            <w:r>
              <w:t>Project Director</w:t>
            </w:r>
          </w:p>
        </w:tc>
        <w:tc>
          <w:tcPr/>
          <w:p>
            <w:pPr>
              <w:pStyle w:val="TableContents"/>
            </w:pPr>
            <w:r>
              <w:t>Approves contractor HSESC pre-qualification outcomes and retains authority to reject contractor selection on HSESC grounds.</w:t>
            </w:r>
          </w:p>
        </w:tc>
      </w:tr>
      <w:tr>
        <w:tc>
          <w:tcPr/>
          <w:p>
            <w:pPr>
              <w:pStyle w:val="TableContents"/>
            </w:pPr>
            <w:r>
              <w:t>HSESC Manager</w:t>
            </w:r>
          </w:p>
        </w:tc>
        <w:tc>
          <w:tcPr/>
          <w:p>
            <w:pPr>
              <w:pStyle w:val="TableContents"/>
            </w:pPr>
            <w:r>
              <w:t>Administers the pre-qualification evaluation process, reviews contractor HSESC plans before mobilisation, and oversees ongoing compliance monitoring.</w:t>
            </w:r>
          </w:p>
        </w:tc>
      </w:tr>
      <w:tr>
        <w:tc>
          <w:tcPr/>
          <w:p>
            <w:pPr>
              <w:pStyle w:val="TableContents"/>
            </w:pPr>
            <w:r>
              <w:t>Package Manager</w:t>
            </w:r>
          </w:p>
        </w:tc>
        <w:tc>
          <w:tcPr/>
          <w:p>
            <w:pPr>
              <w:pStyle w:val="TableContents"/>
            </w:pPr>
            <w:r>
              <w:t>Ensures HSESC requirements are embedded in contract documents and that contractor onboarding is completed before work commences.</w:t>
            </w:r>
          </w:p>
        </w:tc>
      </w:tr>
      <w:tr>
        <w:tc>
          <w:tcPr/>
          <w:p>
            <w:pPr>
              <w:pStyle w:val="TableContents"/>
            </w:pPr>
            <w:r>
              <w:t>HSESC Advisor</w:t>
            </w:r>
          </w:p>
        </w:tc>
        <w:tc>
          <w:tcPr/>
          <w:p>
            <w:pPr>
              <w:pStyle w:val="TableContents"/>
            </w:pPr>
            <w:r>
              <w:t>Conducts contractor compliance inspections, maintains compliance records, and initiates the escalation process when non-compliance thresholds are reached.</w:t>
            </w:r>
          </w:p>
        </w:tc>
      </w:tr>
      <w:tr>
        <w:tc>
          <w:tcPr/>
          <w:p>
            <w:pPr>
              <w:pStyle w:val="TableContents"/>
            </w:pPr>
            <w:r>
              <w:t>Contractor HSESC Representative</w:t>
            </w:r>
          </w:p>
        </w:tc>
        <w:tc>
          <w:tcPr/>
          <w:p>
            <w:pPr>
              <w:pStyle w:val="TableContents"/>
            </w:pPr>
            <w:r>
              <w:t>Prepares and submits all required HSESC documentation, implements the contractor HSESC plan, and reports incidents per RTPR-HSE-PRO-0009.</w:t>
            </w:r>
          </w:p>
        </w:tc>
      </w:tr>
      <w:tr>
        <w:tc>
          <w:tcPr/>
          <w:p>
            <w:pPr>
              <w:pStyle w:val="TableContents"/>
            </w:pPr>
            <w:r>
              <w:rPr>
                <w:b/>
                <w:bCs/>
                <w:color w:val="0059D1"/>
              </w:rPr>
              <w:t>[INSERT: Procurement Lead or equivalent role]</w:t>
            </w:r>
          </w:p>
        </w:tc>
        <w:tc>
          <w:tcPr/>
          <w:p>
            <w:pPr>
              <w:pStyle w:val="TableContents"/>
            </w:pPr>
            <w:r>
              <w:rPr>
                <w:b/>
                <w:bCs/>
                <w:color w:val="0059D1"/>
              </w:rPr>
              <w:t>[INSERT: Define procurement role responsibilities for supplier HSESC due diligence.]</w:t>
            </w:r>
          </w:p>
        </w:tc>
      </w:tr>
    </w:tbl>
    <w:p>
      <w:pPr>
        <w:pStyle w:val="Default"/>
      </w:pPr>
    </w:p>
    <w:p>
      <w:pPr>
        <w:pStyle w:val="Heading1Numbered"/>
      </w:pPr>
      <w:r>
        <w:t>5  Pre-qualification and Selection</w:t>
      </w:r>
    </w:p>
    <w:p>
      <w:pPr>
        <w:pStyle w:val="NormalNumberedtext"/>
      </w:pPr>
      <w:r>
        <w:t>This section defines the HSESC evaluation process applied before contractor award, the minimum criteria used in that evaluation, and the proportionality principle governing the depth of requirements applied to each scope.</w:t>
      </w:r>
    </w:p>
    <w:p>
      <w:pPr>
        <w:pStyle w:val="Heading2Numbered"/>
      </w:pPr>
      <w:r>
        <w:t>5.1  Pre-qualification Evaluation Process</w:t>
      </w:r>
    </w:p>
    <w:p>
      <w:pPr>
        <w:pStyle w:val="NormalNumberedtext"/>
      </w:pPr>
      <w:r>
        <w:t>This section defines how contractor organisations are evaluated for HSESC performance capability before contract award.</w:t>
      </w:r>
    </w:p>
    <w:p>
      <w:pPr>
        <w:pStyle w:val="NormalNumberedtext"/>
      </w:pPr>
      <w:r>
        <w:t>All proposed contractor organisations are evaluated for HSESC performance capability before contract award. A documented evaluation is provided to the relevant project authority before a selection decision is made. The project reserves the right to review and approve contractor selection on HSESC grounds at any point in the procurement process.</w:t>
      </w:r>
    </w:p>
    <w:p>
      <w:pPr>
        <w:pStyle w:val="NormalNumberedtext"/>
      </w:pPr>
      <w:r>
        <w:t>The HSESC Manager conducts or coordinates the HSESC pre-qualification evaluation for each contractor organisation using the project HSESC pre-qualification scorecard. The minimum score required for approval and the weighting applied to each evaluation category are defined in the project-specific scorecard:</w:t>
      </w:r>
    </w:p>
    <w:p>
      <w:pPr>
        <w:pStyle w:val="NormalNumberedtext"/>
      </w:pPr>
      <w:r>
        <w:rPr>
          <w:b/>
          <w:bCs/>
          <w:color w:val="0059D1"/>
        </w:rPr>
        <w:t>[INSERT: pre_qualification_scorecard_reference] — Define the contractor HSESC pre-qualification scorecard for this project — the minimum score required for approval and the criteria weighting. The procedure defines the categories; the project sets the specific criteria and thresholds. Reference the scorecard document number here.</w:t>
      </w:r>
    </w:p>
    <w:p>
      <w:pPr>
        <w:pStyle w:val="NormalNumberedtext"/>
      </w:pPr>
      <w:r>
        <w:t>The risk-based approach to setting contractor HSESC requirements is governed by RTPR-HSE-PRO-0002. The depth of pre-qualification requirements applied to a contractor scope is proportionate to the HSESC risk associated with that scope. High-risk scopes require more extensive HSESC obligations than low-risk administrative scopes.</w:t>
      </w:r>
    </w:p>
    <w:p>
      <w:pPr>
        <w:pStyle w:val="Heading2Numbered"/>
      </w:pPr>
      <w:r>
        <w:t>5.2  Minimum HSESC Evaluation Criteria</w:t>
      </w:r>
    </w:p>
    <w:p>
      <w:pPr>
        <w:pStyle w:val="NormalNumberedtext"/>
      </w:pPr>
      <w:r>
        <w:t>This section defines the minimum HSESC criteria applied in every contractor pre-qualification evaluation.</w:t>
      </w:r>
    </w:p>
    <w:p>
      <w:pPr>
        <w:pStyle w:val="NormalNumberedtext"/>
      </w:pPr>
      <w:r>
        <w:t>Every contractor pre-qualification evaluation addresses the following minimum HSESC criteria:</w:t>
      </w:r>
    </w:p>
    <w:p>
      <w:pPr>
        <w:pStyle w:val="NormalNumberedtext"/>
      </w:pPr>
      <w:r>
        <w:t>The minimum evaluation criteria are:</w:t>
      </w:r>
    </w:p>
    <w:p>
      <w:pPr>
        <w:pStyle w:val="NumberedBulletL1"/>
      </w:pPr>
      <w:r>
        <w:t>Safety record and lagging frequency rates, including Total Recordable Injury Frequency Rate (TRIFR) and Lost Time Injury Frequency Rate (LTIFR) for the preceding three years.</w:t>
      </w:r>
    </w:p>
    <w:p>
      <w:pPr>
        <w:pStyle w:val="NumberedBulletL1"/>
      </w:pPr>
      <w:r>
        <w:t>Management system maturity, including certification status and demonstrated implementation evidence.</w:t>
      </w:r>
    </w:p>
    <w:p>
      <w:pPr>
        <w:pStyle w:val="NumberedBulletL1"/>
      </w:pPr>
      <w:r>
        <w:t>Training and competency capability, including systems for managing worker qualifications and licence to operate requirements.</w:t>
      </w:r>
    </w:p>
    <w:p>
      <w:pPr>
        <w:pStyle w:val="NumberedBulletL1"/>
      </w:pPr>
      <w:r>
        <w:t>Incident history, including significant events, fatalities, and regulatory enforcement actions.</w:t>
      </w:r>
    </w:p>
    <w:p>
      <w:pPr>
        <w:pStyle w:val="NumberedBulletL1"/>
      </w:pPr>
      <w:r>
        <w:t>Demonstrated critical risk management programme capability, including evidence of fatal hazard controls and critical control verification.</w:t>
      </w:r>
    </w:p>
    <w:p>
      <w:pPr>
        <w:pStyle w:val="NumberedBulletL1"/>
      </w:pPr>
      <w:r>
        <w:rPr>
          <w:color w:val="C55A11"/>
        </w:rPr>
        <w:t>Environmental management capability, including spill history and environmental licence compliance record.</w:t>
      </w:r>
    </w:p>
    <w:p>
      <w:pPr>
        <w:pStyle w:val="NumberedBulletL1"/>
      </w:pPr>
      <w:r>
        <w:rPr>
          <w:b/>
          <w:bCs/>
          <w:color w:val="0059D1"/>
        </w:rPr>
        <w:t>[INSERT: additional_prequalification_criteria]</w:t>
      </w:r>
    </w:p>
    <w:p>
      <w:pPr>
        <w:pStyle w:val="NormalNumberedtext"/>
      </w:pPr>
      <w:r>
        <w:t>Training and competency requirements communicated to contractor organisations during pre-qualification are defined in RTPR-HSE-PRO-0004. Contractor incident reporting obligations assessed during pre-qualification are governed by RTPR-HSE-PRO-0009.</w:t>
      </w:r>
    </w:p>
    <w:p>
      <w:pPr>
        <w:pStyle w:val="Heading1Numbered"/>
      </w:pPr>
      <w:r>
        <w:t>6  HSESC Requirements Communication and Alignment</w:t>
      </w:r>
    </w:p>
    <w:p>
      <w:pPr>
        <w:pStyle w:val="NormalNumberedtext"/>
      </w:pPr>
      <w:r>
        <w:t>This section defines how HSESC requirements are communicated to contractor organisations during onboarding, how contractor HSESC plans are aligned to the project management system, and how emergency response is integrated.</w:t>
      </w:r>
    </w:p>
    <w:p>
      <w:pPr>
        <w:pStyle w:val="Heading2Numbered"/>
      </w:pPr>
      <w:r>
        <w:t>6.1  Contractor Onboarding Requirements</w:t>
      </w:r>
    </w:p>
    <w:p>
      <w:pPr>
        <w:pStyle w:val="NormalNumberedtext"/>
      </w:pPr>
      <w:r>
        <w:t>This section defines the HSESC deliverables each contractor must submit and the alignment process that must be completed before work commences.</w:t>
      </w:r>
    </w:p>
    <w:p>
      <w:pPr>
        <w:pStyle w:val="NormalNumberedtext"/>
      </w:pPr>
      <w:r>
        <w:t>All applicable HSESC requirements are communicated to contractor organisations as part of the onboarding process. Contractor HSESC plans are reviewed and aligned with the project HSESC management system before work commences. No contractor mobilises to site until this alignment is confirmed in writing by the HSESC Manager.</w:t>
      </w:r>
    </w:p>
    <w:p>
      <w:pPr>
        <w:pStyle w:val="NormalNumberedtext"/>
      </w:pPr>
      <w:r>
        <w:t>The HSESC Execution Readiness Plan is prepared by the contractor and agreed with the project owner before work commences at any location. The plan must demonstrate that all HSESC systems, personnel, permits, training, and resources are in place and verified before mobilisation. The plan is submitted and approved in accordance with RTPR-HSE-PRO-0010.</w:t>
      </w:r>
    </w:p>
    <w:p>
      <w:pPr>
        <w:pStyle w:val="NormalNumberedtext"/>
      </w:pPr>
      <w:r>
        <w:t>All Appendix C requirements are communicated to subcontractors as part of the onboarding process. All subcontractor HSESC plans are aligned with the project HSESC Management Plan and meet project owner expectations before work commences. The principal contractor is responsible for administering subcontractor onboarding and confirming alignment to the HSESC Manager.</w:t>
      </w:r>
    </w:p>
    <w:p>
      <w:pPr>
        <w:pStyle w:val="NormalNumberedtext"/>
      </w:pPr>
      <w:r>
        <w:t>The specific deliverables each contractor must submit before mobilisation, together with submission due dates relative to the project programme, are listed below. Submission, review, and approval of all contractor HSESC documents is governed by RTPR-HSE-PRO-0010:</w:t>
      </w:r>
    </w:p>
    <w:p>
      <w:pPr>
        <w:pStyle w:val="NormalNumberedtext"/>
      </w:pPr>
      <w:r>
        <w:rPr>
          <w:b/>
          <w:bCs/>
          <w:color w:val="0059D1"/>
        </w:rPr>
        <w:t>[INSERT: contractor_mobilisation_deliverables] — List the specific deliverables each contractor must submit before mobilisation and insert submission due dates relative to the project programme. Reference the project Deliverables Schedule RTPR-HSE-REG-0002.</w:t>
      </w:r>
    </w:p>
    <w:p>
      <w:pPr>
        <w:pStyle w:val="NormalNumberedtext"/>
      </w:pPr>
      <w:r>
        <w:t>Table 2: Contractor Pre-Mobilisation HSESC Deliverable Requirements</w:t>
      </w:r>
    </w:p>
    <w:tbl>
      <w:tblPr>
        <w:tblStyle w:val="TableOption2"/>
        <w:tblW w:type="pct" w:w="5000"/>
      </w:tblPr>
      <w:tr>
        <w:trPr>
          <w:tblHeader/>
        </w:trPr>
        <w:tc>
          <w:tcPr>
            <w:shd w:val="clear" w:color="auto" w:fill="1F3864"/>
          </w:tcPr>
          <w:p>
            <w:pPr>
              <w:pStyle w:val="TableContents"/>
            </w:pPr>
            <w:r>
              <w:rPr>
                <w:b/>
                <w:bCs/>
                <w:color w:val="FFFFFF"/>
              </w:rPr>
              <w:t>Deliverable</w:t>
            </w:r>
          </w:p>
        </w:tc>
        <w:tc>
          <w:tcPr>
            <w:shd w:val="clear" w:color="auto" w:fill="1F3864"/>
          </w:tcPr>
          <w:p>
            <w:pPr>
              <w:pStyle w:val="TableContents"/>
            </w:pPr>
            <w:r>
              <w:rPr>
                <w:b/>
                <w:bCs/>
                <w:color w:val="FFFFFF"/>
              </w:rPr>
              <w:t>Responsible Party</w:t>
            </w:r>
          </w:p>
        </w:tc>
        <w:tc>
          <w:tcPr>
            <w:shd w:val="clear" w:color="auto" w:fill="1F3864"/>
          </w:tcPr>
          <w:p>
            <w:pPr>
              <w:pStyle w:val="TableContents"/>
            </w:pPr>
            <w:r>
              <w:rPr>
                <w:b/>
                <w:bCs/>
                <w:color w:val="FFFFFF"/>
              </w:rPr>
              <w:t>Submission Due Date</w:t>
            </w:r>
          </w:p>
        </w:tc>
        <w:tc>
          <w:tcPr>
            <w:shd w:val="clear" w:color="auto" w:fill="1F3864"/>
          </w:tcPr>
          <w:p>
            <w:pPr>
              <w:pStyle w:val="TableContents"/>
            </w:pPr>
            <w:r>
              <w:rPr>
                <w:b/>
                <w:bCs/>
                <w:color w:val="FFFFFF"/>
              </w:rPr>
              <w:t>Approving Authority</w:t>
            </w:r>
          </w:p>
        </w:tc>
      </w:tr>
      <w:tr>
        <w:tc>
          <w:tcPr/>
          <w:p>
            <w:pPr>
              <w:pStyle w:val="TableContents"/>
            </w:pPr>
            <w:r>
              <w:t>HSESC Execution Readiness Plan</w:t>
            </w:r>
          </w:p>
        </w:tc>
        <w:tc>
          <w:tcPr/>
          <w:p>
            <w:pPr>
              <w:pStyle w:val="TableContents"/>
            </w:pPr>
            <w:r>
              <w:t>Contractor HSESC Representative</w:t>
            </w:r>
          </w:p>
        </w:tc>
        <w:tc>
          <w:tcPr/>
          <w:p>
            <w:pPr>
              <w:pStyle w:val="TableContents"/>
            </w:pPr>
            <w:r>
              <w:rPr>
                <w:b/>
                <w:bCs/>
                <w:color w:val="0059D1"/>
              </w:rPr>
              <w:t>[INSERT: X weeks before mobilisation — refer RTPR-HSE-REG-0002]</w:t>
            </w:r>
          </w:p>
        </w:tc>
        <w:tc>
          <w:tcPr/>
          <w:p>
            <w:pPr>
              <w:pStyle w:val="TableContents"/>
            </w:pPr>
            <w:r>
              <w:t>HSESC Manager</w:t>
            </w:r>
          </w:p>
        </w:tc>
      </w:tr>
      <w:tr>
        <w:tc>
          <w:tcPr/>
          <w:p>
            <w:pPr>
              <w:pStyle w:val="TableContents"/>
            </w:pPr>
            <w:r>
              <w:t>Contractor HSESC Management Plan</w:t>
            </w:r>
          </w:p>
        </w:tc>
        <w:tc>
          <w:tcPr/>
          <w:p>
            <w:pPr>
              <w:pStyle w:val="TableContents"/>
            </w:pPr>
            <w:r>
              <w:t>Contractor HSESC Representative</w:t>
            </w:r>
          </w:p>
        </w:tc>
        <w:tc>
          <w:tcPr/>
          <w:p>
            <w:pPr>
              <w:pStyle w:val="TableContents"/>
            </w:pPr>
            <w:r>
              <w:rPr>
                <w:b/>
                <w:bCs/>
                <w:color w:val="0059D1"/>
              </w:rPr>
              <w:t>[INSERT: X weeks before mobilisation — refer RTPR-HSE-REG-0002]</w:t>
            </w:r>
          </w:p>
        </w:tc>
        <w:tc>
          <w:tcPr/>
          <w:p>
            <w:pPr>
              <w:pStyle w:val="TableContents"/>
            </w:pPr>
            <w:r>
              <w:t>HSESC Manager</w:t>
            </w:r>
          </w:p>
        </w:tc>
      </w:tr>
      <w:tr>
        <w:tc>
          <w:tcPr/>
          <w:p>
            <w:pPr>
              <w:pStyle w:val="TableContents"/>
            </w:pPr>
            <w:r>
              <w:t>Emergency Response Plan (aligned to project ERP)</w:t>
            </w:r>
          </w:p>
        </w:tc>
        <w:tc>
          <w:tcPr/>
          <w:p>
            <w:pPr>
              <w:pStyle w:val="TableContents"/>
            </w:pPr>
            <w:r>
              <w:t>Contractor HSESC Representative</w:t>
            </w:r>
          </w:p>
        </w:tc>
        <w:tc>
          <w:tcPr/>
          <w:p>
            <w:pPr>
              <w:pStyle w:val="TableContents"/>
            </w:pPr>
            <w:r>
              <w:rPr>
                <w:b/>
                <w:bCs/>
                <w:color w:val="0059D1"/>
              </w:rPr>
              <w:t>[INSERT: X weeks before mobilisation — refer RTPR-HSE-REG-0002]</w:t>
            </w:r>
          </w:p>
        </w:tc>
        <w:tc>
          <w:tcPr/>
          <w:p>
            <w:pPr>
              <w:pStyle w:val="TableContents"/>
            </w:pPr>
            <w:r>
              <w:t>HSESC Manager</w:t>
            </w:r>
          </w:p>
        </w:tc>
      </w:tr>
      <w:tr>
        <w:tc>
          <w:tcPr/>
          <w:p>
            <w:pPr>
              <w:pStyle w:val="TableContents"/>
            </w:pPr>
            <w:r>
              <w:t>Training and Competency Register</w:t>
            </w:r>
          </w:p>
        </w:tc>
        <w:tc>
          <w:tcPr/>
          <w:p>
            <w:pPr>
              <w:pStyle w:val="TableContents"/>
            </w:pPr>
            <w:r>
              <w:t>Contractor HSESC Representative</w:t>
            </w:r>
          </w:p>
        </w:tc>
        <w:tc>
          <w:tcPr/>
          <w:p>
            <w:pPr>
              <w:pStyle w:val="TableContents"/>
            </w:pPr>
            <w:r>
              <w:rPr>
                <w:b/>
                <w:bCs/>
                <w:color w:val="0059D1"/>
              </w:rPr>
              <w:t>[INSERT: X weeks before mobilisation — refer RTPR-HSE-REG-0002]</w:t>
            </w:r>
          </w:p>
        </w:tc>
        <w:tc>
          <w:tcPr/>
          <w:p>
            <w:pPr>
              <w:pStyle w:val="TableContents"/>
            </w:pPr>
            <w:r>
              <w:t>Package Manager</w:t>
            </w:r>
          </w:p>
        </w:tc>
      </w:tr>
      <w:tr>
        <w:tc>
          <w:tcPr/>
          <w:p>
            <w:pPr>
              <w:pStyle w:val="TableContents"/>
            </w:pPr>
            <w:r>
              <w:t>Critical Risk Management Procedures</w:t>
            </w:r>
          </w:p>
        </w:tc>
        <w:tc>
          <w:tcPr/>
          <w:p>
            <w:pPr>
              <w:pStyle w:val="TableContents"/>
            </w:pPr>
            <w:r>
              <w:t>Contractor HSESC Representative</w:t>
            </w:r>
          </w:p>
        </w:tc>
        <w:tc>
          <w:tcPr/>
          <w:p>
            <w:pPr>
              <w:pStyle w:val="TableContents"/>
            </w:pPr>
            <w:r>
              <w:rPr>
                <w:b/>
                <w:bCs/>
                <w:color w:val="0059D1"/>
              </w:rPr>
              <w:t>[INSERT: X weeks before mobilisation — refer RTPR-HSE-REG-0002]</w:t>
            </w:r>
          </w:p>
        </w:tc>
        <w:tc>
          <w:tcPr/>
          <w:p>
            <w:pPr>
              <w:pStyle w:val="TableContents"/>
            </w:pPr>
            <w:r>
              <w:t>HSESC Manager</w:t>
            </w:r>
          </w:p>
        </w:tc>
      </w:tr>
      <w:tr>
        <w:tc>
          <w:tcPr/>
          <w:p>
            <w:pPr>
              <w:pStyle w:val="TableContents"/>
            </w:pPr>
            <w:r>
              <w:rPr>
                <w:b/>
                <w:bCs/>
                <w:color w:val="0059D1"/>
              </w:rPr>
              <w:t>[INSERT: Additional deliverable]</w:t>
            </w:r>
          </w:p>
        </w:tc>
        <w:tc>
          <w:tcPr/>
          <w:p>
            <w:pPr>
              <w:pStyle w:val="TableContents"/>
            </w:pPr>
            <w:r>
              <w:rPr>
                <w:b/>
                <w:bCs/>
                <w:color w:val="0059D1"/>
              </w:rPr>
              <w:t>[INSERT: Responsible party]</w:t>
            </w:r>
          </w:p>
        </w:tc>
        <w:tc>
          <w:tcPr/>
          <w:p>
            <w:pPr>
              <w:pStyle w:val="TableContents"/>
            </w:pPr>
            <w:r>
              <w:rPr>
                <w:b/>
                <w:bCs/>
                <w:color w:val="0059D1"/>
              </w:rPr>
              <w:t>[INSERT: Due date]</w:t>
            </w:r>
          </w:p>
        </w:tc>
        <w:tc>
          <w:tcPr/>
          <w:p>
            <w:pPr>
              <w:pStyle w:val="TableContents"/>
            </w:pPr>
            <w:r>
              <w:rPr>
                <w:b/>
                <w:bCs/>
                <w:color w:val="0059D1"/>
              </w:rPr>
              <w:t>[INSERT: Approving authority]</w:t>
            </w:r>
          </w:p>
        </w:tc>
      </w:tr>
    </w:tbl>
    <w:p>
      <w:pPr>
        <w:pStyle w:val="Default"/>
      </w:pPr>
    </w:p>
    <w:p>
      <w:pPr>
        <w:pStyle w:val="Heading2Numbered"/>
      </w:pPr>
      <w:r>
        <w:t>6.2  Contractual HSESC Obligations</w:t>
      </w:r>
    </w:p>
    <w:p>
      <w:pPr>
        <w:pStyle w:val="NormalNumberedtext"/>
      </w:pPr>
      <w:r>
        <w:t>This section defines the HSESC obligations embedded in contractual terms for all contractor engagements.</w:t>
      </w:r>
    </w:p>
    <w:p>
      <w:pPr>
        <w:pStyle w:val="NormalNumberedtext"/>
      </w:pPr>
      <w:r>
        <w:t>HSESC obligations are embedded in contractual terms for all contractor engagements. Contract documents include the following minimum HSESC requirements:</w:t>
      </w:r>
    </w:p>
    <w:p>
      <w:pPr>
        <w:pStyle w:val="NormalNumberedtext"/>
      </w:pPr>
      <w:r>
        <w:t>The following HSESC obligations are included in all contractor contracts:</w:t>
      </w:r>
    </w:p>
    <w:p>
      <w:pPr>
        <w:pStyle w:val="NumberedBulletL1"/>
      </w:pPr>
      <w:r>
        <w:t>Compliance with the project HSESC management system for the full duration of the contract.</w:t>
      </w:r>
    </w:p>
    <w:p>
      <w:pPr>
        <w:pStyle w:val="NumberedBulletL1"/>
      </w:pPr>
      <w:r>
        <w:t>Participation in project HSESC audits and inspections when directed by the HSESC Manager.</w:t>
      </w:r>
    </w:p>
    <w:p>
      <w:pPr>
        <w:pStyle w:val="NumberedBulletL1"/>
      </w:pPr>
      <w:r>
        <w:t>Mandatory reporting of all incidents and near misses per project requirements, refer RTPR-HSE-PRO-0009.</w:t>
      </w:r>
    </w:p>
    <w:p>
      <w:pPr>
        <w:pStyle w:val="NumberedBulletL1"/>
      </w:pPr>
      <w:r>
        <w:t>Compliance with all applicable legislative, regulatory, and Rio Tinto HSESC requirements.</w:t>
      </w:r>
    </w:p>
    <w:p>
      <w:pPr>
        <w:pStyle w:val="NumberedBulletL1"/>
      </w:pPr>
      <w:r>
        <w:rPr>
          <w:color w:val="C55A11"/>
        </w:rPr>
        <w:t>Participation in project HSESC leadership activities, including critical control verification and HSESC leadership tours.</w:t>
      </w:r>
    </w:p>
    <w:p>
      <w:pPr>
        <w:pStyle w:val="NumberedBulletL1"/>
      </w:pPr>
      <w:r>
        <w:rPr>
          <w:b/>
          <w:bCs/>
          <w:color w:val="0059D1"/>
        </w:rPr>
        <w:t>[INSERT: additional_contractual_obligations]</w:t>
      </w:r>
    </w:p>
    <w:p>
      <w:pPr>
        <w:pStyle w:val="Heading2Numbered"/>
      </w:pPr>
      <w:r>
        <w:t>6.3  Emergency Response Integration</w:t>
      </w:r>
    </w:p>
    <w:p>
      <w:pPr>
        <w:pStyle w:val="NormalNumberedtext"/>
      </w:pPr>
      <w:r>
        <w:t>This section defines the requirement for contractor Emergency Response Plans to be integrated into the project ERP.</w:t>
      </w:r>
    </w:p>
    <w:p>
      <w:pPr>
        <w:pStyle w:val="NormalNumberedtext"/>
      </w:pPr>
      <w:r>
        <w:t>Contractor Emergency Response Plans are integrated into the project Emergency Response Plan before work commences so that response is seamlessly coordinated across all organisations on site. The contractor submits their ERP as a pre-mobilisation deliverable and the HSESC Manager confirms alignment before approving mobilisation.</w:t>
      </w:r>
    </w:p>
    <w:p>
      <w:pPr>
        <w:pStyle w:val="NormalNumberedtext"/>
      </w:pPr>
      <w:r>
        <w:t>Contractor ERP integration requirements and the project emergency response framework are governed by RTPR-HSE-PRO-0041. Training requirements associated with emergency response are governed by RTPR-HSE-PRO-0004.</w:t>
      </w:r>
    </w:p>
    <w:p>
      <w:pPr>
        <w:pStyle w:val="Heading1Numbered"/>
      </w:pPr>
      <w:r>
        <w:t>7  Ongoing Monitoring and Compliance</w:t>
      </w:r>
    </w:p>
    <w:p>
      <w:pPr>
        <w:pStyle w:val="NormalNumberedtext"/>
      </w:pPr>
      <w:r>
        <w:t>This section defines the project's controlling employer responsibilities, the contractor compliance monitoring process, the subcontractor monitoring requirements, and the performance rating and escalation process that applies to non-compliance.</w:t>
      </w:r>
    </w:p>
    <w:p>
      <w:pPr>
        <w:pStyle w:val="Heading2Numbered"/>
      </w:pPr>
      <w:r>
        <w:t>7.1  Controlling Employer Responsibilities</w:t>
      </w:r>
    </w:p>
    <w:p>
      <w:pPr>
        <w:pStyle w:val="NormalNumberedtext"/>
      </w:pPr>
      <w:r>
        <w:t>This section defines the project's role as the controlling employer and its obligations across the multi-employer worksite.</w:t>
      </w:r>
    </w:p>
    <w:p>
      <w:pPr>
        <w:pStyle w:val="NormalNumberedtext"/>
      </w:pPr>
      <w:r>
        <w:t>The project operates as the controlling employer and is responsible for ensuring that all contractors and subcontractors comply with HSESC requirements and that all workers on site are protected from hazards created by any employer on the site. This responsibility is not transferred to contractor organisations through contract terms.</w:t>
      </w:r>
    </w:p>
    <w:p>
      <w:pPr>
        <w:pStyle w:val="NormalNumberedtext"/>
      </w:pPr>
      <w:r>
        <w:t>Policies and procedures for managing and monitoring the performance of contracted workers in relation to the requirements of this management system are maintained and enforced by the HSESC Manager. The project establishes processes to monitor worker performance against system requirements and documents the outcomes of all monitoring activities.</w:t>
      </w:r>
    </w:p>
    <w:p>
      <w:pPr>
        <w:pStyle w:val="Heading2Numbered"/>
      </w:pPr>
      <w:r>
        <w:t>7.2  Contractor Compliance Monitoring</w:t>
      </w:r>
    </w:p>
    <w:p>
      <w:pPr>
        <w:pStyle w:val="NormalNumberedtext"/>
      </w:pPr>
      <w:r>
        <w:t>This section defines the monitoring activities used to confirm contractor HSESC compliance throughout the contract period.</w:t>
      </w:r>
    </w:p>
    <w:p>
      <w:pPr>
        <w:pStyle w:val="NormalNumberedtext"/>
      </w:pPr>
      <w:r>
        <w:t>Contractor HSESC compliance is monitored through regular performance reviews and inspections throughout the contract period. All compliance activities are documented, including selection, onboarding, and inspection records. Records are maintained in accordance with RTPR-HSE-PRO-0010.</w:t>
      </w:r>
    </w:p>
    <w:p>
      <w:pPr>
        <w:pStyle w:val="NormalNumberedtext"/>
      </w:pPr>
      <w:r>
        <w:t>Subcontractor compliance with HSESC requirements is monitored through regular performance reviews and inspections. All subcontractor HSESC compliance activities — including selection, onboarding, and inspection records — are documented by the principal contractor and made available to the project HSESC Manager on request.</w:t>
      </w:r>
    </w:p>
    <w:p>
      <w:pPr>
        <w:pStyle w:val="NormalNumberedtext"/>
      </w:pPr>
      <w:r>
        <w:t>Table 3: Contractor HSESC Compliance Monitoring Activities</w:t>
      </w:r>
    </w:p>
    <w:tbl>
      <w:tblPr>
        <w:tblStyle w:val="TableOption2"/>
        <w:tblW w:type="pct" w:w="5000"/>
      </w:tblPr>
      <w:tr>
        <w:trPr>
          <w:tblHeader/>
        </w:trPr>
        <w:tc>
          <w:tcPr>
            <w:shd w:val="clear" w:color="auto" w:fill="1F3864"/>
          </w:tcPr>
          <w:p>
            <w:pPr>
              <w:pStyle w:val="TableContents"/>
            </w:pPr>
            <w:r>
              <w:rPr>
                <w:b/>
                <w:bCs/>
                <w:color w:val="FFFFFF"/>
              </w:rPr>
              <w:t>Monitoring Activity</w:t>
            </w:r>
          </w:p>
        </w:tc>
        <w:tc>
          <w:tcPr>
            <w:shd w:val="clear" w:color="auto" w:fill="1F3864"/>
          </w:tcPr>
          <w:p>
            <w:pPr>
              <w:pStyle w:val="TableContents"/>
            </w:pPr>
            <w:r>
              <w:rPr>
                <w:b/>
                <w:bCs/>
                <w:color w:val="FFFFFF"/>
              </w:rPr>
              <w:t>Frequency</w:t>
            </w:r>
          </w:p>
        </w:tc>
        <w:tc>
          <w:tcPr>
            <w:shd w:val="clear" w:color="auto" w:fill="1F3864"/>
          </w:tcPr>
          <w:p>
            <w:pPr>
              <w:pStyle w:val="TableContents"/>
            </w:pPr>
            <w:r>
              <w:rPr>
                <w:b/>
                <w:bCs/>
                <w:color w:val="FFFFFF"/>
              </w:rPr>
              <w:t>Responsible Role</w:t>
            </w:r>
          </w:p>
        </w:tc>
        <w:tc>
          <w:tcPr>
            <w:shd w:val="clear" w:color="auto" w:fill="1F3864"/>
          </w:tcPr>
          <w:p>
            <w:pPr>
              <w:pStyle w:val="TableContents"/>
            </w:pPr>
            <w:r>
              <w:rPr>
                <w:b/>
                <w:bCs/>
                <w:color w:val="FFFFFF"/>
              </w:rPr>
              <w:t>Record Location</w:t>
            </w:r>
          </w:p>
        </w:tc>
      </w:tr>
      <w:tr>
        <w:tc>
          <w:tcPr/>
          <w:p>
            <w:pPr>
              <w:pStyle w:val="TableContents"/>
            </w:pPr>
            <w:r>
              <w:t>Contractor HSESC performance review meeting</w:t>
            </w:r>
          </w:p>
        </w:tc>
        <w:tc>
          <w:tcPr/>
          <w:p>
            <w:pPr>
              <w:pStyle w:val="TableContents"/>
            </w:pPr>
            <w:r>
              <w:t>Monthly</w:t>
            </w:r>
          </w:p>
        </w:tc>
        <w:tc>
          <w:tcPr/>
          <w:p>
            <w:pPr>
              <w:pStyle w:val="TableContents"/>
            </w:pPr>
            <w:r>
              <w:t>HSESC Manager</w:t>
            </w:r>
          </w:p>
        </w:tc>
        <w:tc>
          <w:tcPr/>
          <w:p>
            <w:pPr>
              <w:pStyle w:val="TableContents"/>
            </w:pPr>
            <w:r>
              <w:rPr>
                <w:b/>
                <w:bCs/>
                <w:color w:val="0059D1"/>
              </w:rPr>
              <w:t>[INSERT: Document management system reference]</w:t>
            </w:r>
          </w:p>
        </w:tc>
      </w:tr>
      <w:tr>
        <w:tc>
          <w:tcPr/>
          <w:p>
            <w:pPr>
              <w:pStyle w:val="TableContents"/>
            </w:pPr>
            <w:r>
              <w:t>Contractor site compliance inspection</w:t>
            </w:r>
          </w:p>
        </w:tc>
        <w:tc>
          <w:tcPr/>
          <w:p>
            <w:pPr>
              <w:pStyle w:val="TableContents"/>
            </w:pPr>
            <w:r>
              <w:t>Weekly</w:t>
            </w:r>
          </w:p>
        </w:tc>
        <w:tc>
          <w:tcPr/>
          <w:p>
            <w:pPr>
              <w:pStyle w:val="TableContents"/>
            </w:pPr>
            <w:r>
              <w:t>HSESC Advisor</w:t>
            </w:r>
          </w:p>
        </w:tc>
        <w:tc>
          <w:tcPr/>
          <w:p>
            <w:pPr>
              <w:pStyle w:val="TableContents"/>
            </w:pPr>
            <w:r>
              <w:rPr>
                <w:b/>
                <w:bCs/>
                <w:color w:val="0059D1"/>
              </w:rPr>
              <w:t>[INSERT: Document management system reference]</w:t>
            </w:r>
          </w:p>
        </w:tc>
      </w:tr>
      <w:tr>
        <w:tc>
          <w:tcPr/>
          <w:p>
            <w:pPr>
              <w:pStyle w:val="TableContents"/>
            </w:pPr>
            <w:r>
              <w:t>Contractor HSESC plan alignment review</w:t>
            </w:r>
          </w:p>
        </w:tc>
        <w:tc>
          <w:tcPr/>
          <w:p>
            <w:pPr>
              <w:pStyle w:val="TableContents"/>
            </w:pPr>
            <w:r>
              <w:t>At onboarding and at each major scope change</w:t>
            </w:r>
          </w:p>
        </w:tc>
        <w:tc>
          <w:tcPr/>
          <w:p>
            <w:pPr>
              <w:pStyle w:val="TableContents"/>
            </w:pPr>
            <w:r>
              <w:t>HSESC Manager</w:t>
            </w:r>
          </w:p>
        </w:tc>
        <w:tc>
          <w:tcPr/>
          <w:p>
            <w:pPr>
              <w:pStyle w:val="TableContents"/>
            </w:pPr>
            <w:r>
              <w:rPr>
                <w:b/>
                <w:bCs/>
                <w:color w:val="0059D1"/>
              </w:rPr>
              <w:t>[INSERT: Document management system reference]</w:t>
            </w:r>
          </w:p>
        </w:tc>
      </w:tr>
      <w:tr>
        <w:tc>
          <w:tcPr/>
          <w:p>
            <w:pPr>
              <w:pStyle w:val="TableContents"/>
            </w:pPr>
            <w:r>
              <w:t>Subcontractor compliance inspection</w:t>
            </w:r>
          </w:p>
        </w:tc>
        <w:tc>
          <w:tcPr/>
          <w:p>
            <w:pPr>
              <w:pStyle w:val="TableContents"/>
            </w:pPr>
            <w:r>
              <w:t>Monthly</w:t>
            </w:r>
          </w:p>
        </w:tc>
        <w:tc>
          <w:tcPr/>
          <w:p>
            <w:pPr>
              <w:pStyle w:val="TableContents"/>
            </w:pPr>
            <w:r>
              <w:t>HSESC Advisor</w:t>
            </w:r>
          </w:p>
        </w:tc>
        <w:tc>
          <w:tcPr/>
          <w:p>
            <w:pPr>
              <w:pStyle w:val="TableContents"/>
            </w:pPr>
            <w:r>
              <w:rPr>
                <w:b/>
                <w:bCs/>
                <w:color w:val="0059D1"/>
              </w:rPr>
              <w:t>[INSERT: Document management system reference]</w:t>
            </w:r>
          </w:p>
        </w:tc>
      </w:tr>
      <w:tr>
        <w:tc>
          <w:tcPr/>
          <w:p>
            <w:pPr>
              <w:pStyle w:val="TableContents"/>
            </w:pPr>
            <w:r>
              <w:t>Critical control verification audit</w:t>
            </w:r>
          </w:p>
        </w:tc>
        <w:tc>
          <w:tcPr/>
          <w:p>
            <w:pPr>
              <w:pStyle w:val="TableContents"/>
            </w:pPr>
            <w:r>
              <w:t>Quarterly</w:t>
            </w:r>
          </w:p>
        </w:tc>
        <w:tc>
          <w:tcPr/>
          <w:p>
            <w:pPr>
              <w:pStyle w:val="TableContents"/>
            </w:pPr>
            <w:r>
              <w:t>HSESC Manager</w:t>
            </w:r>
          </w:p>
        </w:tc>
        <w:tc>
          <w:tcPr/>
          <w:p>
            <w:pPr>
              <w:pStyle w:val="TableContents"/>
            </w:pPr>
            <w:r>
              <w:rPr>
                <w:b/>
                <w:bCs/>
                <w:color w:val="0059D1"/>
              </w:rPr>
              <w:t>[INSERT: Document management system reference]</w:t>
            </w:r>
          </w:p>
        </w:tc>
      </w:tr>
      <w:tr>
        <w:tc>
          <w:tcPr/>
          <w:p>
            <w:pPr>
              <w:pStyle w:val="TableContents"/>
            </w:pPr>
            <w:r>
              <w:rPr>
                <w:b/>
                <w:bCs/>
                <w:color w:val="0059D1"/>
              </w:rPr>
              <w:t>[INSERT: Additional monitoring activity]</w:t>
            </w:r>
          </w:p>
        </w:tc>
        <w:tc>
          <w:tcPr/>
          <w:p>
            <w:pPr>
              <w:pStyle w:val="TableContents"/>
            </w:pPr>
            <w:r>
              <w:rPr>
                <w:b/>
                <w:bCs/>
                <w:color w:val="0059D1"/>
              </w:rPr>
              <w:t>[INSERT: Frequency]</w:t>
            </w:r>
          </w:p>
        </w:tc>
        <w:tc>
          <w:tcPr/>
          <w:p>
            <w:pPr>
              <w:pStyle w:val="TableContents"/>
            </w:pPr>
            <w:r>
              <w:rPr>
                <w:b/>
                <w:bCs/>
                <w:color w:val="0059D1"/>
              </w:rPr>
              <w:t>[INSERT: Responsible role]</w:t>
            </w:r>
          </w:p>
        </w:tc>
        <w:tc>
          <w:tcPr/>
          <w:p>
            <w:pPr>
              <w:pStyle w:val="TableContents"/>
            </w:pPr>
            <w:r>
              <w:rPr>
                <w:b/>
                <w:bCs/>
                <w:color w:val="0059D1"/>
              </w:rPr>
              <w:t>[INSERT: Record location]</w:t>
            </w:r>
          </w:p>
        </w:tc>
      </w:tr>
    </w:tbl>
    <w:p>
      <w:pPr>
        <w:pStyle w:val="Default"/>
      </w:pPr>
    </w:p>
    <w:p>
      <w:pPr>
        <w:pStyle w:val="Heading2Numbered"/>
      </w:pPr>
      <w:r>
        <w:t>7.3  Contractor HSESC Performance Rating and Escalation</w:t>
      </w:r>
    </w:p>
    <w:p>
      <w:pPr>
        <w:pStyle w:val="NormalNumberedtext"/>
      </w:pPr>
      <w:r>
        <w:t>This section defines the contractor HSESC performance rating process and the escalating responses triggered by non-compliance.</w:t>
      </w:r>
    </w:p>
    <w:p>
      <w:pPr>
        <w:pStyle w:val="NormalNumberedtext"/>
      </w:pPr>
      <w:r>
        <w:t>The project defines a contractor HSESC performance rating process that triggers escalating responses to non-compliance. Escalation progresses from corrective action plans through to work suspension, with defined thresholds for each escalation level. Thresholds are documented based on the project risk profile and are set before contractor mobilisation.</w:t>
      </w:r>
    </w:p>
    <w:p>
      <w:pPr>
        <w:pStyle w:val="NormalNumberedtext"/>
      </w:pPr>
      <w:r>
        <w:t>The project-specific non-compliance escalation matrix, defining what triggers a verbal warning, a written notice, a corrective action plan, and suspension of work, is inserted below:</w:t>
      </w:r>
    </w:p>
    <w:p>
      <w:pPr>
        <w:pStyle w:val="NormalNumberedtext"/>
      </w:pPr>
      <w:r>
        <w:rPr>
          <w:b/>
          <w:bCs/>
          <w:color w:val="0059D1"/>
        </w:rPr>
        <w:t>[INSERT: non_compliance_escalation_matrix] — Define the contractor HSESC non-compliance escalation matrix: what triggers a verbal warning vs written notice vs corrective action plan vs suspension of work. The procedure requires this to be documented — insert the project-specific matrix, including defined thresholds and response timeframes.</w:t>
      </w:r>
    </w:p>
    <w:p>
      <w:pPr>
        <w:pStyle w:val="NormalNumberedtext"/>
      </w:pPr>
      <w:r>
        <w:t>Table 4: Contractor HSESC Non-Compliance Escalation Framework</w:t>
      </w:r>
    </w:p>
    <w:tbl>
      <w:tblPr>
        <w:tblStyle w:val="TableOption2"/>
        <w:tblW w:type="pct" w:w="5000"/>
      </w:tblPr>
      <w:tr>
        <w:trPr>
          <w:tblHeader/>
        </w:trPr>
        <w:tc>
          <w:tcPr>
            <w:shd w:val="clear" w:color="auto" w:fill="1F3864"/>
          </w:tcPr>
          <w:p>
            <w:pPr>
              <w:pStyle w:val="TableContents"/>
            </w:pPr>
            <w:r>
              <w:rPr>
                <w:b/>
                <w:bCs/>
                <w:color w:val="FFFFFF"/>
              </w:rPr>
              <w:t>Escalation Level</w:t>
            </w:r>
          </w:p>
        </w:tc>
        <w:tc>
          <w:tcPr>
            <w:shd w:val="clear" w:color="auto" w:fill="1F3864"/>
          </w:tcPr>
          <w:p>
            <w:pPr>
              <w:pStyle w:val="TableContents"/>
            </w:pPr>
            <w:r>
              <w:rPr>
                <w:b/>
                <w:bCs/>
                <w:color w:val="FFFFFF"/>
              </w:rPr>
              <w:t>Trigger Condition</w:t>
            </w:r>
          </w:p>
        </w:tc>
        <w:tc>
          <w:tcPr>
            <w:shd w:val="clear" w:color="auto" w:fill="1F3864"/>
          </w:tcPr>
          <w:p>
            <w:pPr>
              <w:pStyle w:val="TableContents"/>
            </w:pPr>
            <w:r>
              <w:rPr>
                <w:b/>
                <w:bCs/>
                <w:color w:val="FFFFFF"/>
              </w:rPr>
              <w:t>Required Response</w:t>
            </w:r>
          </w:p>
        </w:tc>
        <w:tc>
          <w:tcPr>
            <w:shd w:val="clear" w:color="auto" w:fill="1F3864"/>
          </w:tcPr>
          <w:p>
            <w:pPr>
              <w:pStyle w:val="TableContents"/>
            </w:pPr>
            <w:r>
              <w:rPr>
                <w:b/>
                <w:bCs/>
                <w:color w:val="FFFFFF"/>
              </w:rPr>
              <w:t>Response Timeframe</w:t>
            </w:r>
          </w:p>
        </w:tc>
        <w:tc>
          <w:tcPr>
            <w:shd w:val="clear" w:color="auto" w:fill="1F3864"/>
          </w:tcPr>
          <w:p>
            <w:pPr>
              <w:pStyle w:val="TableContents"/>
            </w:pPr>
            <w:r>
              <w:rPr>
                <w:b/>
                <w:bCs/>
                <w:color w:val="FFFFFF"/>
              </w:rPr>
              <w:t>Authorising Role</w:t>
            </w:r>
          </w:p>
        </w:tc>
      </w:tr>
      <w:tr>
        <w:tc>
          <w:tcPr/>
          <w:p>
            <w:pPr>
              <w:pStyle w:val="TableContents"/>
            </w:pPr>
            <w:r>
              <w:t>Level 1 — Verbal Notice</w:t>
            </w:r>
          </w:p>
        </w:tc>
        <w:tc>
          <w:tcPr/>
          <w:p>
            <w:pPr>
              <w:pStyle w:val="TableContents"/>
            </w:pPr>
            <w:r>
              <w:t>First or minor non-conformance with a low-risk control requirement</w:t>
            </w:r>
          </w:p>
        </w:tc>
        <w:tc>
          <w:tcPr/>
          <w:p>
            <w:pPr>
              <w:pStyle w:val="TableContents"/>
            </w:pPr>
            <w:r>
              <w:t>Verbal notice issued to contractor HSESC Representative with corrective action agreed</w:t>
            </w:r>
          </w:p>
        </w:tc>
        <w:tc>
          <w:tcPr/>
          <w:p>
            <w:pPr>
              <w:pStyle w:val="TableContents"/>
            </w:pPr>
            <w:r>
              <w:rPr>
                <w:b/>
                <w:bCs/>
                <w:color w:val="0059D1"/>
              </w:rPr>
              <w:t>[INSERT: e.g., resolved within 24 hours]</w:t>
            </w:r>
          </w:p>
        </w:tc>
        <w:tc>
          <w:tcPr/>
          <w:p>
            <w:pPr>
              <w:pStyle w:val="TableContents"/>
            </w:pPr>
            <w:r>
              <w:t>HSESC Advisor</w:t>
            </w:r>
          </w:p>
        </w:tc>
      </w:tr>
      <w:tr>
        <w:tc>
          <w:tcPr/>
          <w:p>
            <w:pPr>
              <w:pStyle w:val="TableContents"/>
            </w:pPr>
            <w:r>
              <w:t>Level 2 — Written Notice</w:t>
            </w:r>
          </w:p>
        </w:tc>
        <w:tc>
          <w:tcPr/>
          <w:p>
            <w:pPr>
              <w:pStyle w:val="TableContents"/>
            </w:pPr>
            <w:r>
              <w:t>Repeated minor non-conformance or a single non-conformance with a significant control requirement</w:t>
            </w:r>
          </w:p>
        </w:tc>
        <w:tc>
          <w:tcPr/>
          <w:p>
            <w:pPr>
              <w:pStyle w:val="TableContents"/>
            </w:pPr>
            <w:r>
              <w:t>Written notice issued and corrective action plan required</w:t>
            </w:r>
          </w:p>
        </w:tc>
        <w:tc>
          <w:tcPr/>
          <w:p>
            <w:pPr>
              <w:pStyle w:val="TableContents"/>
            </w:pPr>
            <w:r>
              <w:rPr>
                <w:b/>
                <w:bCs/>
                <w:color w:val="0059D1"/>
              </w:rPr>
              <w:t>[INSERT: e.g., corrective action plan submitted within 48 hours]</w:t>
            </w:r>
          </w:p>
        </w:tc>
        <w:tc>
          <w:tcPr/>
          <w:p>
            <w:pPr>
              <w:pStyle w:val="TableContents"/>
            </w:pPr>
            <w:r>
              <w:t>HSESC Manager</w:t>
            </w:r>
          </w:p>
        </w:tc>
      </w:tr>
      <w:tr>
        <w:tc>
          <w:tcPr/>
          <w:p>
            <w:pPr>
              <w:pStyle w:val="TableContents"/>
            </w:pPr>
            <w:r>
              <w:t>Level 3 — Corrective Action Plan</w:t>
            </w:r>
          </w:p>
        </w:tc>
        <w:tc>
          <w:tcPr/>
          <w:p>
            <w:pPr>
              <w:pStyle w:val="TableContents"/>
            </w:pPr>
            <w:r>
              <w:t>Systemic non-conformance or failure to close Level 2 actions within the required timeframe</w:t>
            </w:r>
          </w:p>
        </w:tc>
        <w:tc>
          <w:tcPr/>
          <w:p>
            <w:pPr>
              <w:pStyle w:val="TableContents"/>
            </w:pPr>
            <w:r>
              <w:t>Formal corrective action plan reviewed and approved by HSESC Manager before work continues</w:t>
            </w:r>
          </w:p>
        </w:tc>
        <w:tc>
          <w:tcPr/>
          <w:p>
            <w:pPr>
              <w:pStyle w:val="TableContents"/>
            </w:pPr>
            <w:r>
              <w:rPr>
                <w:b/>
                <w:bCs/>
                <w:color w:val="0059D1"/>
              </w:rPr>
              <w:t>[INSERT: e.g., plan submitted within 5 business days]</w:t>
            </w:r>
          </w:p>
        </w:tc>
        <w:tc>
          <w:tcPr/>
          <w:p>
            <w:pPr>
              <w:pStyle w:val="TableContents"/>
            </w:pPr>
            <w:r>
              <w:t>HSESC Manager</w:t>
            </w:r>
          </w:p>
        </w:tc>
      </w:tr>
      <w:tr>
        <w:tc>
          <w:tcPr/>
          <w:p>
            <w:pPr>
              <w:pStyle w:val="TableContents"/>
            </w:pPr>
            <w:r>
              <w:t>Level 4 — Work Suspension</w:t>
            </w:r>
          </w:p>
        </w:tc>
        <w:tc>
          <w:tcPr/>
          <w:p>
            <w:pPr>
              <w:pStyle w:val="TableContents"/>
            </w:pPr>
            <w:r>
              <w:t>Imminent risk to life, critical control failure, or failure to implement an approved corrective action plan</w:t>
            </w:r>
          </w:p>
        </w:tc>
        <w:tc>
          <w:tcPr/>
          <w:p>
            <w:pPr>
              <w:pStyle w:val="TableContents"/>
            </w:pPr>
            <w:r>
              <w:t>Work activity suspended until controls are verified as restored</w:t>
            </w:r>
          </w:p>
        </w:tc>
        <w:tc>
          <w:tcPr/>
          <w:p>
            <w:pPr>
              <w:pStyle w:val="TableContents"/>
            </w:pPr>
            <w:r>
              <w:rPr>
                <w:b/>
                <w:bCs/>
                <w:color w:val="0059D1"/>
              </w:rPr>
              <w:t>[INSERT: Immediate — work does not resume until HSESC Manager confirms controls are in place]</w:t>
            </w:r>
          </w:p>
        </w:tc>
        <w:tc>
          <w:tcPr/>
          <w:p>
            <w:pPr>
              <w:pStyle w:val="TableContents"/>
            </w:pPr>
            <w:r>
              <w:t>Project Director</w:t>
            </w:r>
          </w:p>
        </w:tc>
      </w:tr>
      <w:tr>
        <w:tc>
          <w:tcPr/>
          <w:p>
            <w:pPr>
              <w:pStyle w:val="TableContents"/>
            </w:pPr>
            <w:r>
              <w:rPr>
                <w:b/>
                <w:bCs/>
                <w:color w:val="0059D1"/>
              </w:rPr>
              <w:t>[INSERT: Additional escalation level]</w:t>
            </w:r>
          </w:p>
        </w:tc>
        <w:tc>
          <w:tcPr/>
          <w:p>
            <w:pPr>
              <w:pStyle w:val="TableContents"/>
            </w:pPr>
            <w:r>
              <w:rPr>
                <w:b/>
                <w:bCs/>
                <w:color w:val="0059D1"/>
              </w:rPr>
              <w:t>[INSERT: Trigger condition]</w:t>
            </w:r>
          </w:p>
        </w:tc>
        <w:tc>
          <w:tcPr/>
          <w:p>
            <w:pPr>
              <w:pStyle w:val="TableContents"/>
            </w:pPr>
            <w:r>
              <w:rPr>
                <w:b/>
                <w:bCs/>
                <w:color w:val="0059D1"/>
              </w:rPr>
              <w:t>[INSERT: Required response]</w:t>
            </w:r>
          </w:p>
        </w:tc>
        <w:tc>
          <w:tcPr/>
          <w:p>
            <w:pPr>
              <w:pStyle w:val="TableContents"/>
            </w:pPr>
            <w:r>
              <w:rPr>
                <w:b/>
                <w:bCs/>
                <w:color w:val="0059D1"/>
              </w:rPr>
              <w:t>[INSERT: Timeframe]</w:t>
            </w:r>
          </w:p>
        </w:tc>
        <w:tc>
          <w:tcPr/>
          <w:p>
            <w:pPr>
              <w:pStyle w:val="TableContents"/>
            </w:pPr>
            <w:r>
              <w:rPr>
                <w:b/>
                <w:bCs/>
                <w:color w:val="0059D1"/>
              </w:rPr>
              <w:t>[INSERT: Authorising role]</w:t>
            </w:r>
          </w:p>
        </w:tc>
      </w:tr>
    </w:tbl>
    <w:p>
      <w:pPr>
        <w:pStyle w:val="Default"/>
      </w:pPr>
    </w:p>
    <w:p>
      <w:pPr>
        <w:pStyle w:val="Heading1Numbered"/>
      </w:pPr>
      <w:r>
        <w:t>8  Supplier Management</w:t>
      </w:r>
    </w:p>
    <w:p>
      <w:pPr>
        <w:pStyle w:val="NormalNumberedtext"/>
      </w:pPr>
      <w:r>
        <w:t>This section defines the HSESC due diligence requirements for suppliers, the risk-based approach to identifying and managing supply chain HSESC risks, and the minimum requirements for high-risk supplier categories.</w:t>
      </w:r>
    </w:p>
    <w:p>
      <w:pPr>
        <w:pStyle w:val="Heading2Numbered"/>
      </w:pPr>
      <w:r>
        <w:t>8.1  Supplier HSESC Risk Identification</w:t>
      </w:r>
    </w:p>
    <w:p>
      <w:pPr>
        <w:pStyle w:val="NormalNumberedtext"/>
      </w:pPr>
      <w:r>
        <w:t>This section defines how HSESC risks associated with procurement of materials, equipment, services, and labour are identified and managed.</w:t>
      </w:r>
    </w:p>
    <w:p>
      <w:pPr>
        <w:pStyle w:val="NormalNumberedtext"/>
      </w:pPr>
      <w:r>
        <w:t>Suppliers of products and services are outside the Appendix C contractor framework. A separate HSESC risk management approach is applied to procurement activities to identify and manage HSESC risks associated with the procurement of materials, equipment, services, and labour.</w:t>
      </w:r>
    </w:p>
    <w:p>
      <w:pPr>
        <w:pStyle w:val="NormalNumberedtext"/>
      </w:pPr>
      <w:r>
        <w:t>Primary supply chain HSESC risks are identified and documented before procurement approval. Where significant occupational health and safety issues are associated with specific suppliers or supplier categories, processes are established to address those risks proportionate to the level of supply chain control available to the project.</w:t>
      </w:r>
    </w:p>
    <w:p>
      <w:pPr>
        <w:pStyle w:val="NormalNumberedtext"/>
      </w:pPr>
      <w:r>
        <w:t>The risk identification process for procurement activities is conducted using the methodology defined in RTPR-HSE-PRO-0002. Risk categorisation determines the level of due diligence required before procurement approval.</w:t>
      </w:r>
    </w:p>
    <w:p>
      <w:pPr>
        <w:pStyle w:val="Heading2Numbered"/>
      </w:pPr>
      <w:r>
        <w:t>8.2  Supplier HSESC Due Diligence Requirements</w:t>
      </w:r>
    </w:p>
    <w:p>
      <w:pPr>
        <w:pStyle w:val="NormalNumberedtext"/>
      </w:pPr>
      <w:r>
        <w:t>This section defines the minimum HSESC due diligence requirements for high-risk supplier categories before procurement approval.</w:t>
      </w:r>
    </w:p>
    <w:p>
      <w:pPr>
        <w:pStyle w:val="NormalNumberedtext"/>
      </w:pPr>
      <w:r>
        <w:t>Minimum HSESC due diligence requirements are defined for high-risk suppliers before procurement approval. The information to be collected, assessed, and documented for each high-risk supplier category is specified in the project supplier due diligence register.</w:t>
      </w:r>
    </w:p>
    <w:p>
      <w:pPr>
        <w:pStyle w:val="NormalNumberedtext"/>
      </w:pPr>
      <w:r>
        <w:t>The key suppliers for this project with elevated HSESC risk and the specific due diligence requirements for each category are defined below:</w:t>
      </w:r>
    </w:p>
    <w:p>
      <w:pPr>
        <w:pStyle w:val="NormalNumberedtext"/>
      </w:pPr>
      <w:r>
        <w:rPr>
          <w:b/>
          <w:bCs/>
          <w:color w:val="0059D1"/>
        </w:rPr>
        <w:t>[INSERT: high_risk_supplier_categories] — List the key suppliers for this project with elevated HSESC risk (e.g., explosives, scaffolding systems, heavy lift contractors, hazardous materials, lifting equipment) and define the specific due diligence requirements for each category — including the information to be collected, assessed, and documented before procurement approval.</w:t>
      </w:r>
    </w:p>
    <w:p>
      <w:pPr>
        <w:pStyle w:val="NormalNumberedtext"/>
      </w:pPr>
      <w:r>
        <w:t>Table 5: High-Risk Supplier HSESC Due Diligence Requirements</w:t>
      </w:r>
    </w:p>
    <w:tbl>
      <w:tblPr>
        <w:tblStyle w:val="TableOption2"/>
        <w:tblW w:type="pct" w:w="5000"/>
      </w:tblPr>
      <w:tr>
        <w:trPr>
          <w:tblHeader/>
        </w:trPr>
        <w:tc>
          <w:tcPr>
            <w:shd w:val="clear" w:color="auto" w:fill="1F3864"/>
          </w:tcPr>
          <w:p>
            <w:pPr>
              <w:pStyle w:val="TableContents"/>
            </w:pPr>
            <w:r>
              <w:rPr>
                <w:b/>
                <w:bCs/>
                <w:color w:val="FFFFFF"/>
              </w:rPr>
              <w:t>Supplier Category</w:t>
            </w:r>
          </w:p>
        </w:tc>
        <w:tc>
          <w:tcPr>
            <w:shd w:val="clear" w:color="auto" w:fill="1F3864"/>
          </w:tcPr>
          <w:p>
            <w:pPr>
              <w:pStyle w:val="TableContents"/>
            </w:pPr>
            <w:r>
              <w:rPr>
                <w:b/>
                <w:bCs/>
                <w:color w:val="FFFFFF"/>
              </w:rPr>
              <w:t>HSESC Risk Basis</w:t>
            </w:r>
          </w:p>
        </w:tc>
        <w:tc>
          <w:tcPr>
            <w:shd w:val="clear" w:color="auto" w:fill="1F3864"/>
          </w:tcPr>
          <w:p>
            <w:pPr>
              <w:pStyle w:val="TableContents"/>
            </w:pPr>
            <w:r>
              <w:rPr>
                <w:b/>
                <w:bCs/>
                <w:color w:val="FFFFFF"/>
              </w:rPr>
              <w:t>Minimum Due Diligence Information Required</w:t>
            </w:r>
          </w:p>
        </w:tc>
        <w:tc>
          <w:tcPr>
            <w:shd w:val="clear" w:color="auto" w:fill="1F3864"/>
          </w:tcPr>
          <w:p>
            <w:pPr>
              <w:pStyle w:val="TableContents"/>
            </w:pPr>
            <w:r>
              <w:rPr>
                <w:b/>
                <w:bCs/>
                <w:color w:val="FFFFFF"/>
              </w:rPr>
              <w:t>Approving Authority</w:t>
            </w:r>
          </w:p>
        </w:tc>
      </w:tr>
      <w:tr>
        <w:tc>
          <w:tcPr/>
          <w:p>
            <w:pPr>
              <w:pStyle w:val="TableContents"/>
            </w:pPr>
            <w:r>
              <w:t>{'text': 'Explosives supplier', 'suggested': True}</w:t>
            </w:r>
          </w:p>
        </w:tc>
        <w:tc>
          <w:tcPr/>
          <w:p>
            <w:pPr>
              <w:pStyle w:val="TableContents"/>
            </w:pPr>
            <w:r>
              <w:t>{'text': 'Hazardous materials handling, transport, storage, and detonation risks', 'suggested': True}</w:t>
            </w:r>
          </w:p>
        </w:tc>
        <w:tc>
          <w:tcPr/>
          <w:p>
            <w:pPr>
              <w:pStyle w:val="TableContents"/>
            </w:pPr>
            <w:r>
              <w:t>{'text': 'Regulatory licence and permit status; incident history; transport safety management; storage compliance records', 'suggested': True}</w:t>
            </w:r>
          </w:p>
        </w:tc>
        <w:tc>
          <w:tcPr/>
          <w:p>
            <w:pPr>
              <w:pStyle w:val="TableContents"/>
            </w:pPr>
            <w:r>
              <w:t>{'text': 'HSESC Manager and Package Manager', 'suggested': True}</w:t>
            </w:r>
          </w:p>
        </w:tc>
      </w:tr>
      <w:tr>
        <w:tc>
          <w:tcPr/>
          <w:p>
            <w:pPr>
              <w:pStyle w:val="TableContents"/>
            </w:pPr>
            <w:r>
              <w:t>{'text': 'Scaffolding system supplier', 'suggested': True}</w:t>
            </w:r>
          </w:p>
        </w:tc>
        <w:tc>
          <w:tcPr/>
          <w:p>
            <w:pPr>
              <w:pStyle w:val="TableContents"/>
            </w:pPr>
            <w:r>
              <w:t>{'text': 'Structural integrity risk, working at height fatality hazard', 'suggested': True}</w:t>
            </w:r>
          </w:p>
        </w:tc>
        <w:tc>
          <w:tcPr/>
          <w:p>
            <w:pPr>
              <w:pStyle w:val="TableContents"/>
            </w:pPr>
            <w:r>
              <w:t>{'text': 'Product certification and load ratings; inspection and testing records; supplier incident history', 'suggested': True}</w:t>
            </w:r>
          </w:p>
        </w:tc>
        <w:tc>
          <w:tcPr/>
          <w:p>
            <w:pPr>
              <w:pStyle w:val="TableContents"/>
            </w:pPr>
            <w:r>
              <w:t>{'text': 'HSESC Manager and Package Manager', 'suggested': True}</w:t>
            </w:r>
          </w:p>
        </w:tc>
      </w:tr>
      <w:tr>
        <w:tc>
          <w:tcPr/>
          <w:p>
            <w:pPr>
              <w:pStyle w:val="TableContents"/>
            </w:pPr>
            <w:r>
              <w:t>{'text': 'Lifting equipment supplier', 'suggested': True}</w:t>
            </w:r>
          </w:p>
        </w:tc>
        <w:tc>
          <w:tcPr/>
          <w:p>
            <w:pPr>
              <w:pStyle w:val="TableContents"/>
            </w:pPr>
            <w:r>
              <w:t>{'text': 'Dropped object and structural failure risk', 'suggested': True}</w:t>
            </w:r>
          </w:p>
        </w:tc>
        <w:tc>
          <w:tcPr/>
          <w:p>
            <w:pPr>
              <w:pStyle w:val="TableContents"/>
            </w:pPr>
            <w:r>
              <w:t>{'text': 'Equipment certification, current inspection records, load test documentation', 'suggested': True}</w:t>
            </w:r>
          </w:p>
        </w:tc>
        <w:tc>
          <w:tcPr/>
          <w:p>
            <w:pPr>
              <w:pStyle w:val="TableContents"/>
            </w:pPr>
            <w:r>
              <w:t>{'text': 'HSESC Manager and Package Manager', 'suggested': True}</w:t>
            </w:r>
          </w:p>
        </w:tc>
      </w:tr>
      <w:tr>
        <w:tc>
          <w:tcPr/>
          <w:p>
            <w:pPr>
              <w:pStyle w:val="TableContents"/>
            </w:pPr>
            <w:r>
              <w:t>{'text': 'Hazardous chemical supplier', 'suggested': True}</w:t>
            </w:r>
          </w:p>
        </w:tc>
        <w:tc>
          <w:tcPr/>
          <w:p>
            <w:pPr>
              <w:pStyle w:val="TableContents"/>
            </w:pPr>
            <w:r>
              <w:t>{'text': 'Toxic exposure, spill, and environmental contamination risk', 'suggested': True}</w:t>
            </w:r>
          </w:p>
        </w:tc>
        <w:tc>
          <w:tcPr/>
          <w:p>
            <w:pPr>
              <w:pStyle w:val="TableContents"/>
            </w:pPr>
            <w:r>
              <w:t>{'text': 'Safety Data Sheets, transport documentation, storage and handling requirements, regulatory compliance status', 'suggested': True}</w:t>
            </w:r>
          </w:p>
        </w:tc>
        <w:tc>
          <w:tcPr/>
          <w:p>
            <w:pPr>
              <w:pStyle w:val="TableContents"/>
            </w:pPr>
            <w:r>
              <w:t>{'text': 'HSESC Manager and Package Manager', 'suggested': True}</w:t>
            </w:r>
          </w:p>
        </w:tc>
      </w:tr>
      <w:tr>
        <w:tc>
          <w:tcPr/>
          <w:p>
            <w:pPr>
              <w:pStyle w:val="TableContents"/>
            </w:pPr>
            <w:r>
              <w:rPr>
                <w:b/>
                <w:bCs/>
                <w:color w:val="0059D1"/>
              </w:rPr>
              <w:t>[INSERT: Supplier category]</w:t>
            </w:r>
          </w:p>
        </w:tc>
        <w:tc>
          <w:tcPr/>
          <w:p>
            <w:pPr>
              <w:pStyle w:val="TableContents"/>
            </w:pPr>
            <w:r>
              <w:rPr>
                <w:b/>
                <w:bCs/>
                <w:color w:val="0059D1"/>
              </w:rPr>
              <w:t>[INSERT: HSESC risk basis]</w:t>
            </w:r>
          </w:p>
        </w:tc>
        <w:tc>
          <w:tcPr/>
          <w:p>
            <w:pPr>
              <w:pStyle w:val="TableContents"/>
            </w:pPr>
            <w:r>
              <w:rPr>
                <w:b/>
                <w:bCs/>
                <w:color w:val="0059D1"/>
              </w:rPr>
              <w:t>[INSERT: Due diligence information required]</w:t>
            </w:r>
          </w:p>
        </w:tc>
        <w:tc>
          <w:tcPr/>
          <w:p>
            <w:pPr>
              <w:pStyle w:val="TableContents"/>
            </w:pPr>
            <w:r>
              <w:rPr>
                <w:b/>
                <w:bCs/>
                <w:color w:val="0059D1"/>
              </w:rPr>
              <w:t>[INSERT: Approving authority]</w:t>
            </w:r>
          </w:p>
        </w:tc>
      </w:tr>
    </w:tbl>
    <w:p>
      <w:pPr>
        <w:pStyle w:val="Default"/>
      </w:pPr>
    </w:p>
    <w:p>
      <w:pPr>
        <w:pStyle w:val="Heading1Numbered"/>
      </w:pPr>
      <w:r>
        <w:t>9  Definitions and Acronyms</w:t>
      </w:r>
    </w:p>
    <w:p>
      <w:pPr>
        <w:pStyle w:val="NormalNumberedtext"/>
      </w:pPr>
      <w:r>
        <w:t>The following terms are used throughout this procedure. Where a term is also used in other project HSESC procedures, the definition below applies consistently across the system.</w:t>
      </w:r>
    </w:p>
    <w:tbl>
      <w:tblPr>
        <w:tblStyle w:val="TableOption2"/>
        <w:tblW w:type="pct" w:w="5000"/>
      </w:tblPr>
      <w:tr>
        <w:trPr>
          <w:tblHeader/>
        </w:trPr>
        <w:tc>
          <w:tcPr>
            <w:shd w:val="clear" w:color="auto" w:fill="1F3864"/>
          </w:tcPr>
          <w:p>
            <w:pPr>
              <w:pStyle w:val="TableContents"/>
            </w:pPr>
            <w:r>
              <w:rPr>
                <w:b/>
                <w:bCs/>
                <w:color w:val="FFFFFF"/>
              </w:rPr>
              <w:t>Term</w:t>
            </w:r>
          </w:p>
        </w:tc>
        <w:tc>
          <w:tcPr>
            <w:shd w:val="clear" w:color="auto" w:fill="1F3864"/>
          </w:tcPr>
          <w:p>
            <w:pPr>
              <w:pStyle w:val="TableContents"/>
            </w:pPr>
            <w:r>
              <w:rPr>
                <w:b/>
                <w:bCs/>
                <w:color w:val="FFFFFF"/>
              </w:rPr>
              <w:t>Definition</w:t>
            </w:r>
          </w:p>
        </w:tc>
      </w:tr>
      <w:tr>
        <w:tc>
          <w:tcPr/>
          <w:p>
            <w:pPr>
              <w:pStyle w:val="TableContents"/>
            </w:pPr>
            <w:r>
              <w:t>HSESC</w:t>
            </w:r>
          </w:p>
        </w:tc>
        <w:tc>
          <w:tcPr/>
          <w:p>
            <w:pPr>
              <w:pStyle w:val="TableContents"/>
            </w:pPr>
            <w:r>
              <w:t>Health, Safety, Environment, and Security &amp; Community — the integrated discipline framework governing all aspects of health, safety, environmental protection, and security and community obligations on Rio Tinto projects.</w:t>
            </w:r>
          </w:p>
        </w:tc>
      </w:tr>
      <w:tr>
        <w:tc>
          <w:tcPr/>
          <w:p>
            <w:pPr>
              <w:pStyle w:val="TableContents"/>
            </w:pPr>
            <w:r>
              <w:t>PRO</w:t>
            </w:r>
          </w:p>
        </w:tc>
        <w:tc>
          <w:tcPr/>
          <w:p>
            <w:pPr>
              <w:pStyle w:val="TableContents"/>
            </w:pPr>
            <w:r>
              <w:t>Procedure — a documented set of steps and requirements that must be followed to achieve a specific outcome within the management system.</w:t>
            </w:r>
          </w:p>
        </w:tc>
      </w:tr>
      <w:tr>
        <w:tc>
          <w:tcPr/>
          <w:p>
            <w:pPr>
              <w:pStyle w:val="TableContents"/>
            </w:pPr>
            <w:r>
              <w:t>RTPR</w:t>
            </w:r>
          </w:p>
        </w:tc>
        <w:tc>
          <w:tcPr/>
          <w:p>
            <w:pPr>
              <w:pStyle w:val="TableContents"/>
            </w:pPr>
            <w:r>
              <w:t>Rio Tinto Projects — the owner-led project delivery function within Rio Tinto responsible for the execution of major capital projects.</w:t>
            </w:r>
          </w:p>
        </w:tc>
      </w:tr>
      <w:tr>
        <w:tc>
          <w:tcPr/>
          <w:p>
            <w:pPr>
              <w:pStyle w:val="TableContents"/>
            </w:pPr>
            <w:r>
              <w:t>HSE</w:t>
            </w:r>
          </w:p>
        </w:tc>
        <w:tc>
          <w:tcPr/>
          <w:p>
            <w:pPr>
              <w:pStyle w:val="TableContents"/>
            </w:pPr>
            <w:r>
              <w:t>Health, Safety, and Environment — the combined discipline addressing workforce health, workplace safety, and environmental stewardship.</w:t>
            </w:r>
          </w:p>
        </w:tc>
      </w:tr>
      <w:tr>
        <w:tc>
          <w:tcPr/>
          <w:p>
            <w:pPr>
              <w:pStyle w:val="TableContents"/>
            </w:pPr>
            <w:r>
              <w:t>ERP</w:t>
            </w:r>
          </w:p>
        </w:tc>
        <w:tc>
          <w:tcPr/>
          <w:p>
            <w:pPr>
              <w:pStyle w:val="TableContents"/>
            </w:pPr>
            <w:r>
              <w:t>Emergency Response Plan — a documented plan that defines the procedures, roles, and resources required to respond effectively to emergency events on a project site.</w:t>
            </w:r>
          </w:p>
        </w:tc>
      </w:tr>
      <w:tr>
        <w:tc>
          <w:tcPr/>
          <w:p>
            <w:pPr>
              <w:pStyle w:val="TableContents"/>
            </w:pPr>
            <w:r>
              <w:t>RT</w:t>
            </w:r>
          </w:p>
        </w:tc>
        <w:tc>
          <w:tcPr/>
          <w:p>
            <w:pPr>
              <w:pStyle w:val="TableContents"/>
            </w:pPr>
            <w:r>
              <w:t>Rio Tinto — the global mining and materials group under whose standards, policies, and procedures all project management system documents are developed and maintained.</w:t>
            </w:r>
          </w:p>
        </w:tc>
      </w:tr>
      <w:tr>
        <w:tc>
          <w:tcPr/>
          <w:p>
            <w:pPr>
              <w:pStyle w:val="TableContents"/>
            </w:pPr>
            <w:r>
              <w:t>HSEMS</w:t>
            </w:r>
          </w:p>
        </w:tc>
        <w:tc>
          <w:tcPr/>
          <w:p>
            <w:pPr>
              <w:pStyle w:val="TableContents"/>
            </w:pPr>
            <w:r>
              <w:t>Health, Safety, and Environment Management System — the structured framework of policies, standards, procedures, and plans used to manage HSE risks and obligations across Rio Tinto projects.</w:t>
            </w:r>
          </w:p>
        </w:tc>
      </w:tr>
      <w:tr>
        <w:tc>
          <w:tcPr/>
          <w:p>
            <w:pPr>
              <w:pStyle w:val="TableContents"/>
            </w:pPr>
            <w:r>
              <w:t>KPI</w:t>
            </w:r>
          </w:p>
        </w:tc>
        <w:tc>
          <w:tcPr/>
          <w:p>
            <w:pPr>
              <w:pStyle w:val="TableContents"/>
            </w:pPr>
            <w:r>
              <w:t>Key Performance Indicator — a measurable value used to evaluate the performance of a supplier or contractor against defined HSESC and contractual requirements over time.</w:t>
            </w:r>
          </w:p>
        </w:tc>
      </w:tr>
      <w:tr>
        <w:tc>
          <w:tcPr/>
          <w:p>
            <w:pPr>
              <w:pStyle w:val="TableContents"/>
            </w:pPr>
            <w:r>
              <w:t>SWMS</w:t>
            </w:r>
          </w:p>
        </w:tc>
        <w:tc>
          <w:tcPr/>
          <w:p>
            <w:pPr>
              <w:pStyle w:val="TableContents"/>
            </w:pPr>
            <w:r>
              <w:t>Safe Work Method Statement — a document that describes a high-risk construction activity, the hazards associated with it, and the control measures to be applied, required to be submitted by contractors prior to commencing relevant work.</w:t>
            </w:r>
          </w:p>
        </w:tc>
      </w:tr>
      <w:tr>
        <w:tc>
          <w:tcPr/>
          <w:p>
            <w:pPr>
              <w:pStyle w:val="TableContents"/>
            </w:pPr>
            <w:r>
              <w:t>JSA</w:t>
            </w:r>
          </w:p>
        </w:tc>
        <w:tc>
          <w:tcPr/>
          <w:p>
            <w:pPr>
              <w:pStyle w:val="TableContents"/>
            </w:pPr>
            <w:r>
              <w:t>Job Safety Analysis — a systematic process for identifying hazards associated with specific tasks and determining appropriate control measures, typically produced by a contractor before commencing work.</w:t>
            </w:r>
          </w:p>
        </w:tc>
      </w:tr>
      <w:tr>
        <w:tc>
          <w:tcPr/>
          <w:p>
            <w:pPr>
              <w:pStyle w:val="TableContents"/>
            </w:pPr>
            <w:r>
              <w:t>HSECP</w:t>
            </w:r>
          </w:p>
        </w:tc>
        <w:tc>
          <w:tcPr/>
          <w:p>
            <w:pPr>
              <w:pStyle w:val="TableContents"/>
            </w:pPr>
            <w:r>
              <w:t>Health, Safety, and Environment Construction Plan — a contractor-specific plan that describes how the contractor will manage HSE obligations and comply with project requirements during the execution phase.</w:t>
            </w:r>
          </w:p>
        </w:tc>
      </w:tr>
      <w:tr>
        <w:tc>
          <w:tcPr/>
          <w:p>
            <w:pPr>
              <w:pStyle w:val="TableContents"/>
            </w:pPr>
            <w:r>
              <w:t>PTW</w:t>
            </w:r>
          </w:p>
        </w:tc>
        <w:tc>
          <w:tcPr/>
          <w:p>
            <w:pPr>
              <w:pStyle w:val="TableContents"/>
            </w:pPr>
            <w:r>
              <w:t>Permit to Work — a formal documented system used to control high-risk activities on site, ensuring that appropriate authorisations, controls, and communication are in place before work commences.</w:t>
            </w:r>
          </w:p>
        </w:tc>
      </w:tr>
      <w:tr>
        <w:tc>
          <w:tcPr/>
          <w:p>
            <w:pPr>
              <w:pStyle w:val="TableContents"/>
            </w:pPr>
            <w:r>
              <w:t>ICT</w:t>
            </w:r>
          </w:p>
        </w:tc>
        <w:tc>
          <w:tcPr/>
          <w:p>
            <w:pPr>
              <w:pStyle w:val="TableContents"/>
            </w:pPr>
            <w:r>
              <w:t>Information and Communications Technology — the systems, networks, and infrastructure used to manage, process, and communicate data and information across the project and supply chain.</w:t>
            </w:r>
          </w:p>
        </w:tc>
      </w:tr>
      <w:tr>
        <w:tc>
          <w:tcPr/>
          <w:p>
            <w:pPr>
              <w:pStyle w:val="TableContents"/>
            </w:pPr>
            <w:r>
              <w:t>SME</w:t>
            </w:r>
          </w:p>
        </w:tc>
        <w:tc>
          <w:tcPr/>
          <w:p>
            <w:pPr>
              <w:pStyle w:val="TableContents"/>
            </w:pPr>
            <w:r>
              <w:t>Subject Matter Expert — an individual with specialised knowledge or expertise in a specific technical or functional discipline relevant to the management of suppliers and contractors.</w:t>
            </w:r>
          </w:p>
        </w:tc>
      </w:tr>
      <w:tr>
        <w:tc>
          <w:tcPr/>
          <w:p>
            <w:pPr>
              <w:pStyle w:val="TableContents"/>
            </w:pPr>
            <w:r>
              <w:t>RFT</w:t>
            </w:r>
          </w:p>
        </w:tc>
        <w:tc>
          <w:tcPr/>
          <w:p>
            <w:pPr>
              <w:pStyle w:val="TableContents"/>
            </w:pPr>
            <w:r>
              <w:t>Request for Tender — a formal procurement document issued to potential suppliers or contractors inviting them to submit a proposal or bid for the supply of goods or services against defined project requirements.</w:t>
            </w:r>
          </w:p>
        </w:tc>
      </w:tr>
      <w:tr>
        <w:tc>
          <w:tcPr/>
          <w:p>
            <w:pPr>
              <w:pStyle w:val="TableContents"/>
            </w:pPr>
            <w:r>
              <w:t>ITT</w:t>
            </w:r>
          </w:p>
        </w:tc>
        <w:tc>
          <w:tcPr/>
          <w:p>
            <w:pPr>
              <w:pStyle w:val="TableContents"/>
            </w:pPr>
            <w:r>
              <w:t>Invitation to Tender — a formal process by which Rio Tinto Projects invites pre-qualified suppliers or contractors to submit competitive bids for scopes of work including HSESC requirements.</w:t>
            </w:r>
          </w:p>
        </w:tc>
      </w:tr>
      <w:tr>
        <w:tc>
          <w:tcPr/>
          <w:p>
            <w:pPr>
              <w:pStyle w:val="TableContents"/>
            </w:pPr>
            <w:r>
              <w:t>NCR</w:t>
            </w:r>
          </w:p>
        </w:tc>
        <w:tc>
          <w:tcPr/>
          <w:p>
            <w:pPr>
              <w:pStyle w:val="TableContents"/>
            </w:pPr>
            <w:r>
              <w:t>Non-Conformance Report — a documented record raised when a supplier or contractor fails to meet specified HSESC, quality, or contractual requirements, triggering a defined corrective action process.</w:t>
            </w:r>
          </w:p>
        </w:tc>
      </w:tr>
      <w:tr>
        <w:tc>
          <w:tcPr/>
          <w:p>
            <w:pPr>
              <w:pStyle w:val="TableContents"/>
            </w:pPr>
            <w:r>
              <w:t>CAPA</w:t>
            </w:r>
          </w:p>
        </w:tc>
        <w:tc>
          <w:tcPr/>
          <w:p>
            <w:pPr>
              <w:pStyle w:val="TableContents"/>
            </w:pPr>
            <w:r>
              <w:t>Corrective Action and Preventive Action — a structured process used to investigate the root cause of non-conformances and implement actions to correct the issue and prevent recurrence.</w:t>
            </w:r>
          </w:p>
        </w:tc>
      </w:tr>
      <w:tr>
        <w:tc>
          <w:tcPr/>
          <w:p>
            <w:pPr>
              <w:pStyle w:val="TableContents"/>
            </w:pPr>
            <w:r>
              <w:t>OHS</w:t>
            </w:r>
          </w:p>
        </w:tc>
        <w:tc>
          <w:tcPr/>
          <w:p>
            <w:pPr>
              <w:pStyle w:val="TableContents"/>
            </w:pPr>
            <w:r>
              <w:t>Occupational Health and Safety — the field of practice concerned with the safety, health, and welfare of people engaged in work, used in applicable legislative references.</w:t>
            </w:r>
          </w:p>
        </w:tc>
      </w:tr>
      <w:tr>
        <w:tc>
          <w:tcPr/>
          <w:p>
            <w:pPr>
              <w:pStyle w:val="TableContents"/>
            </w:pPr>
            <w:r>
              <w:t>WHS</w:t>
            </w:r>
          </w:p>
        </w:tc>
        <w:tc>
          <w:tcPr/>
          <w:p>
            <w:pPr>
              <w:pStyle w:val="TableContents"/>
            </w:pPr>
            <w:r>
              <w:t>Work Health and Safety — the legislative and regulatory framework governing occupational health and safety in Australian jurisdictions, applicable to project sites and supply chain obligations.</w:t>
            </w:r>
          </w:p>
        </w:tc>
      </w:tr>
      <w:tr>
        <w:tc>
          <w:tcPr/>
          <w:p>
            <w:pPr>
              <w:pStyle w:val="TableContents"/>
            </w:pPr>
            <w:r>
              <w:t>PPE</w:t>
            </w:r>
          </w:p>
        </w:tc>
        <w:tc>
          <w:tcPr/>
          <w:p>
            <w:pPr>
              <w:pStyle w:val="TableContents"/>
            </w:pPr>
            <w:r>
              <w:t>Personal Protective Equipment — equipment worn or used by workers to minimise exposure to hazards that could cause injury or illness, required to meet standards specified in project HSESC documentation.</w:t>
            </w:r>
          </w:p>
        </w:tc>
      </w:tr>
      <w:tr>
        <w:tc>
          <w:tcPr/>
          <w:p>
            <w:pPr>
              <w:pStyle w:val="TableContents"/>
            </w:pPr>
            <w:r>
              <w:t>LTI</w:t>
            </w:r>
          </w:p>
        </w:tc>
        <w:tc>
          <w:tcPr/>
          <w:p>
            <w:pPr>
              <w:pStyle w:val="TableContents"/>
            </w:pPr>
            <w:r>
              <w:t>Lost Time Injury — a work-related injury or illness that results in an employee or contractor being unable to perform their normal duties for one or more full shifts beyond the shift on which the incident occurred.</w:t>
            </w:r>
          </w:p>
        </w:tc>
      </w:tr>
      <w:tr>
        <w:tc>
          <w:tcPr/>
          <w:p>
            <w:pPr>
              <w:pStyle w:val="TableContents"/>
            </w:pPr>
            <w:r>
              <w:t>TRIFR</w:t>
            </w:r>
          </w:p>
        </w:tc>
        <w:tc>
          <w:tcPr/>
          <w:p>
            <w:pPr>
              <w:pStyle w:val="TableContents"/>
            </w:pPr>
            <w:r>
              <w:t>Total Recordable Injury Frequency Rate — a safety performance metric expressing the number of recordable injuries per million hours worked, used to benchmark contractor HSESC performance during pre-qualification and ongoing monitoring.</w:t>
            </w:r>
          </w:p>
        </w:tc>
      </w:tr>
      <w:tr>
        <w:tc>
          <w:tcPr/>
          <w:p>
            <w:pPr>
              <w:pStyle w:val="TableContents"/>
            </w:pPr>
            <w:r>
              <w:t>LTIFR</w:t>
            </w:r>
          </w:p>
        </w:tc>
        <w:tc>
          <w:tcPr/>
          <w:p>
            <w:pPr>
              <w:pStyle w:val="TableContents"/>
            </w:pPr>
            <w:r>
              <w:t>Lost Time Injury Frequency Rate — a safety performance metric expressing the number of lost time injuries per million hours worked, used as part of contractor pre-qualification and performance monitoring criteria.</w:t>
            </w:r>
          </w:p>
        </w:tc>
      </w:tr>
      <w:tr>
        <w:tc>
          <w:tcPr/>
          <w:p>
            <w:pPr>
              <w:pStyle w:val="TableContents"/>
            </w:pPr>
            <w:r>
              <w:t>S&amp;C</w:t>
            </w:r>
          </w:p>
        </w:tc>
        <w:tc>
          <w:tcPr/>
          <w:p>
            <w:pPr>
              <w:pStyle w:val="TableContents"/>
            </w:pPr>
            <w:r>
              <w:t>Security and Community — the combined discipline within the HSESC framework addressing physical security risks and community relations obligations associated with project activities and supply chain engagement.</w:t>
            </w:r>
          </w:p>
        </w:tc>
      </w:tr>
      <w:tr>
        <w:tc>
          <w:tcPr/>
          <w:p>
            <w:pPr>
              <w:pStyle w:val="TableContents"/>
            </w:pPr>
            <w:r>
              <w:t>PM</w:t>
            </w:r>
          </w:p>
        </w:tc>
        <w:tc>
          <w:tcPr/>
          <w:p>
            <w:pPr>
              <w:pStyle w:val="TableContents"/>
            </w:pPr>
            <w:r>
              <w:t>Project Manager — the individual accountable for overall project delivery within Rio Tinto Projects, including ensuring supplier and contractor management obligations under this procedure are fulfilled.</w:t>
            </w:r>
          </w:p>
        </w:tc>
      </w:tr>
      <w:tr>
        <w:tc>
          <w:tcPr/>
          <w:p>
            <w:pPr>
              <w:pStyle w:val="TableContents"/>
            </w:pPr>
            <w:r>
              <w:t>SCM</w:t>
            </w:r>
          </w:p>
        </w:tc>
        <w:tc>
          <w:tcPr/>
          <w:p>
            <w:pPr>
              <w:pStyle w:val="TableContents"/>
            </w:pPr>
            <w:r>
              <w:t>Supply Chain Manager — the designated project role responsible for leading the procurement, pre-qualification, contract management, and ongoing performance monitoring of suppliers and contractors.</w:t>
            </w:r>
          </w:p>
        </w:tc>
      </w:tr>
      <w:tr>
        <w:tc>
          <w:tcPr/>
          <w:p>
            <w:pPr>
              <w:pStyle w:val="TableContents"/>
            </w:pPr>
            <w:r>
              <w:t>HSESC Lead</w:t>
            </w:r>
          </w:p>
        </w:tc>
        <w:tc>
          <w:tcPr/>
          <w:p>
            <w:pPr>
              <w:pStyle w:val="TableContents"/>
            </w:pPr>
            <w:r>
              <w:t>Health, Safety, Environment, Security and Community Lead — the project role responsible for providing specialist advice and oversight on all HSESC matters related to contractor selection, onboarding, and compliance monitoring.</w:t>
            </w:r>
          </w:p>
        </w:tc>
      </w:tr>
      <w:tr>
        <w:tc>
          <w:tcPr/>
          <w:p>
            <w:pPr>
              <w:pStyle w:val="TableContents"/>
            </w:pPr>
            <w:r>
              <w:rPr>
                <w:b/>
                <w:bCs/>
                <w:color w:val="0059D1"/>
              </w:rPr>
              <w:t>[INSERT: add project-specific terms]</w:t>
            </w:r>
          </w:p>
        </w:tc>
        <w:tc>
          <w:tcPr/>
          <w:p>
            <w:pPr>
              <w:pStyle w:val="TableContents"/>
            </w:pPr>
            <w:r>
              <w:rPr>
                <w:b/>
                <w:bCs/>
                <w:color w:val="0059D1"/>
              </w:rPr>
              <w:t>[INSERT: definition]</w:t>
            </w:r>
          </w:p>
        </w:tc>
      </w:tr>
    </w:tbl>
    <w:p>
      <w:pPr>
        <w:pStyle w:val="Default"/>
      </w:pPr>
    </w:p>
    <w:p>
      <w:pPr>
        <w:pStyle w:val="Heading1Numbered"/>
      </w:pPr>
      <w:r>
        <w:t>10  References and Source Information</w:t>
      </w:r>
    </w:p>
    <w:p>
      <w:pPr>
        <w:pStyle w:val="NormalNumberedtext"/>
      </w:pPr>
      <w:r>
        <w:t>This section lists the internal and external documents this procedure relies on. This section remains in the procedure once published. Where a referenced document is updated, this procedure is reviewed to confirm the reference remains current.</w:t>
      </w:r>
    </w:p>
    <w:tbl>
      <w:tblPr>
        <w:tblStyle w:val="TableOption2"/>
        <w:tblW w:type="pct" w:w="5000"/>
      </w:tblPr>
      <w:tr>
        <w:trPr>
          <w:tblHeader/>
        </w:trPr>
        <w:tc>
          <w:tcPr>
            <w:shd w:val="clear" w:color="auto" w:fill="1F3864"/>
          </w:tcPr>
          <w:p>
            <w:pPr>
              <w:pStyle w:val="TableContents"/>
            </w:pPr>
            <w:r>
              <w:rPr>
                <w:b/>
                <w:bCs/>
                <w:color w:val="FFFFFF"/>
              </w:rPr>
              <w:t>Document</w:t>
            </w:r>
          </w:p>
        </w:tc>
        <w:tc>
          <w:tcPr>
            <w:shd w:val="clear" w:color="auto" w:fill="1F3864"/>
          </w:tcPr>
          <w:p>
            <w:pPr>
              <w:pStyle w:val="TableContents"/>
            </w:pPr>
            <w:r>
              <w:rPr>
                <w:b/>
                <w:bCs/>
                <w:color w:val="FFFFFF"/>
              </w:rPr>
              <w:t>Reference</w:t>
            </w:r>
          </w:p>
        </w:tc>
        <w:tc>
          <w:tcPr>
            <w:shd w:val="clear" w:color="auto" w:fill="1F3864"/>
          </w:tcPr>
          <w:p>
            <w:pPr>
              <w:pStyle w:val="TableContents"/>
            </w:pPr>
            <w:r>
              <w:rPr>
                <w:b/>
                <w:bCs/>
                <w:color w:val="FFFFFF"/>
              </w:rPr>
              <w:t>Type</w:t>
            </w:r>
          </w:p>
        </w:tc>
      </w:tr>
      <w:tr>
        <w:tc>
          <w:tcPr/>
          <w:p>
            <w:pPr>
              <w:pStyle w:val="TableContents"/>
            </w:pPr>
            <w:r>
              <w:t>Risk Management Procedure</w:t>
            </w:r>
          </w:p>
        </w:tc>
        <w:tc>
          <w:tcPr/>
          <w:p>
            <w:pPr>
              <w:pStyle w:val="TableContents"/>
            </w:pPr>
            <w:r>
              <w:t>RTPR-HSE-PRO-0002</w:t>
            </w:r>
          </w:p>
        </w:tc>
        <w:tc>
          <w:tcPr/>
          <w:p>
            <w:pPr>
              <w:pStyle w:val="TableContents"/>
            </w:pPr>
            <w:r>
              <w:t>Internal procedure</w:t>
            </w:r>
          </w:p>
        </w:tc>
      </w:tr>
      <w:tr>
        <w:tc>
          <w:tcPr/>
          <w:p>
            <w:pPr>
              <w:pStyle w:val="TableContents"/>
            </w:pPr>
            <w:r>
              <w:t>Training Procedure</w:t>
            </w:r>
          </w:p>
        </w:tc>
        <w:tc>
          <w:tcPr/>
          <w:p>
            <w:pPr>
              <w:pStyle w:val="TableContents"/>
            </w:pPr>
            <w:r>
              <w:t>RTPR-HSE-PRO-0004</w:t>
            </w:r>
          </w:p>
        </w:tc>
        <w:tc>
          <w:tcPr/>
          <w:p>
            <w:pPr>
              <w:pStyle w:val="TableContents"/>
            </w:pPr>
            <w:r>
              <w:t>Internal procedure</w:t>
            </w:r>
          </w:p>
        </w:tc>
      </w:tr>
      <w:tr>
        <w:tc>
          <w:tcPr/>
          <w:p>
            <w:pPr>
              <w:pStyle w:val="TableContents"/>
            </w:pPr>
            <w:r>
              <w:t>Incident Management Procedure</w:t>
            </w:r>
          </w:p>
        </w:tc>
        <w:tc>
          <w:tcPr/>
          <w:p>
            <w:pPr>
              <w:pStyle w:val="TableContents"/>
            </w:pPr>
            <w:r>
              <w:t>RTPR-HSE-PRO-0009</w:t>
            </w:r>
          </w:p>
        </w:tc>
        <w:tc>
          <w:tcPr/>
          <w:p>
            <w:pPr>
              <w:pStyle w:val="TableContents"/>
            </w:pPr>
            <w:r>
              <w:t>Internal procedure</w:t>
            </w:r>
          </w:p>
        </w:tc>
      </w:tr>
      <w:tr>
        <w:tc>
          <w:tcPr/>
          <w:p>
            <w:pPr>
              <w:pStyle w:val="TableContents"/>
            </w:pPr>
            <w:r>
              <w:t>Document Control Procedure</w:t>
            </w:r>
          </w:p>
        </w:tc>
        <w:tc>
          <w:tcPr/>
          <w:p>
            <w:pPr>
              <w:pStyle w:val="TableContents"/>
            </w:pPr>
            <w:r>
              <w:t>RTPR-HSE-PRO-0010</w:t>
            </w:r>
          </w:p>
        </w:tc>
        <w:tc>
          <w:tcPr/>
          <w:p>
            <w:pPr>
              <w:pStyle w:val="TableContents"/>
            </w:pPr>
            <w:r>
              <w:t>Internal procedure</w:t>
            </w:r>
          </w:p>
        </w:tc>
      </w:tr>
      <w:tr>
        <w:tc>
          <w:tcPr/>
          <w:p>
            <w:pPr>
              <w:pStyle w:val="TableContents"/>
            </w:pPr>
            <w:r>
              <w:t>Business Resilience Procedure</w:t>
            </w:r>
          </w:p>
        </w:tc>
        <w:tc>
          <w:tcPr/>
          <w:p>
            <w:pPr>
              <w:pStyle w:val="TableContents"/>
            </w:pPr>
            <w:r>
              <w:t>RTPR-HSE-PRO-0041</w:t>
            </w:r>
          </w:p>
        </w:tc>
        <w:tc>
          <w:tcPr/>
          <w:p>
            <w:pPr>
              <w:pStyle w:val="TableContents"/>
            </w:pPr>
            <w:r>
              <w:t>Internal procedure</w:t>
            </w:r>
          </w:p>
        </w:tc>
      </w:tr>
      <w:tr>
        <w:tc>
          <w:tcPr/>
          <w:p>
            <w:pPr>
              <w:pStyle w:val="TableContents"/>
            </w:pPr>
            <w:r>
              <w:t>Rio Tinto Risk Management Standard</w:t>
            </w:r>
          </w:p>
        </w:tc>
        <w:tc>
          <w:tcPr/>
          <w:p>
            <w:pPr>
              <w:pStyle w:val="TableContents"/>
            </w:pPr>
            <w:r>
              <w:t>RT Risk Management Standard</w:t>
            </w:r>
          </w:p>
        </w:tc>
        <w:tc>
          <w:tcPr/>
          <w:p>
            <w:pPr>
              <w:pStyle w:val="TableContents"/>
            </w:pPr>
            <w:r>
              <w:t>External RT</w:t>
            </w:r>
          </w:p>
        </w:tc>
      </w:tr>
      <w:tr>
        <w:tc>
          <w:tcPr/>
          <w:p>
            <w:pPr>
              <w:pStyle w:val="TableContents"/>
            </w:pPr>
            <w:r>
              <w:t>Rio Tinto Risk Management Standard — Appendix C, Section C-1</w:t>
            </w:r>
          </w:p>
        </w:tc>
        <w:tc>
          <w:tcPr/>
          <w:p>
            <w:pPr>
              <w:pStyle w:val="TableContents"/>
            </w:pPr>
            <w:r>
              <w:t>RT Risk Management Standard Appendix C C-1</w:t>
            </w:r>
          </w:p>
        </w:tc>
        <w:tc>
          <w:tcPr/>
          <w:p>
            <w:pPr>
              <w:pStyle w:val="TableContents"/>
            </w:pPr>
            <w:r>
              <w:t>External RT</w:t>
            </w:r>
          </w:p>
        </w:tc>
      </w:tr>
      <w:tr>
        <w:tc>
          <w:tcPr/>
          <w:p>
            <w:pPr>
              <w:pStyle w:val="TableContents"/>
            </w:pPr>
            <w:r>
              <w:t>Rio Tinto Health, Safety and Environment Policy</w:t>
            </w:r>
          </w:p>
        </w:tc>
        <w:tc>
          <w:tcPr/>
          <w:p>
            <w:pPr>
              <w:pStyle w:val="TableContents"/>
            </w:pPr>
            <w:r>
              <w:t>RT HSE Policy</w:t>
            </w:r>
          </w:p>
        </w:tc>
        <w:tc>
          <w:tcPr/>
          <w:p>
            <w:pPr>
              <w:pStyle w:val="TableContents"/>
            </w:pPr>
            <w:r>
              <w:t>External RT</w:t>
            </w:r>
          </w:p>
        </w:tc>
      </w:tr>
      <w:tr>
        <w:tc>
          <w:tcPr/>
          <w:p>
            <w:pPr>
              <w:pStyle w:val="TableContents"/>
            </w:pPr>
            <w:r>
              <w:t>Rio Tinto Supplier and Contractor Management Standard</w:t>
            </w:r>
          </w:p>
        </w:tc>
        <w:tc>
          <w:tcPr/>
          <w:p>
            <w:pPr>
              <w:pStyle w:val="TableContents"/>
            </w:pPr>
            <w:r>
              <w:t>RT Supplier and Contractor Management Standard</w:t>
            </w:r>
          </w:p>
        </w:tc>
        <w:tc>
          <w:tcPr/>
          <w:p>
            <w:pPr>
              <w:pStyle w:val="TableContents"/>
            </w:pPr>
            <w:r>
              <w:t>External RT</w:t>
            </w:r>
          </w:p>
        </w:tc>
      </w:tr>
      <w:tr>
        <w:tc>
          <w:tcPr/>
          <w:p>
            <w:pPr>
              <w:pStyle w:val="TableContents"/>
            </w:pPr>
            <w:r>
              <w:t>Rio Tinto Code of Business Conduct and Ethics</w:t>
            </w:r>
          </w:p>
        </w:tc>
        <w:tc>
          <w:tcPr/>
          <w:p>
            <w:pPr>
              <w:pStyle w:val="TableContents"/>
            </w:pPr>
            <w:r>
              <w:t>RT CoBC</w:t>
            </w:r>
          </w:p>
        </w:tc>
        <w:tc>
          <w:tcPr/>
          <w:p>
            <w:pPr>
              <w:pStyle w:val="TableContents"/>
            </w:pPr>
            <w:r>
              <w:t>External RT</w:t>
            </w:r>
          </w:p>
        </w:tc>
      </w:tr>
      <w:tr>
        <w:tc>
          <w:tcPr/>
          <w:p>
            <w:pPr>
              <w:pStyle w:val="TableContents"/>
            </w:pPr>
            <w:r>
              <w:t>ISO 45001 — Occupational Health and Safety Management Systems: Requirements with Guidance for Use</w:t>
            </w:r>
          </w:p>
        </w:tc>
        <w:tc>
          <w:tcPr/>
          <w:p>
            <w:pPr>
              <w:pStyle w:val="TableContents"/>
            </w:pPr>
            <w:r>
              <w:t>ISO 45001:2018</w:t>
            </w:r>
          </w:p>
        </w:tc>
        <w:tc>
          <w:tcPr/>
          <w:p>
            <w:pPr>
              <w:pStyle w:val="TableContents"/>
            </w:pPr>
            <w:r>
              <w:t>External framework</w:t>
            </w:r>
          </w:p>
        </w:tc>
      </w:tr>
      <w:tr>
        <w:tc>
          <w:tcPr/>
          <w:p>
            <w:pPr>
              <w:pStyle w:val="TableContents"/>
            </w:pPr>
            <w:r>
              <w:t>ISO 14001 — Environmental Management Systems: Requirements with Guidance for Use</w:t>
            </w:r>
          </w:p>
        </w:tc>
        <w:tc>
          <w:tcPr/>
          <w:p>
            <w:pPr>
              <w:pStyle w:val="TableContents"/>
            </w:pPr>
            <w:r>
              <w:t>ISO 14001:2015</w:t>
            </w:r>
          </w:p>
        </w:tc>
        <w:tc>
          <w:tcPr/>
          <w:p>
            <w:pPr>
              <w:pStyle w:val="TableContents"/>
            </w:pPr>
            <w:r>
              <w:t>External framework</w:t>
            </w:r>
          </w:p>
        </w:tc>
      </w:tr>
      <w:tr>
        <w:tc>
          <w:tcPr/>
          <w:p>
            <w:pPr>
              <w:pStyle w:val="TableContents"/>
            </w:pPr>
            <w:r>
              <w:t>ISO 31000 — Risk Management: Guidelines</w:t>
            </w:r>
          </w:p>
        </w:tc>
        <w:tc>
          <w:tcPr/>
          <w:p>
            <w:pPr>
              <w:pStyle w:val="TableContents"/>
            </w:pPr>
            <w:r>
              <w:t>ISO 31000:2018</w:t>
            </w:r>
          </w:p>
        </w:tc>
        <w:tc>
          <w:tcPr/>
          <w:p>
            <w:pPr>
              <w:pStyle w:val="TableContents"/>
            </w:pPr>
            <w:r>
              <w:t>External framework</w:t>
            </w:r>
          </w:p>
        </w:tc>
      </w:tr>
      <w:tr>
        <w:tc>
          <w:tcPr/>
          <w:p>
            <w:pPr>
              <w:pStyle w:val="TableContents"/>
            </w:pPr>
            <w:r>
              <w:t>Work Health and Safety Act</w:t>
            </w:r>
          </w:p>
        </w:tc>
        <w:tc>
          <w:tcPr/>
          <w:p>
            <w:pPr>
              <w:pStyle w:val="TableContents"/>
            </w:pPr>
            <w:r>
              <w:t>WHS Act (jurisdiction-applicable)</w:t>
            </w:r>
          </w:p>
        </w:tc>
        <w:tc>
          <w:tcPr/>
          <w:p>
            <w:pPr>
              <w:pStyle w:val="TableContents"/>
            </w:pPr>
            <w:r>
              <w:t>External framework</w:t>
            </w:r>
          </w:p>
        </w:tc>
      </w:tr>
      <w:tr>
        <w:tc>
          <w:tcPr/>
          <w:p>
            <w:pPr>
              <w:pStyle w:val="TableContents"/>
            </w:pPr>
            <w:r>
              <w:t>Work Health and Safety Regulations</w:t>
            </w:r>
          </w:p>
        </w:tc>
        <w:tc>
          <w:tcPr/>
          <w:p>
            <w:pPr>
              <w:pStyle w:val="TableContents"/>
            </w:pPr>
            <w:r>
              <w:t>WHS Regulations (jurisdiction-applicable)</w:t>
            </w:r>
          </w:p>
        </w:tc>
        <w:tc>
          <w:tcPr/>
          <w:p>
            <w:pPr>
              <w:pStyle w:val="TableContents"/>
            </w:pPr>
            <w:r>
              <w:t>External framework</w:t>
            </w:r>
          </w:p>
        </w:tc>
      </w:tr>
      <w:tr>
        <w:tc>
          <w:tcPr/>
          <w:p>
            <w:pPr>
              <w:pStyle w:val="TableContents"/>
            </w:pPr>
            <w:r>
              <w:rPr>
                <w:b/>
                <w:bCs/>
                <w:color w:val="0059D1"/>
              </w:rPr>
              <w:t>[INSERT: further referenced document, where applicable]</w:t>
            </w:r>
          </w:p>
        </w:tc>
        <w:tc>
          <w:tcPr/>
          <w:p>
            <w:pPr>
              <w:pStyle w:val="TableContents"/>
            </w:pPr>
            <w:r>
              <w:rPr>
                <w:b/>
                <w:bCs/>
                <w:color w:val="0059D1"/>
              </w:rPr>
              <w:t>[INSERT: reference]</w:t>
            </w:r>
          </w:p>
        </w:tc>
        <w:tc>
          <w:tcPr/>
          <w:p>
            <w:pPr>
              <w:pStyle w:val="TableContents"/>
            </w:pPr>
            <w:r>
              <w:rPr>
                <w:b/>
                <w:bCs/>
                <w:color w:val="0059D1"/>
              </w:rPr>
              <w:t>[INSERT: type]</w:t>
            </w:r>
          </w:p>
        </w:tc>
      </w:tr>
    </w:tbl>
    <w:p>
      <w:pPr>
        <w:pStyle w:val="Default"/>
      </w:pPr>
    </w:p>
    <w:p>
      <w:pPr>
        <w:pStyle w:val="Heading1Numbered"/>
      </w:pPr>
      <w:r>
        <w:t>11  Project Localisation Edits</w:t>
      </w:r>
    </w:p>
    <w:p>
      <w:pPr>
        <w:pStyle w:val="NormalNumberedtext"/>
      </w:pPr>
      <w:r>
        <w:t>This section captures the project-specific edits made to this document during preparation. This section stays in the document once published and is updated at each document revision. Record all additions, deletions, and wording changes from the original template.</w:t>
      </w:r>
    </w:p>
    <w:p>
      <w:pPr>
        <w:pStyle w:val="NormalNumberedtext"/>
      </w:pPr>
      <w:r>
        <w:t>Records of wording changes</w:t>
      </w:r>
    </w:p>
    <w:tbl>
      <w:tblPr>
        <w:tblStyle w:val="TableOption2"/>
        <w:tblW w:type="pct" w:w="5000"/>
      </w:tblPr>
      <w:tr>
        <w:trPr>
          <w:tblHeader/>
        </w:trPr>
        <w:tc>
          <w:tcPr>
            <w:shd w:val="clear" w:color="auto" w:fill="1F3864"/>
          </w:tcPr>
          <w:p>
            <w:pPr>
              <w:pStyle w:val="TableContents"/>
            </w:pPr>
            <w:r>
              <w:rPr>
                <w:b/>
                <w:bCs/>
                <w:color w:val="FFFFFF"/>
              </w:rPr>
              <w:t>Description of the Change</w:t>
            </w:r>
          </w:p>
        </w:tc>
        <w:tc>
          <w:tcPr>
            <w:shd w:val="clear" w:color="auto" w:fill="1F3864"/>
          </w:tcPr>
          <w:p>
            <w:pPr>
              <w:pStyle w:val="TableContents"/>
            </w:pPr>
            <w:r>
              <w:rPr>
                <w:b/>
                <w:bCs/>
                <w:color w:val="FFFFFF"/>
              </w:rPr>
              <w:t>Section</w:t>
            </w:r>
          </w:p>
        </w:tc>
      </w:tr>
      <w:tr>
        <w:tc>
          <w:tcPr/>
          <w:p>
            <w:pPr>
              <w:pStyle w:val="TableContents"/>
            </w:pPr>
            <w:r>
              <w:rPr>
                <w:b/>
                <w:bCs/>
                <w:color w:val="0059D1"/>
              </w:rPr>
              <w:t>[INSERT: description of change]</w:t>
            </w:r>
          </w:p>
        </w:tc>
        <w:tc>
          <w:tcPr/>
          <w:p>
            <w:pPr>
              <w:pStyle w:val="TableContents"/>
            </w:pPr>
            <w:r>
              <w:rPr>
                <w:b/>
                <w:bCs/>
                <w:color w:val="0059D1"/>
              </w:rPr>
              <w:t>[INSERT: section]</w:t>
            </w:r>
          </w:p>
        </w:tc>
      </w:tr>
      <w:tr>
        <w:tc>
          <w:tcPr/>
          <w:p>
            <w:pPr>
              <w:pStyle w:val="TableContents"/>
            </w:pPr>
            <w:r>
              <w:rPr>
                <w:b/>
                <w:bCs/>
                <w:color w:val="0059D1"/>
              </w:rPr>
              <w:t>[INSERT: description of change]</w:t>
            </w:r>
          </w:p>
        </w:tc>
        <w:tc>
          <w:tcPr/>
          <w:p>
            <w:pPr>
              <w:pStyle w:val="TableContents"/>
            </w:pPr>
            <w:r>
              <w:rPr>
                <w:b/>
                <w:bCs/>
                <w:color w:val="0059D1"/>
              </w:rPr>
              <w:t>[INSERT: section]</w:t>
            </w:r>
          </w:p>
        </w:tc>
      </w:tr>
      <w:tr>
        <w:tc>
          <w:tcPr/>
          <w:p>
            <w:pPr>
              <w:pStyle w:val="TableContents"/>
            </w:pPr>
            <w:r>
              <w:rPr>
                <w:b/>
                <w:bCs/>
                <w:color w:val="0059D1"/>
              </w:rPr>
              <w:t>[INSERT: description of change]</w:t>
            </w:r>
          </w:p>
        </w:tc>
        <w:tc>
          <w:tcPr/>
          <w:p>
            <w:pPr>
              <w:pStyle w:val="TableContents"/>
            </w:pPr>
            <w:r>
              <w:rPr>
                <w:b/>
                <w:bCs/>
                <w:color w:val="0059D1"/>
              </w:rPr>
              <w:t>[INSERT: section]</w:t>
            </w:r>
          </w:p>
        </w:tc>
      </w:tr>
    </w:tbl>
    <w:p>
      <w:pPr>
        <w:pStyle w:val="Default"/>
      </w:pPr>
    </w:p>
    <w:p>
      <w:pPr>
        <w:pStyle w:val="NormalNumberedtext"/>
      </w:pPr>
      <w:r>
        <w:t>Records of new content additions</w:t>
      </w:r>
    </w:p>
    <w:tbl>
      <w:tblPr>
        <w:tblStyle w:val="TableOption2"/>
        <w:tblW w:type="pct" w:w="5000"/>
      </w:tblPr>
      <w:tr>
        <w:trPr>
          <w:tblHeader/>
        </w:trPr>
        <w:tc>
          <w:tcPr>
            <w:shd w:val="clear" w:color="auto" w:fill="1F3864"/>
          </w:tcPr>
          <w:p>
            <w:pPr>
              <w:pStyle w:val="TableContents"/>
            </w:pPr>
            <w:r>
              <w:rPr>
                <w:b/>
                <w:bCs/>
                <w:color w:val="FFFFFF"/>
              </w:rPr>
              <w:t>Description of the Change</w:t>
            </w:r>
          </w:p>
        </w:tc>
        <w:tc>
          <w:tcPr>
            <w:shd w:val="clear" w:color="auto" w:fill="1F3864"/>
          </w:tcPr>
          <w:p>
            <w:pPr>
              <w:pStyle w:val="TableContents"/>
            </w:pPr>
            <w:r>
              <w:rPr>
                <w:b/>
                <w:bCs/>
                <w:color w:val="FFFFFF"/>
              </w:rPr>
              <w:t>Section</w:t>
            </w:r>
          </w:p>
        </w:tc>
      </w:tr>
      <w:tr>
        <w:tc>
          <w:tcPr/>
          <w:p>
            <w:pPr>
              <w:pStyle w:val="TableContents"/>
            </w:pPr>
            <w:r>
              <w:rPr>
                <w:b/>
                <w:bCs/>
                <w:color w:val="0059D1"/>
              </w:rPr>
              <w:t>[INSERT: description of change]</w:t>
            </w:r>
          </w:p>
        </w:tc>
        <w:tc>
          <w:tcPr/>
          <w:p>
            <w:pPr>
              <w:pStyle w:val="TableContents"/>
            </w:pPr>
            <w:r>
              <w:rPr>
                <w:b/>
                <w:bCs/>
                <w:color w:val="0059D1"/>
              </w:rPr>
              <w:t>[INSERT: section]</w:t>
            </w:r>
          </w:p>
        </w:tc>
      </w:tr>
      <w:tr>
        <w:tc>
          <w:tcPr/>
          <w:p>
            <w:pPr>
              <w:pStyle w:val="TableContents"/>
            </w:pPr>
            <w:r>
              <w:rPr>
                <w:b/>
                <w:bCs/>
                <w:color w:val="0059D1"/>
              </w:rPr>
              <w:t>[INSERT: description of change]</w:t>
            </w:r>
          </w:p>
        </w:tc>
        <w:tc>
          <w:tcPr/>
          <w:p>
            <w:pPr>
              <w:pStyle w:val="TableContents"/>
            </w:pPr>
            <w:r>
              <w:rPr>
                <w:b/>
                <w:bCs/>
                <w:color w:val="0059D1"/>
              </w:rPr>
              <w:t>[INSERT: section]</w:t>
            </w:r>
          </w:p>
        </w:tc>
      </w:tr>
      <w:tr>
        <w:tc>
          <w:tcPr/>
          <w:p>
            <w:pPr>
              <w:pStyle w:val="TableContents"/>
            </w:pPr>
            <w:r>
              <w:rPr>
                <w:b/>
                <w:bCs/>
                <w:color w:val="0059D1"/>
              </w:rPr>
              <w:t>[INSERT: description of change]</w:t>
            </w:r>
          </w:p>
        </w:tc>
        <w:tc>
          <w:tcPr/>
          <w:p>
            <w:pPr>
              <w:pStyle w:val="TableContents"/>
            </w:pPr>
            <w:r>
              <w:rPr>
                <w:b/>
                <w:bCs/>
                <w:color w:val="0059D1"/>
              </w:rPr>
              <w:t>[INSERT: section]</w:t>
            </w:r>
          </w:p>
        </w:tc>
      </w:tr>
    </w:tbl>
    <w:p>
      <w:pPr>
        <w:pStyle w:val="Default"/>
      </w:pPr>
    </w:p>
    <w:p>
      <w:pPr>
        <w:pStyle w:val="NormalNumberedtext"/>
      </w:pPr>
      <w:r>
        <w:t>Records of content removal</w:t>
      </w:r>
    </w:p>
    <w:tbl>
      <w:tblPr>
        <w:tblStyle w:val="TableOption2"/>
        <w:tblW w:type="pct" w:w="5000"/>
      </w:tblPr>
      <w:tr>
        <w:trPr>
          <w:tblHeader/>
        </w:trPr>
        <w:tc>
          <w:tcPr>
            <w:shd w:val="clear" w:color="auto" w:fill="1F3864"/>
          </w:tcPr>
          <w:p>
            <w:pPr>
              <w:pStyle w:val="TableContents"/>
            </w:pPr>
            <w:r>
              <w:rPr>
                <w:b/>
                <w:bCs/>
                <w:color w:val="FFFFFF"/>
              </w:rPr>
              <w:t>Description of the Change</w:t>
            </w:r>
          </w:p>
        </w:tc>
        <w:tc>
          <w:tcPr>
            <w:shd w:val="clear" w:color="auto" w:fill="1F3864"/>
          </w:tcPr>
          <w:p>
            <w:pPr>
              <w:pStyle w:val="TableContents"/>
            </w:pPr>
            <w:r>
              <w:rPr>
                <w:b/>
                <w:bCs/>
                <w:color w:val="FFFFFF"/>
              </w:rPr>
              <w:t>Section</w:t>
            </w:r>
          </w:p>
        </w:tc>
      </w:tr>
      <w:tr>
        <w:tc>
          <w:tcPr/>
          <w:p>
            <w:pPr>
              <w:pStyle w:val="TableContents"/>
            </w:pPr>
            <w:r>
              <w:rPr>
                <w:b/>
                <w:bCs/>
                <w:color w:val="0059D1"/>
              </w:rPr>
              <w:t>[INSERT: description of change]</w:t>
            </w:r>
          </w:p>
        </w:tc>
        <w:tc>
          <w:tcPr/>
          <w:p>
            <w:pPr>
              <w:pStyle w:val="TableContents"/>
            </w:pPr>
            <w:r>
              <w:rPr>
                <w:b/>
                <w:bCs/>
                <w:color w:val="0059D1"/>
              </w:rPr>
              <w:t>[INSERT: section]</w:t>
            </w:r>
          </w:p>
        </w:tc>
      </w:tr>
      <w:tr>
        <w:tc>
          <w:tcPr/>
          <w:p>
            <w:pPr>
              <w:pStyle w:val="TableContents"/>
            </w:pPr>
            <w:r>
              <w:rPr>
                <w:b/>
                <w:bCs/>
                <w:color w:val="0059D1"/>
              </w:rPr>
              <w:t>[INSERT: description of change]</w:t>
            </w:r>
          </w:p>
        </w:tc>
        <w:tc>
          <w:tcPr/>
          <w:p>
            <w:pPr>
              <w:pStyle w:val="TableContents"/>
            </w:pPr>
            <w:r>
              <w:rPr>
                <w:b/>
                <w:bCs/>
                <w:color w:val="0059D1"/>
              </w:rPr>
              <w:t>[INSERT: section]</w:t>
            </w:r>
          </w:p>
        </w:tc>
      </w:tr>
      <w:tr>
        <w:tc>
          <w:tcPr/>
          <w:p>
            <w:pPr>
              <w:pStyle w:val="TableContents"/>
            </w:pPr>
            <w:r>
              <w:rPr>
                <w:b/>
                <w:bCs/>
                <w:color w:val="0059D1"/>
              </w:rPr>
              <w:t>[INSERT: description of change]</w:t>
            </w:r>
          </w:p>
        </w:tc>
        <w:tc>
          <w:tcPr/>
          <w:p>
            <w:pPr>
              <w:pStyle w:val="TableContents"/>
            </w:pPr>
            <w:r>
              <w:rPr>
                <w:b/>
                <w:bCs/>
                <w:color w:val="0059D1"/>
              </w:rPr>
              <w:t>[INSERT: section]</w:t>
            </w:r>
          </w:p>
        </w:tc>
      </w:tr>
    </w:tbl>
    <w:p>
      <w:pPr>
        <w:pStyle w:val="Default"/>
      </w:pPr>
    </w:p>
    <w:tbl>
      <w:tblPr>
        <w:tblStyle w:val="TableOption1"/>
        <w:tblW w:type="pct" w:w="5000"/>
      </w:tblPr>
      <w:tr>
        <w:tc>
          <w:tcPr>
            <w:shd w:val="clear" w:color="auto" w:fill="FCE4D6"/>
          </w:tcPr>
          <w:p>
            <w:pPr>
              <w:pStyle w:val="Instructions"/>
            </w:pPr>
            <w:r>
              <w:rPr>
                <w:b/>
                <w:bCs/>
                <w:color w:val="C55A11"/>
              </w:rPr>
              <w:t>REMOVABLE SECTION — Source Requirements Traceability. Delete this entire section before the document is issued for approval. It must not appear in any approved version of this document. Table A records requirements addressed in this procedure. Table B records requirements not fully addressed, with written justification for each.</w:t>
            </w:r>
          </w:p>
        </w:tc>
      </w:tr>
    </w:tbl>
    <w:p>
      <w:pPr>
        <w:pStyle w:val="Default"/>
      </w:pPr>
    </w:p>
    <w:p>
      <w:pPr>
        <w:pStyle w:val="Heading1Numbered"/>
      </w:pPr>
      <w:r>
        <w:t>12  Source Requirements Traceability (DELETE BEFORE ISSUE)</w:t>
      </w:r>
    </w:p>
    <w:p>
      <w:pPr>
        <w:pStyle w:val="Heading2Numbered"/>
      </w:pPr>
      <w:r>
        <w:t>12.1  Requirements Addressed in This Procedure</w:t>
      </w:r>
    </w:p>
    <w:tbl>
      <w:tblPr>
        <w:tblStyle w:val="TableOption2"/>
        <w:tblW w:type="pct" w:w="5000"/>
      </w:tblPr>
      <w:tr>
        <w:trPr>
          <w:tblHeader/>
        </w:trPr>
        <w:tc>
          <w:tcPr>
            <w:shd w:val="clear" w:color="auto" w:fill="1F3864"/>
          </w:tcPr>
          <w:p>
            <w:pPr>
              <w:pStyle w:val="TableContents"/>
            </w:pPr>
            <w:r>
              <w:rPr>
                <w:b/>
                <w:bCs/>
                <w:color w:val="FFFFFF"/>
              </w:rPr>
              <w:t>Section</w:t>
            </w:r>
          </w:p>
        </w:tc>
        <w:tc>
          <w:tcPr>
            <w:shd w:val="clear" w:color="auto" w:fill="1F3864"/>
          </w:tcPr>
          <w:p>
            <w:pPr>
              <w:pStyle w:val="TableContents"/>
            </w:pPr>
            <w:r>
              <w:rPr>
                <w:b/>
                <w:bCs/>
                <w:color w:val="FFFFFF"/>
              </w:rPr>
              <w:t>Source</w:t>
            </w:r>
          </w:p>
        </w:tc>
        <w:tc>
          <w:tcPr>
            <w:shd w:val="clear" w:color="auto" w:fill="1F3864"/>
          </w:tcPr>
          <w:p>
            <w:pPr>
              <w:pStyle w:val="TableContents"/>
            </w:pPr>
            <w:r>
              <w:rPr>
                <w:b/>
                <w:bCs/>
                <w:color w:val="FFFFFF"/>
              </w:rPr>
              <w:t>Requirement</w:t>
            </w:r>
          </w:p>
        </w:tc>
        <w:tc>
          <w:tcPr>
            <w:shd w:val="clear" w:color="auto" w:fill="1F3864"/>
          </w:tcPr>
          <w:p>
            <w:pPr>
              <w:pStyle w:val="TableContents"/>
            </w:pPr>
            <w:r>
              <w:rPr>
                <w:b/>
                <w:bCs/>
                <w:color w:val="FFFFFF"/>
              </w:rPr>
              <w:t>Status</w:t>
            </w:r>
          </w:p>
        </w:tc>
      </w:tr>
      <w:tr>
        <w:tc>
          <w:tcPr/>
          <w:p>
            <w:pPr>
              <w:pStyle w:val="TableContents"/>
            </w:pPr>
            <w:r>
              <w:rPr>
                <w:b/>
                <w:bCs/>
                <w:color w:val="0059D1"/>
              </w:rPr>
              <w:t>[INSERT: section]</w:t>
            </w:r>
          </w:p>
        </w:tc>
        <w:tc>
          <w:tcPr/>
          <w:p>
            <w:pPr>
              <w:pStyle w:val="TableContents"/>
            </w:pPr>
            <w:r>
              <w:t>Appendix C C-1 §22.5</w:t>
            </w:r>
          </w:p>
        </w:tc>
        <w:tc>
          <w:tcPr/>
          <w:p>
            <w:pPr>
              <w:pStyle w:val="TableContents"/>
            </w:pPr>
            <w:r>
              <w:t>Requires documented HSESC evaluation of all proposed contractors before award, defines minimum evaluation criteria, and requires contractor HSESC plans to be aligned with the project management system before work commences, including integration of contractor ERPs.</w:t>
            </w:r>
          </w:p>
        </w:tc>
        <w:tc>
          <w:tcPr/>
          <w:p>
            <w:pPr>
              <w:pStyle w:val="TableContents"/>
            </w:pPr>
            <w:r>
              <w:t>Full</w:t>
            </w:r>
          </w:p>
        </w:tc>
      </w:tr>
      <w:tr>
        <w:tc>
          <w:tcPr/>
          <w:p>
            <w:pPr>
              <w:pStyle w:val="TableContents"/>
            </w:pPr>
            <w:r>
              <w:rPr>
                <w:b/>
                <w:bCs/>
                <w:color w:val="0059D1"/>
              </w:rPr>
              <w:t>[INSERT: section]</w:t>
            </w:r>
          </w:p>
        </w:tc>
        <w:tc>
          <w:tcPr/>
          <w:p>
            <w:pPr>
              <w:pStyle w:val="TableContents"/>
            </w:pPr>
            <w:r>
              <w:t>Appendix C C-1 §22.6</w:t>
            </w:r>
          </w:p>
        </w:tc>
        <w:tc>
          <w:tcPr/>
          <w:p>
            <w:pPr>
              <w:pStyle w:val="TableContents"/>
            </w:pPr>
            <w:r>
              <w:t>Requires a dedicated HSESC risk management approach for procurement of materials, equipment, services, and labour, as suppliers are outside the Appendix C framework.</w:t>
            </w:r>
          </w:p>
        </w:tc>
        <w:tc>
          <w:tcPr/>
          <w:p>
            <w:pPr>
              <w:pStyle w:val="TableContents"/>
            </w:pPr>
            <w:r>
              <w:t>Full</w:t>
            </w:r>
          </w:p>
        </w:tc>
      </w:tr>
      <w:tr>
        <w:tc>
          <w:tcPr/>
          <w:p>
            <w:pPr>
              <w:pStyle w:val="TableContents"/>
            </w:pPr>
            <w:r>
              <w:rPr>
                <w:b/>
                <w:bCs/>
                <w:color w:val="0059D1"/>
              </w:rPr>
              <w:t>[INSERT: section]</w:t>
            </w:r>
          </w:p>
        </w:tc>
        <w:tc>
          <w:tcPr/>
          <w:p>
            <w:pPr>
              <w:pStyle w:val="TableContents"/>
            </w:pPr>
            <w:r>
              <w:t>Appendix C C-1 §22.6.1</w:t>
            </w:r>
          </w:p>
        </w:tc>
        <w:tc>
          <w:tcPr/>
          <w:p>
            <w:pPr>
              <w:pStyle w:val="TableContents"/>
            </w:pPr>
            <w:r>
              <w:t>Confirms that suppliers are excluded from the Appendix C framework and requires a separate HSESC risk management approach for all procurement activities.</w:t>
            </w:r>
          </w:p>
        </w:tc>
        <w:tc>
          <w:tcPr/>
          <w:p>
            <w:pPr>
              <w:pStyle w:val="TableContents"/>
            </w:pPr>
            <w:r>
              <w:t>Full</w:t>
            </w:r>
          </w:p>
        </w:tc>
      </w:tr>
      <w:tr>
        <w:tc>
          <w:tcPr/>
          <w:p>
            <w:pPr>
              <w:pStyle w:val="TableContents"/>
            </w:pPr>
            <w:r>
              <w:rPr>
                <w:b/>
                <w:bCs/>
                <w:color w:val="0059D1"/>
              </w:rPr>
              <w:t>[INSERT: section]</w:t>
            </w:r>
          </w:p>
        </w:tc>
        <w:tc>
          <w:tcPr/>
          <w:p>
            <w:pPr>
              <w:pStyle w:val="TableContents"/>
            </w:pPr>
            <w:r>
              <w:t>Appendix C C-1 §22.3.1</w:t>
            </w:r>
          </w:p>
        </w:tc>
        <w:tc>
          <w:tcPr/>
          <w:p>
            <w:pPr>
              <w:pStyle w:val="TableContents"/>
            </w:pPr>
            <w:r>
              <w:t>Requires preparation and implementation of an HSESC Execution Readiness Plan for all locations where work is performed, agreed with the Company before work commences.</w:t>
            </w:r>
          </w:p>
        </w:tc>
        <w:tc>
          <w:tcPr/>
          <w:p>
            <w:pPr>
              <w:pStyle w:val="TableContents"/>
            </w:pPr>
            <w:r>
              <w:t>Full</w:t>
            </w:r>
          </w:p>
        </w:tc>
      </w:tr>
      <w:tr>
        <w:tc>
          <w:tcPr/>
          <w:p>
            <w:pPr>
              <w:pStyle w:val="TableContents"/>
            </w:pPr>
            <w:r>
              <w:rPr>
                <w:b/>
                <w:bCs/>
                <w:color w:val="0059D1"/>
              </w:rPr>
              <w:t>[INSERT: section]</w:t>
            </w:r>
          </w:p>
        </w:tc>
        <w:tc>
          <w:tcPr/>
          <w:p>
            <w:pPr>
              <w:pStyle w:val="TableContents"/>
            </w:pPr>
            <w:r>
              <w:t>Appendix C C-1 §34</w:t>
            </w:r>
          </w:p>
        </w:tc>
        <w:tc>
          <w:tcPr/>
          <w:p>
            <w:pPr>
              <w:pStyle w:val="TableContents"/>
            </w:pPr>
            <w:r>
              <w:t>Requires monitoring of contractor HSESC compliance through regular performance reviews and inspections, with all compliance activities documented.</w:t>
            </w:r>
          </w:p>
        </w:tc>
        <w:tc>
          <w:tcPr/>
          <w:p>
            <w:pPr>
              <w:pStyle w:val="TableContents"/>
            </w:pPr>
            <w:r>
              <w:t>Full</w:t>
            </w:r>
          </w:p>
        </w:tc>
      </w:tr>
      <w:tr>
        <w:tc>
          <w:tcPr/>
          <w:p>
            <w:pPr>
              <w:pStyle w:val="TableContents"/>
            </w:pPr>
            <w:r>
              <w:rPr>
                <w:b/>
                <w:bCs/>
                <w:color w:val="0059D1"/>
              </w:rPr>
              <w:t>[INSERT: section]</w:t>
            </w:r>
          </w:p>
        </w:tc>
        <w:tc>
          <w:tcPr/>
          <w:p>
            <w:pPr>
              <w:pStyle w:val="TableContents"/>
            </w:pPr>
            <w:r>
              <w:t>Appendix C C-1 §34.1</w:t>
            </w:r>
          </w:p>
        </w:tc>
        <w:tc>
          <w:tcPr/>
          <w:p>
            <w:pPr>
              <w:pStyle w:val="TableContents"/>
            </w:pPr>
            <w:r>
              <w:t>Requires that all Appendix C requirements are communicated to subcontractors during onboarding and that subcontractor HSESC plans are aligned with the project HSESCMP before work commences.</w:t>
            </w:r>
          </w:p>
        </w:tc>
        <w:tc>
          <w:tcPr/>
          <w:p>
            <w:pPr>
              <w:pStyle w:val="TableContents"/>
            </w:pPr>
            <w:r>
              <w:t>Full</w:t>
            </w:r>
          </w:p>
        </w:tc>
      </w:tr>
      <w:tr>
        <w:tc>
          <w:tcPr/>
          <w:p>
            <w:pPr>
              <w:pStyle w:val="TableContents"/>
            </w:pPr>
            <w:r>
              <w:rPr>
                <w:b/>
                <w:bCs/>
                <w:color w:val="0059D1"/>
              </w:rPr>
              <w:t>[INSERT: section]</w:t>
            </w:r>
          </w:p>
        </w:tc>
        <w:tc>
          <w:tcPr/>
          <w:p>
            <w:pPr>
              <w:pStyle w:val="TableContents"/>
            </w:pPr>
            <w:r>
              <w:t>Appendix C C-1 §34.3</w:t>
            </w:r>
          </w:p>
        </w:tc>
        <w:tc>
          <w:tcPr/>
          <w:p>
            <w:pPr>
              <w:pStyle w:val="TableContents"/>
            </w:pPr>
            <w:r>
              <w:t>Requires monitoring of subcontractor compliance with HSESC requirements through regular performance reviews and inspections, with all compliance activities documented.</w:t>
            </w:r>
          </w:p>
        </w:tc>
        <w:tc>
          <w:tcPr/>
          <w:p>
            <w:pPr>
              <w:pStyle w:val="TableContents"/>
            </w:pPr>
            <w:r>
              <w:t>Full</w:t>
            </w:r>
          </w:p>
        </w:tc>
      </w:tr>
      <w:tr>
        <w:tc>
          <w:tcPr/>
          <w:p>
            <w:pPr>
              <w:pStyle w:val="TableContents"/>
            </w:pPr>
            <w:r>
              <w:rPr>
                <w:b/>
                <w:bCs/>
                <w:color w:val="0059D1"/>
              </w:rPr>
              <w:t>[INSERT: section]</w:t>
            </w:r>
          </w:p>
        </w:tc>
        <w:tc>
          <w:tcPr/>
          <w:p>
            <w:pPr>
              <w:pStyle w:val="TableContents"/>
            </w:pPr>
            <w:r>
              <w:t>IFC PS1 §21 and Guidance Note §GN36</w:t>
            </w:r>
          </w:p>
        </w:tc>
        <w:tc>
          <w:tcPr/>
          <w:p>
            <w:pPr>
              <w:pStyle w:val="TableContents"/>
            </w:pPr>
            <w:r>
              <w:t>Requires that HSESC obligations communicated to contractors are proportionate to the risks of their scope of work, with high-risk scopes requiring more extensive obligations.</w:t>
            </w:r>
          </w:p>
        </w:tc>
        <w:tc>
          <w:tcPr/>
          <w:p>
            <w:pPr>
              <w:pStyle w:val="TableContents"/>
            </w:pPr>
            <w:r>
              <w:t>Full</w:t>
            </w:r>
          </w:p>
        </w:tc>
      </w:tr>
      <w:tr>
        <w:tc>
          <w:tcPr/>
          <w:p>
            <w:pPr>
              <w:pStyle w:val="TableContents"/>
            </w:pPr>
            <w:r>
              <w:rPr>
                <w:b/>
                <w:bCs/>
                <w:color w:val="0059D1"/>
              </w:rPr>
              <w:t>[INSERT: section]</w:t>
            </w:r>
          </w:p>
        </w:tc>
        <w:tc>
          <w:tcPr/>
          <w:p>
            <w:pPr>
              <w:pStyle w:val="TableContents"/>
            </w:pPr>
            <w:r>
              <w:t>IFC PS1 Guidance Note §GN33</w:t>
            </w:r>
          </w:p>
        </w:tc>
        <w:tc>
          <w:tcPr/>
          <w:p>
            <w:pPr>
              <w:pStyle w:val="TableContents"/>
            </w:pPr>
            <w:r>
              <w:t>Requires HSESC obligations to be embedded in contractual terms, including compliance with the project management system, participation in audits, and mandatory incident reporting.</w:t>
            </w:r>
          </w:p>
        </w:tc>
        <w:tc>
          <w:tcPr/>
          <w:p>
            <w:pPr>
              <w:pStyle w:val="TableContents"/>
            </w:pPr>
            <w:r>
              <w:t>Full</w:t>
            </w:r>
          </w:p>
        </w:tc>
      </w:tr>
      <w:tr>
        <w:tc>
          <w:tcPr/>
          <w:p>
            <w:pPr>
              <w:pStyle w:val="TableContents"/>
            </w:pPr>
            <w:r>
              <w:rPr>
                <w:b/>
                <w:bCs/>
                <w:color w:val="0059D1"/>
              </w:rPr>
              <w:t>[INSERT: section]</w:t>
            </w:r>
          </w:p>
        </w:tc>
        <w:tc>
          <w:tcPr/>
          <w:p>
            <w:pPr>
              <w:pStyle w:val="TableContents"/>
            </w:pPr>
            <w:r>
              <w:t>IFC PS2 §25</w:t>
            </w:r>
          </w:p>
        </w:tc>
        <w:tc>
          <w:tcPr/>
          <w:p>
            <w:pPr>
              <w:pStyle w:val="TableContents"/>
            </w:pPr>
            <w:r>
              <w:t>Requires policies and procedures for managing and monitoring the performance of contracted workers in relation to the project management system requirements.</w:t>
            </w:r>
          </w:p>
        </w:tc>
        <w:tc>
          <w:tcPr/>
          <w:p>
            <w:pPr>
              <w:pStyle w:val="TableContents"/>
            </w:pPr>
            <w:r>
              <w:t>Full</w:t>
            </w:r>
          </w:p>
        </w:tc>
      </w:tr>
      <w:tr>
        <w:tc>
          <w:tcPr/>
          <w:p>
            <w:pPr>
              <w:pStyle w:val="TableContents"/>
            </w:pPr>
            <w:r>
              <w:rPr>
                <w:b/>
                <w:bCs/>
                <w:color w:val="0059D1"/>
              </w:rPr>
              <w:t>[INSERT: section]</w:t>
            </w:r>
          </w:p>
        </w:tc>
        <w:tc>
          <w:tcPr/>
          <w:p>
            <w:pPr>
              <w:pStyle w:val="TableContents"/>
            </w:pPr>
            <w:r>
              <w:t>IFC PS2 §27–30</w:t>
            </w:r>
          </w:p>
        </w:tc>
        <w:tc>
          <w:tcPr/>
          <w:p>
            <w:pPr>
              <w:pStyle w:val="TableContents"/>
            </w:pPr>
            <w:r>
              <w:t>Requires identification of primary supply chain risks and, where significant OHS issues exist with suppliers, processes to address those risks proportionate to the level of supply chain control.</w:t>
            </w:r>
          </w:p>
        </w:tc>
        <w:tc>
          <w:tcPr/>
          <w:p>
            <w:pPr>
              <w:pStyle w:val="TableContents"/>
            </w:pPr>
            <w:r>
              <w:t>Full</w:t>
            </w:r>
          </w:p>
        </w:tc>
      </w:tr>
      <w:tr>
        <w:tc>
          <w:tcPr/>
          <w:p>
            <w:pPr>
              <w:pStyle w:val="TableContents"/>
            </w:pPr>
            <w:r>
              <w:rPr>
                <w:b/>
                <w:bCs/>
                <w:color w:val="0059D1"/>
              </w:rPr>
              <w:t>[INSERT: section]</w:t>
            </w:r>
          </w:p>
        </w:tc>
        <w:tc>
          <w:tcPr/>
          <w:p>
            <w:pPr>
              <w:pStyle w:val="TableContents"/>
            </w:pPr>
            <w:r>
              <w:t>TSM Safe, Healthy and Respectful Workplaces Protocol, Indicator SH1</w:t>
            </w:r>
          </w:p>
        </w:tc>
        <w:tc>
          <w:tcPr/>
          <w:p>
            <w:pPr>
              <w:pStyle w:val="TableContents"/>
            </w:pPr>
            <w:r>
              <w:t>Requires that accountability for the safety and health performance of contracted workers is retained at the project owner level.</w:t>
            </w:r>
          </w:p>
        </w:tc>
        <w:tc>
          <w:tcPr/>
          <w:p>
            <w:pPr>
              <w:pStyle w:val="TableContents"/>
            </w:pPr>
            <w:r>
              <w:t>Full</w:t>
            </w:r>
          </w:p>
        </w:tc>
      </w:tr>
      <w:tr>
        <w:tc>
          <w:tcPr/>
          <w:p>
            <w:pPr>
              <w:pStyle w:val="TableContents"/>
            </w:pPr>
            <w:r>
              <w:rPr>
                <w:b/>
                <w:bCs/>
                <w:color w:val="0059D1"/>
              </w:rPr>
              <w:t>[INSERT: section]</w:t>
            </w:r>
          </w:p>
        </w:tc>
        <w:tc>
          <w:tcPr/>
          <w:p>
            <w:pPr>
              <w:pStyle w:val="TableContents"/>
            </w:pPr>
            <w:r>
              <w:t>OSHA RP 2016 – Multiemployer Worksites</w:t>
            </w:r>
          </w:p>
        </w:tc>
        <w:tc>
          <w:tcPr/>
          <w:p>
            <w:pPr>
              <w:pStyle w:val="TableContents"/>
            </w:pPr>
            <w:r>
              <w:t>Defines the project's role as the controlling employer, responsible for ensuring all contractors comply with HSESC requirements and that contractor workers are protected from hazards created by any employer on site.</w:t>
            </w:r>
          </w:p>
        </w:tc>
        <w:tc>
          <w:tcPr/>
          <w:p>
            <w:pPr>
              <w:pStyle w:val="TableContents"/>
            </w:pPr>
            <w:r>
              <w:t>Full</w:t>
            </w:r>
          </w:p>
        </w:tc>
      </w:tr>
    </w:tbl>
    <w:p>
      <w:pPr>
        <w:pStyle w:val="Default"/>
      </w:pPr>
    </w:p>
    <w:p>
      <w:pPr>
        <w:pStyle w:val="Heading2Numbered"/>
      </w:pPr>
      <w:r>
        <w:t>12.2  Requirements Not Fully Addressed in This Procedure</w:t>
      </w:r>
    </w:p>
    <w:p>
      <w:pPr>
        <w:pStyle w:val="NormalNumberedtext"/>
      </w:pPr>
      <w:r>
        <w:t>List any requirements from the external sources above that are not fully addressed in this document, with a specific written justification for each. Acceptable justifications: (a) the requirement is owned by a named standalone procedure cross-referenced here; (b) excluded by a specific business decision endorsed by project leadership, named here; or (c) addressed through an operational control outside this document, identified here.</w:t>
      </w:r>
    </w:p>
    <w:tbl>
      <w:tblPr>
        <w:tblStyle w:val="TableOption2"/>
        <w:tblW w:type="pct" w:w="5000"/>
      </w:tblPr>
      <w:tr>
        <w:trPr>
          <w:tblHeader/>
        </w:trPr>
        <w:tc>
          <w:tcPr>
            <w:shd w:val="clear" w:color="auto" w:fill="1F3864"/>
          </w:tcPr>
          <w:p>
            <w:pPr>
              <w:pStyle w:val="TableContents"/>
            </w:pPr>
            <w:r>
              <w:rPr>
                <w:b/>
                <w:bCs/>
                <w:color w:val="FFFFFF"/>
              </w:rPr>
              <w:t>Requirement Not Covered</w:t>
            </w:r>
          </w:p>
        </w:tc>
        <w:tc>
          <w:tcPr>
            <w:shd w:val="clear" w:color="auto" w:fill="1F3864"/>
          </w:tcPr>
          <w:p>
            <w:pPr>
              <w:pStyle w:val="TableContents"/>
            </w:pPr>
            <w:r>
              <w:rPr>
                <w:b/>
                <w:bCs/>
                <w:color w:val="FFFFFF"/>
              </w:rPr>
              <w:t>Source</w:t>
            </w:r>
          </w:p>
        </w:tc>
        <w:tc>
          <w:tcPr>
            <w:shd w:val="clear" w:color="auto" w:fill="1F3864"/>
          </w:tcPr>
          <w:p>
            <w:pPr>
              <w:pStyle w:val="TableContents"/>
            </w:pPr>
            <w:r>
              <w:rPr>
                <w:b/>
                <w:bCs/>
                <w:color w:val="FFFFFF"/>
              </w:rPr>
              <w:t>Justification</w:t>
            </w:r>
          </w:p>
        </w:tc>
      </w:tr>
      <w:tr>
        <w:tc>
          <w:tcPr/>
          <w:p>
            <w:pPr>
              <w:pStyle w:val="TableContents"/>
            </w:pPr>
            <w:r>
              <w:rPr>
                <w:b/>
                <w:bCs/>
                <w:color w:val="0059D1"/>
              </w:rPr>
              <w:t>[INSERT: description of requirement not covered]</w:t>
            </w:r>
          </w:p>
        </w:tc>
        <w:tc>
          <w:tcPr/>
          <w:p>
            <w:pPr>
              <w:pStyle w:val="TableContents"/>
            </w:pPr>
            <w:r>
              <w:rPr>
                <w:b/>
                <w:bCs/>
                <w:color w:val="0059D1"/>
              </w:rPr>
              <w:t>[INSERT: source and clause]</w:t>
            </w:r>
          </w:p>
        </w:tc>
        <w:tc>
          <w:tcPr/>
          <w:p>
            <w:pPr>
              <w:pStyle w:val="TableContents"/>
            </w:pPr>
            <w:r>
              <w:rPr>
                <w:b/>
                <w:bCs/>
                <w:color w:val="0059D1"/>
              </w:rPr>
              <w:t>[INSERT: specific written justification]</w:t>
            </w:r>
          </w:p>
        </w:tc>
      </w:tr>
    </w:tbl>
    <w:p>
      <w:pPr>
        <w:pStyle w:val="Default"/>
      </w:pPr>
    </w:p>
    <w:sectPr w:rsidR="00057588" w:rsidRPr="007D471E">
      <w:headerReference w:type="default" r:id="rId11"/>
      <w:footerReference w:type="default" r:id="rId12"/>
      <w:headerReference w:type="first" r:id="rId13"/>
      <w:footerReference w:type="first" r:id="rId14"/>
      <w:pgSz w:w="11906" w:h="16838"/>
      <w:pgMar w:top="1134" w:right="1134" w:bottom="1134" w:left="1134" w:header="567" w:footer="567" w:gutter="0"/>
      <w:cols w:space="720"/>
      <w:formProt w:val="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33B1923" w14:textId="77777777" w:rsidR="001D41C2" w:rsidRDefault="001D41C2">
      <w:r>
        <w:separator/>
      </w:r>
    </w:p>
  </w:endnote>
  <w:endnote w:type="continuationSeparator" w:id="0">
    <w:p w14:paraId="7FE46BFD" w14:textId="77777777" w:rsidR="001D41C2" w:rsidRDefault="001D41C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Times New Roman (Body CS)">
    <w:altName w:val="Times New Roman"/>
    <w:charset w:val="00"/>
    <w:family w:val="roman"/>
    <w:pitch w:val="variable"/>
    <w:sig w:usb0="E0002AFF" w:usb1="C0007841" w:usb2="00000009" w:usb3="00000000" w:csb0="000001FF" w:csb1="00000000"/>
  </w:font>
  <w:font w:name="Arial Bold">
    <w:altName w:val="Arial"/>
    <w:panose1 w:val="020B0704020202020204"/>
    <w:charset w:val="01"/>
    <w:family w:val="roman"/>
    <w:pitch w:val="variable"/>
  </w:font>
  <w:font w:name="Liberation Sans">
    <w:altName w:val="Arial"/>
    <w:charset w:val="01"/>
    <w:family w:val="swiss"/>
    <w:pitch w:val="variable"/>
  </w:font>
  <w:font w:name="Noto Sans CJK SC">
    <w:panose1 w:val="00000000000000000000"/>
    <w:charset w:val="00"/>
    <w:family w:val="roman"/>
    <w:notTrueType/>
    <w:pitch w:val="default"/>
  </w:font>
  <w:font w:name="FreeSans">
    <w:panose1 w:val="00000000000000000000"/>
    <w:charset w:val="00"/>
    <w:family w:val="roman"/>
    <w:notTrueType/>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FA22C22" w14:textId="77777777" w:rsidR="00FC1013" w:rsidRDefault="004C465B">
    <w:pPr>
      <w:pBdr>
        <w:top w:val="single" w:sz="4" w:space="6" w:color="000000"/>
      </w:pBdr>
      <w:tabs>
        <w:tab w:val="center" w:pos="4513"/>
        <w:tab w:val="right" w:pos="9072"/>
        <w:tab w:val="right" w:pos="9450"/>
      </w:tabs>
      <w:jc w:val="center"/>
      <w:rPr>
        <w:rFonts w:ascii="Arial" w:eastAsia="Times New Roman" w:hAnsi="Arial" w:cs="Arial"/>
        <w:color w:val="333333"/>
        <w:sz w:val="14"/>
        <w:szCs w:val="14"/>
        <w:lang w:val="en-AU"/>
      </w:rPr>
    </w:pPr>
    <w:r>
      <w:rPr>
        <w:rFonts w:eastAsia="Times New Roman" w:cs="Arial"/>
        <w:color w:val="333333"/>
        <w:sz w:val="14"/>
        <w:szCs w:val="14"/>
        <w:lang w:val="en-AU"/>
      </w:rPr>
      <w:t>© 2024 RIO TINTO GROUP</w:t>
    </w:r>
  </w:p>
  <w:p w14:paraId="5B83BBFD" w14:textId="77777777" w:rsidR="00FC1013" w:rsidRDefault="004C465B">
    <w:pPr>
      <w:pBdr>
        <w:top w:val="single" w:sz="4" w:space="6" w:color="000000"/>
      </w:pBdr>
      <w:tabs>
        <w:tab w:val="center" w:pos="4513"/>
        <w:tab w:val="right" w:pos="9072"/>
        <w:tab w:val="right" w:pos="9450"/>
      </w:tabs>
      <w:rPr>
        <w:rFonts w:ascii="Arial" w:eastAsia="Times New Roman" w:hAnsi="Arial" w:cs="Arial"/>
        <w:color w:val="333333"/>
        <w:sz w:val="14"/>
        <w:szCs w:val="14"/>
        <w:lang w:val="en-AU"/>
      </w:rPr>
    </w:pPr>
    <w:r>
      <w:rPr>
        <w:rFonts w:eastAsia="Times New Roman" w:cs="Arial"/>
        <w:color w:val="333333"/>
        <w:sz w:val="14"/>
        <w:szCs w:val="14"/>
        <w:lang w:val="en-AU"/>
      </w:rPr>
      <w:t>This document is the copyright property of Rio Tinto Group and contains information that is confidential to companies within the Rio Tinto Group. Any request to copy or circulate this document outside of the Rio Tinto Group will require the prior written approval of the Group Executive of Development &amp; Technology.</w:t>
    </w:r>
  </w:p>
  <w:p w14:paraId="67CFB61E" w14:textId="77777777" w:rsidR="00FC1013" w:rsidRDefault="004C465B">
    <w:pPr>
      <w:pStyle w:val="DataClassification"/>
    </w:pPr>
    <w:r>
      <w:rPr>
        <w:noProof/>
      </w:rPr>
      <mc:AlternateContent>
        <mc:Choice Requires="wps">
          <w:drawing>
            <wp:anchor distT="0" distB="0" distL="0" distR="0" simplePos="0" relativeHeight="251659264" behindDoc="0" locked="0" layoutInCell="1" allowOverlap="1" wp14:anchorId="6B7239AB" wp14:editId="181B3C00">
              <wp:simplePos x="0" y="0"/>
              <wp:positionH relativeFrom="margin">
                <wp:align>right</wp:align>
              </wp:positionH>
              <wp:positionV relativeFrom="paragraph">
                <wp:posOffset>10795</wp:posOffset>
              </wp:positionV>
              <wp:extent cx="14605" cy="14605"/>
              <wp:effectExtent l="0" t="0" r="0" b="0"/>
              <wp:wrapNone/>
              <wp:docPr id="8" name="Frame5"/>
              <wp:cNvGraphicFramePr/>
              <a:graphic xmlns:a="http://schemas.openxmlformats.org/drawingml/2006/main">
                <a:graphicData uri="http://schemas.microsoft.com/office/word/2010/wordprocessingShape">
                  <wps:wsp>
                    <wps:cNvSpPr txBox="1"/>
                    <wps:spPr>
                      <a:xfrm>
                        <a:off x="0" y="0"/>
                        <a:ext cx="14605" cy="14605"/>
                      </a:xfrm>
                      <a:prstGeom prst="rect">
                        <a:avLst/>
                      </a:prstGeom>
                      <a:solidFill>
                        <a:srgbClr val="FFFFFF">
                          <a:alpha val="0"/>
                        </a:srgbClr>
                      </a:solidFill>
                    </wps:spPr>
                    <wps:txbx>
                      <w:txbxContent>
                        <w:sdt>
                          <w:sdtPr>
                            <w:id w:val="1613548863"/>
                            <w:docPartObj>
                              <w:docPartGallery w:val="Page Numbers (Bottom of Page)"/>
                              <w:docPartUnique/>
                            </w:docPartObj>
                          </w:sdtPr>
                          <w:sdtEndPr/>
                          <w:sdtContent>
                            <w:p w14:paraId="194C231E" w14:textId="77777777" w:rsidR="00FC1013" w:rsidRDefault="004C465B">
                              <w:pPr>
                                <w:pStyle w:val="Footer"/>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t>0</w:t>
                              </w:r>
                              <w:r>
                                <w:rPr>
                                  <w:rStyle w:val="PageNumber"/>
                                </w:rPr>
                                <w:fldChar w:fldCharType="end"/>
                              </w:r>
                              <w:r>
                                <w:t xml:space="preserve"> / </w:t>
                              </w:r>
                              <w:fldSimple w:instr=" NUMPAGES ">
                                <w:r>
                                  <w:t>14</w:t>
                                </w:r>
                              </w:fldSimple>
                              <w:r>
                                <w:rPr>
                                  <w:rStyle w:val="PageNumber"/>
                                </w:rPr>
                                <w:t xml:space="preserve"> </w:t>
                              </w:r>
                            </w:p>
                          </w:sdtContent>
                        </w:sdt>
                      </w:txbxContent>
                    </wps:txbx>
                    <wps:bodyPr lIns="0" tIns="0" rIns="0" bIns="0" anchor="t">
                      <a:spAutoFit/>
                    </wps:bodyPr>
                  </wps:wsp>
                </a:graphicData>
              </a:graphic>
            </wp:anchor>
          </w:drawing>
        </mc:Choice>
        <mc:Fallback>
          <w:pict>
            <v:shapetype w14:anchorId="6B7239AB" id="_x0000_t202" coordsize="21600,21600" o:spt="202" path="m,l,21600r21600,l21600,xe">
              <v:stroke joinstyle="miter"/>
              <v:path gradientshapeok="t" o:connecttype="rect"/>
            </v:shapetype>
            <v:shape id="Frame5" o:spid="_x0000_s1026" type="#_x0000_t202" style="position:absolute;left:0;text-align:left;margin-left:-50.05pt;margin-top:.85pt;width:1.15pt;height:1.15pt;z-index:251659264;visibility:visible;mso-wrap-style:square;mso-wrap-distance-left:0;mso-wrap-distance-top:0;mso-wrap-distance-right:0;mso-wrap-distance-bottom:0;mso-position-horizontal:right;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" stroked="f">
              <v:fill opacity="0"/>
              <v:textbox style="mso-fit-shape-to-text:t" inset="0,0,0,0">
                <w:txbxContent>
                  <w:sdt>
                    <w:sdtPr>
                      <w:id w:val="1613548863"/>
                      <w:docPartObj>
                        <w:docPartGallery w:val="Page Numbers (Bottom of Page)"/>
                        <w:docPartUnique/>
                      </w:docPartObj>
                    </w:sdtPr>
                    <w:sdtEndPr/>
                    <w:sdtContent>
                      <w:p w14:paraId="194C231E" w14:textId="77777777" w:rsidR="00FC1013" w:rsidRDefault="004C465B">
                        <w:pPr>
                          <w:pStyle w:val="Footer"/>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t>0</w:t>
                        </w:r>
                        <w:r>
                          <w:rPr>
                            <w:rStyle w:val="PageNumber"/>
                          </w:rPr>
                          <w:fldChar w:fldCharType="end"/>
                        </w:r>
                        <w:r>
                          <w:t xml:space="preserve"> / </w:t>
                        </w:r>
                        <w:fldSimple w:instr=" NUMPAGES ">
                          <w:r>
                            <w:t>14</w:t>
                          </w:r>
                        </w:fldSimple>
                        <w:r>
                          <w:rPr>
                            <w:rStyle w:val="PageNumber"/>
                          </w:rPr>
                          <w:t xml:space="preserve"> </w:t>
                        </w:r>
                      </w:p>
                    </w:sdtContent>
                  </w:sdt>
                </w:txbxContent>
              </v:textbox>
              <w10:wrap anchorx="margin"/>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7E47CD8" w14:textId="77777777" w:rsidR="00FC1013" w:rsidRDefault="004C465B">
    <w:pPr>
      <w:pBdr>
        <w:top w:val="single" w:sz="4" w:space="6" w:color="000000"/>
      </w:pBdr>
      <w:tabs>
        <w:tab w:val="center" w:pos="4513"/>
        <w:tab w:val="right" w:pos="9072"/>
        <w:tab w:val="right" w:pos="9450"/>
      </w:tabs>
      <w:jc w:val="center"/>
      <w:rPr>
        <w:rFonts w:ascii="Arial" w:eastAsia="Times New Roman" w:hAnsi="Arial" w:cs="Arial"/>
        <w:color w:val="333333"/>
        <w:sz w:val="14"/>
        <w:szCs w:val="14"/>
        <w:lang w:val="en-AU"/>
      </w:rPr>
    </w:pPr>
    <w:r>
      <w:rPr>
        <w:rFonts w:eastAsia="Times New Roman" w:cs="Arial"/>
        <w:color w:val="333333"/>
        <w:sz w:val="14"/>
        <w:szCs w:val="14"/>
        <w:lang w:val="en-AU"/>
      </w:rPr>
      <w:t>© 2024 RIO TINTO GROUP</w:t>
    </w:r>
  </w:p>
  <w:p w14:paraId="239653D2" w14:textId="77777777" w:rsidR="00FC1013" w:rsidRDefault="004C465B">
    <w:pPr>
      <w:pStyle w:val="Footer"/>
    </w:pPr>
    <w:r>
      <w:rPr>
        <w:rFonts w:eastAsia="Times New Roman" w:cs="Arial"/>
        <w:color w:val="333333"/>
        <w:szCs w:val="14"/>
        <w:lang w:val="en-AU"/>
      </w:rPr>
      <w:t>This document is the copyright property of Rio Tinto Group and contains information that is confidential to companies within the Rio Tinto Group. Any request to copy or circulate this document outside of the Rio Tinto Group will require the prior written approval of the Group Executive of Development &amp; Technology</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4831837" w14:textId="77777777" w:rsidR="001D41C2" w:rsidRDefault="001D41C2">
      <w:r>
        <w:separator/>
      </w:r>
    </w:p>
  </w:footnote>
  <w:footnote w:type="continuationSeparator" w:id="0">
    <w:p w14:paraId="3177BF59" w14:textId="77777777" w:rsidR="001D41C2" w:rsidRDefault="001D41C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3938D11" w14:textId="77777777" w:rsidR="00FC1013" w:rsidRDefault="00FC1013">
    <w:pPr>
      <w:pStyle w:val="DataClassification"/>
    </w:pPr>
  </w:p>
  <w:p w14:paraId="2E97B8F1" w14:textId="77777777" w:rsidR="00FC1013" w:rsidRDefault="00FC1013">
    <w:pPr>
      <w:pStyle w:val="Header"/>
    </w:pPr>
  </w:p>
  <w:p w14:paraId="0D9EC162" w14:textId="77777777" w:rsidR="00FC1013" w:rsidRDefault="00FC1013">
    <w:pPr>
      <w:pStyle w:val="Header"/>
    </w:pPr>
  </w:p>
  <w:p w14:paraId="1E6D7930" w14:textId="59657AA0" w:rsidR="00FC1013" w:rsidRDefault="00B03658">
    <w:pPr>
      <w:pStyle w:val="Headerunderline"/>
    </w:pPr>
    <w:fldSimple w:instr=" STYLEREF &quot;Automated Project Name&quot; ">
      <w:r w:rsidR="00F92E88">
        <w:rPr>
          <w:noProof/>
        </w:rPr>
        <w:t>[Enter Project Name]</w:t>
      </w:r>
    </w:fldSimple>
    <w:r w:rsidR="004C465B">
      <w:t xml:space="preserve"> - </w:t>
    </w:r>
    <w:fldSimple w:instr=" STYLEREF &quot;Front cover: Heading_&quot; ">
      <w:r w:rsidR="00F92E88">
        <w:rPr>
          <w:noProof/>
        </w:rPr>
        <w:t>PROCEDURE TITLE</w:t>
      </w:r>
    </w:fldSimple>
  </w:p>
  <w:p w14:paraId="68CEDCD5" w14:textId="77777777" w:rsidR="00FC1013" w:rsidRDefault="00FC1013">
    <w:pPr>
      <w:pStyle w:val="Header"/>
    </w:pPr>
  </w:p>
  <w:p w14:paraId="62FAD2A2" w14:textId="77777777" w:rsidR="00FC1013" w:rsidRDefault="00FC1013">
    <w:pPr>
      <w:pStyle w:val="Header"/>
    </w:pPr>
  </w:p>
  <w:p w14:paraId="4B6F8956" w14:textId="77777777" w:rsidR="00FC1013" w:rsidRDefault="00FC1013">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E8042B4" w14:textId="77777777" w:rsidR="00E3554C" w:rsidRDefault="00E3554C" w:rsidP="00E3554C">
    <w:pPr>
      <w:pStyle w:val="Header"/>
      <w:tabs>
        <w:tab w:val="clear" w:pos="9639"/>
        <w:tab w:val="right" w:pos="9638"/>
      </w:tabs>
      <w:ind w:left="7088"/>
    </w:pPr>
  </w:p>
  <w:p w14:paraId="098BD27A" w14:textId="77777777" w:rsidR="00E3554C" w:rsidRDefault="00E3554C" w:rsidP="00E3554C">
    <w:pPr>
      <w:pStyle w:val="Header"/>
      <w:tabs>
        <w:tab w:val="clear" w:pos="9639"/>
        <w:tab w:val="right" w:pos="9638"/>
      </w:tabs>
      <w:ind w:left="7088"/>
    </w:pPr>
  </w:p>
  <w:p w14:paraId="5416590D" w14:textId="77777777" w:rsidR="00FC1013" w:rsidRDefault="00E87570" w:rsidP="00C33144">
    <w:pPr>
      <w:pStyle w:val="Header"/>
      <w:tabs>
        <w:tab w:val="clear" w:pos="9639"/>
        <w:tab w:val="right" w:pos="9638"/>
      </w:tabs>
      <w:ind w:left="7088"/>
    </w:pPr>
    <w:r>
      <w:rPr>
        <w:noProof/>
      </w:rPr>
      <w:drawing>
        <wp:anchor distT="0" distB="0" distL="114300" distR="114300" simplePos="0" relativeHeight="251668992" behindDoc="1" locked="0" layoutInCell="1" allowOverlap="1" wp14:anchorId="0F900CAF" wp14:editId="14E85CC9">
          <wp:simplePos x="0" y="0"/>
          <wp:positionH relativeFrom="column">
            <wp:posOffset>-1653540</wp:posOffset>
          </wp:positionH>
          <wp:positionV relativeFrom="paragraph">
            <wp:posOffset>-798196</wp:posOffset>
          </wp:positionV>
          <wp:extent cx="4302125" cy="3999230"/>
          <wp:effectExtent l="800100" t="952500" r="727075" b="953770"/>
          <wp:wrapNone/>
          <wp:docPr id="19262585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2130117" name="Picture 1"/>
                  <pic:cNvPicPr>
                    <a:picLocks noChangeAspect="1"/>
                  </pic:cNvPicPr>
                </pic:nvPicPr>
                <pic:blipFill rotWithShape="1">
                  <a:blip r:embed="rId1">
                    <a:grayscl/>
                    <a:alphaModFix amt="20000"/>
                    <a:extLst>
                      <a:ext uri="{28A0092B-C50C-407E-A947-70E740481C1C}">
                        <a14:useLocalDpi xmlns:a14="http://schemas.microsoft.com/office/drawing/2010/main" val="0"/>
                      </a:ext>
                    </a:extLst>
                  </a:blip>
                  <a:srcRect l="39613"/>
                  <a:stretch>
                    <a:fillRect/>
                  </a:stretch>
                </pic:blipFill>
                <pic:spPr bwMode="auto">
                  <a:xfrm rot="18916714">
                    <a:off x="0" y="0"/>
                    <a:ext cx="4302125" cy="3999230"/>
                  </a:xfrm>
                  <a:prstGeom prst="rect">
                    <a:avLst/>
                  </a:prstGeom>
                  <a:ln>
                    <a:noFill/>
                  </a:ln>
                  <a:extLst>
                    <a:ext uri="{53640926-AAD7-44D8-BBD7-CCE9431645EC}">
                      <a14:shadowObscured xmlns:a14="http://schemas.microsoft.com/office/drawing/2010/main"/>
                    </a:ext>
                  </a:extLst>
                </pic:spPr>
              </pic:pic>
            </a:graphicData>
          </a:graphic>
        </wp:anchor>
      </w:drawing>
    </w:r>
    <w:r w:rsidR="00E3554C" w:rsidRPr="00E3554C">
      <w:rPr>
        <w:noProof/>
      </w:rPr>
      <w:drawing>
        <wp:inline distT="0" distB="0" distL="0" distR="0" wp14:anchorId="15309544" wp14:editId="63AF0FCE">
          <wp:extent cx="1188085" cy="252095"/>
          <wp:effectExtent l="0" t="0" r="0" b="0"/>
          <wp:docPr id="172954863" name="Graphic 4"/>
          <wp:cNvGraphicFramePr/>
          <a:graphic xmlns:a="http://schemas.openxmlformats.org/drawingml/2006/main">
            <a:graphicData uri="http://schemas.openxmlformats.org/drawingml/2006/picture">
              <pic:pic xmlns:pic="http://schemas.openxmlformats.org/drawingml/2006/picture">
                <pic:nvPicPr>
                  <pic:cNvPr id="1" name="Graphic 1"/>
                  <pic:cNvPicPr>
                    <a:picLocks noChangeAspect="1"/>
                  </pic:cNvPicPr>
                </pic:nvPicPr>
                <pic:blipFill>
                  <a:blip r:embed="rId2" cstate="print">
                    <a:extLst>
                      <a:ext uri="{28A0092B-C50C-407E-A947-70E740481C1C}">
                        <a14:useLocalDpi xmlns:a14="http://schemas.microsoft.com/office/drawing/2010/main" val="0"/>
                      </a:ext>
                      <a:ext uri="{96DAC541-7B7A-43D3-8B79-37D633B846F1}">
                        <asvg:svgBlip xmlns:asvg="http://schemas.microsoft.com/office/drawing/2016/SVG/main" r:embed="rId3"/>
                      </a:ext>
                    </a:extLst>
                  </a:blip>
                  <a:stretch>
                    <a:fillRect/>
                  </a:stretch>
                </pic:blipFill>
                <pic:spPr>
                  <a:xfrm>
                    <a:off x="0" y="0"/>
                    <a:ext cx="1187450" cy="251460"/>
                  </a:xfrm>
                  <a:prstGeom prst="rect">
                    <a:avLst/>
                  </a:prstGeom>
                </pic:spPr>
              </pic:pic>
            </a:graphicData>
          </a:graphic>
        </wp:inline>
      </w:drawing>
    </w:r>
  </w:p>
  <w:p w14:paraId="7863338B" w14:textId="77777777" w:rsidR="00C33144" w:rsidRPr="005157BB" w:rsidRDefault="00C33144" w:rsidP="00C33144">
    <w:pPr>
      <w:pStyle w:val="Header"/>
      <w:tabs>
        <w:tab w:val="clear" w:pos="9639"/>
        <w:tab w:val="right" w:pos="9638"/>
      </w:tabs>
      <w:spacing w:before="120" w:line="281" w:lineRule="auto"/>
      <w:ind w:left="7088"/>
      <w:rPr>
        <w:color w:val="404040" w:themeColor="text1" w:themeTint="BF"/>
        <w:sz w:val="28"/>
        <w:szCs w:val="28"/>
      </w:rPr>
    </w:pPr>
    <w:r w:rsidRPr="005157BB">
      <w:rPr>
        <w:color w:val="404040" w:themeColor="text1" w:themeTint="BF"/>
        <w:sz w:val="28"/>
        <w:szCs w:val="28"/>
      </w:rPr>
      <w:t>RioProjects HSESC</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29784F"/>
    <w:multiLevelType w:val="hybridMultilevel"/>
    <w:tmpl w:val="A81CCCA6"/>
    <w:lvl w:ilvl="0" w:tplc="0C090011">
      <w:start w:val="1"/>
      <w:numFmt w:val="decimal"/>
      <w:lvlText w:val="%1)"/>
      <w:lvlJc w:val="left"/>
      <w:pPr>
        <w:ind w:left="1429" w:hanging="360"/>
      </w:pPr>
    </w:lvl>
    <w:lvl w:ilvl="1" w:tplc="0C090019" w:tentative="1">
      <w:start w:val="1"/>
      <w:numFmt w:val="lowerLetter"/>
      <w:lvlText w:val="%2."/>
      <w:lvlJc w:val="left"/>
      <w:pPr>
        <w:ind w:left="2149" w:hanging="360"/>
      </w:pPr>
    </w:lvl>
    <w:lvl w:ilvl="2" w:tplc="0C09001B" w:tentative="1">
      <w:start w:val="1"/>
      <w:numFmt w:val="lowerRoman"/>
      <w:lvlText w:val="%3."/>
      <w:lvlJc w:val="right"/>
      <w:pPr>
        <w:ind w:left="2869" w:hanging="180"/>
      </w:pPr>
    </w:lvl>
    <w:lvl w:ilvl="3" w:tplc="0C09000F" w:tentative="1">
      <w:start w:val="1"/>
      <w:numFmt w:val="decimal"/>
      <w:lvlText w:val="%4."/>
      <w:lvlJc w:val="left"/>
      <w:pPr>
        <w:ind w:left="3589" w:hanging="360"/>
      </w:pPr>
    </w:lvl>
    <w:lvl w:ilvl="4" w:tplc="0C090019" w:tentative="1">
      <w:start w:val="1"/>
      <w:numFmt w:val="lowerLetter"/>
      <w:lvlText w:val="%5."/>
      <w:lvlJc w:val="left"/>
      <w:pPr>
        <w:ind w:left="4309" w:hanging="360"/>
      </w:pPr>
    </w:lvl>
    <w:lvl w:ilvl="5" w:tplc="0C09001B" w:tentative="1">
      <w:start w:val="1"/>
      <w:numFmt w:val="lowerRoman"/>
      <w:lvlText w:val="%6."/>
      <w:lvlJc w:val="right"/>
      <w:pPr>
        <w:ind w:left="5029" w:hanging="180"/>
      </w:pPr>
    </w:lvl>
    <w:lvl w:ilvl="6" w:tplc="0C09000F" w:tentative="1">
      <w:start w:val="1"/>
      <w:numFmt w:val="decimal"/>
      <w:lvlText w:val="%7."/>
      <w:lvlJc w:val="left"/>
      <w:pPr>
        <w:ind w:left="5749" w:hanging="360"/>
      </w:pPr>
    </w:lvl>
    <w:lvl w:ilvl="7" w:tplc="0C090019" w:tentative="1">
      <w:start w:val="1"/>
      <w:numFmt w:val="lowerLetter"/>
      <w:lvlText w:val="%8."/>
      <w:lvlJc w:val="left"/>
      <w:pPr>
        <w:ind w:left="6469" w:hanging="360"/>
      </w:pPr>
    </w:lvl>
    <w:lvl w:ilvl="8" w:tplc="0C09001B" w:tentative="1">
      <w:start w:val="1"/>
      <w:numFmt w:val="lowerRoman"/>
      <w:lvlText w:val="%9."/>
      <w:lvlJc w:val="right"/>
      <w:pPr>
        <w:ind w:left="7189" w:hanging="180"/>
      </w:pPr>
    </w:lvl>
  </w:abstractNum>
  <w:abstractNum w:abstractNumId="1" w15:restartNumberingAfterBreak="0">
    <w:nsid w:val="1E781775"/>
    <w:multiLevelType w:val="multilevel"/>
    <w:tmpl w:val="421CAB70"/>
    <w:lvl w:ilvl="0">
      <w:start w:val="1"/>
      <w:numFmt w:val="bullet"/>
      <w:pStyle w:val="TableText"/>
      <w:lvlText w:val="-"/>
      <w:lvlJc w:val="left"/>
      <w:pPr>
        <w:tabs>
          <w:tab w:val="num" w:pos="0"/>
        </w:tabs>
        <w:ind w:left="1080" w:hanging="360"/>
      </w:pPr>
      <w:rPr>
        <w:rFonts w:ascii="Courier New" w:hAnsi="Courier New" w:cs="Courier New" w:hint="default"/>
      </w:rPr>
    </w:lvl>
    <w:lvl w:ilvl="1">
      <w:start w:val="1"/>
      <w:numFmt w:val="bullet"/>
      <w:lvlText w:val="o"/>
      <w:lvlJc w:val="left"/>
      <w:pPr>
        <w:tabs>
          <w:tab w:val="num" w:pos="0"/>
        </w:tabs>
        <w:ind w:left="1800" w:hanging="360"/>
      </w:pPr>
      <w:rPr>
        <w:rFonts w:ascii="Courier New" w:hAnsi="Courier New" w:cs="Courier New" w:hint="default"/>
      </w:rPr>
    </w:lvl>
    <w:lvl w:ilvl="2">
      <w:start w:val="1"/>
      <w:numFmt w:val="bullet"/>
      <w:lvlText w:val=""/>
      <w:lvlJc w:val="left"/>
      <w:pPr>
        <w:tabs>
          <w:tab w:val="num" w:pos="0"/>
        </w:tabs>
        <w:ind w:left="2520" w:hanging="360"/>
      </w:pPr>
      <w:rPr>
        <w:rFonts w:ascii="Wingdings" w:hAnsi="Wingdings" w:cs="Wingdings" w:hint="default"/>
      </w:rPr>
    </w:lvl>
    <w:lvl w:ilvl="3">
      <w:start w:val="1"/>
      <w:numFmt w:val="bullet"/>
      <w:lvlText w:val=""/>
      <w:lvlJc w:val="left"/>
      <w:pPr>
        <w:tabs>
          <w:tab w:val="num" w:pos="0"/>
        </w:tabs>
        <w:ind w:left="3240" w:hanging="360"/>
      </w:pPr>
      <w:rPr>
        <w:rFonts w:ascii="Symbol" w:hAnsi="Symbol" w:cs="Symbol" w:hint="default"/>
      </w:rPr>
    </w:lvl>
    <w:lvl w:ilvl="4">
      <w:start w:val="1"/>
      <w:numFmt w:val="bullet"/>
      <w:lvlText w:val="o"/>
      <w:lvlJc w:val="left"/>
      <w:pPr>
        <w:tabs>
          <w:tab w:val="num" w:pos="0"/>
        </w:tabs>
        <w:ind w:left="3960" w:hanging="360"/>
      </w:pPr>
      <w:rPr>
        <w:rFonts w:ascii="Courier New" w:hAnsi="Courier New" w:cs="Courier New" w:hint="default"/>
      </w:rPr>
    </w:lvl>
    <w:lvl w:ilvl="5">
      <w:start w:val="1"/>
      <w:numFmt w:val="bullet"/>
      <w:lvlText w:val=""/>
      <w:lvlJc w:val="left"/>
      <w:pPr>
        <w:tabs>
          <w:tab w:val="num" w:pos="0"/>
        </w:tabs>
        <w:ind w:left="4680" w:hanging="360"/>
      </w:pPr>
      <w:rPr>
        <w:rFonts w:ascii="Wingdings" w:hAnsi="Wingdings" w:cs="Wingdings" w:hint="default"/>
      </w:rPr>
    </w:lvl>
    <w:lvl w:ilvl="6">
      <w:start w:val="1"/>
      <w:numFmt w:val="bullet"/>
      <w:lvlText w:val=""/>
      <w:lvlJc w:val="left"/>
      <w:pPr>
        <w:tabs>
          <w:tab w:val="num" w:pos="0"/>
        </w:tabs>
        <w:ind w:left="5400" w:hanging="360"/>
      </w:pPr>
      <w:rPr>
        <w:rFonts w:ascii="Symbol" w:hAnsi="Symbol" w:cs="Symbol" w:hint="default"/>
      </w:rPr>
    </w:lvl>
    <w:lvl w:ilvl="7">
      <w:start w:val="1"/>
      <w:numFmt w:val="bullet"/>
      <w:lvlText w:val="o"/>
      <w:lvlJc w:val="left"/>
      <w:pPr>
        <w:tabs>
          <w:tab w:val="num" w:pos="0"/>
        </w:tabs>
        <w:ind w:left="6120" w:hanging="360"/>
      </w:pPr>
      <w:rPr>
        <w:rFonts w:ascii="Courier New" w:hAnsi="Courier New" w:cs="Courier New" w:hint="default"/>
      </w:rPr>
    </w:lvl>
    <w:lvl w:ilvl="8">
      <w:start w:val="1"/>
      <w:numFmt w:val="bullet"/>
      <w:lvlText w:val=""/>
      <w:lvlJc w:val="left"/>
      <w:pPr>
        <w:tabs>
          <w:tab w:val="num" w:pos="0"/>
        </w:tabs>
        <w:ind w:left="6840" w:hanging="360"/>
      </w:pPr>
      <w:rPr>
        <w:rFonts w:ascii="Wingdings" w:hAnsi="Wingdings" w:cs="Wingdings" w:hint="default"/>
      </w:rPr>
    </w:lvl>
  </w:abstractNum>
  <w:abstractNum w:abstractNumId="2" w15:restartNumberingAfterBreak="0">
    <w:nsid w:val="1F86000B"/>
    <w:multiLevelType w:val="hybridMultilevel"/>
    <w:tmpl w:val="8D768A86"/>
    <w:lvl w:ilvl="0" w:tplc="0C090017">
      <w:start w:val="1"/>
      <w:numFmt w:val="lowerLetter"/>
      <w:lvlText w:val="%1)"/>
      <w:lvlJc w:val="left"/>
      <w:pPr>
        <w:ind w:left="1429" w:hanging="360"/>
      </w:pPr>
    </w:lvl>
    <w:lvl w:ilvl="1" w:tplc="0C090019" w:tentative="1">
      <w:start w:val="1"/>
      <w:numFmt w:val="lowerLetter"/>
      <w:lvlText w:val="%2."/>
      <w:lvlJc w:val="left"/>
      <w:pPr>
        <w:ind w:left="2149" w:hanging="360"/>
      </w:pPr>
    </w:lvl>
    <w:lvl w:ilvl="2" w:tplc="0C09001B" w:tentative="1">
      <w:start w:val="1"/>
      <w:numFmt w:val="lowerRoman"/>
      <w:lvlText w:val="%3."/>
      <w:lvlJc w:val="right"/>
      <w:pPr>
        <w:ind w:left="2869" w:hanging="180"/>
      </w:pPr>
    </w:lvl>
    <w:lvl w:ilvl="3" w:tplc="0C09000F" w:tentative="1">
      <w:start w:val="1"/>
      <w:numFmt w:val="decimal"/>
      <w:lvlText w:val="%4."/>
      <w:lvlJc w:val="left"/>
      <w:pPr>
        <w:ind w:left="3589" w:hanging="360"/>
      </w:pPr>
    </w:lvl>
    <w:lvl w:ilvl="4" w:tplc="0C090019" w:tentative="1">
      <w:start w:val="1"/>
      <w:numFmt w:val="lowerLetter"/>
      <w:lvlText w:val="%5."/>
      <w:lvlJc w:val="left"/>
      <w:pPr>
        <w:ind w:left="4309" w:hanging="360"/>
      </w:pPr>
    </w:lvl>
    <w:lvl w:ilvl="5" w:tplc="0C09001B" w:tentative="1">
      <w:start w:val="1"/>
      <w:numFmt w:val="lowerRoman"/>
      <w:lvlText w:val="%6."/>
      <w:lvlJc w:val="right"/>
      <w:pPr>
        <w:ind w:left="5029" w:hanging="180"/>
      </w:pPr>
    </w:lvl>
    <w:lvl w:ilvl="6" w:tplc="0C09000F" w:tentative="1">
      <w:start w:val="1"/>
      <w:numFmt w:val="decimal"/>
      <w:lvlText w:val="%7."/>
      <w:lvlJc w:val="left"/>
      <w:pPr>
        <w:ind w:left="5749" w:hanging="360"/>
      </w:pPr>
    </w:lvl>
    <w:lvl w:ilvl="7" w:tplc="0C090019" w:tentative="1">
      <w:start w:val="1"/>
      <w:numFmt w:val="lowerLetter"/>
      <w:lvlText w:val="%8."/>
      <w:lvlJc w:val="left"/>
      <w:pPr>
        <w:ind w:left="6469" w:hanging="360"/>
      </w:pPr>
    </w:lvl>
    <w:lvl w:ilvl="8" w:tplc="0C09001B" w:tentative="1">
      <w:start w:val="1"/>
      <w:numFmt w:val="lowerRoman"/>
      <w:lvlText w:val="%9."/>
      <w:lvlJc w:val="right"/>
      <w:pPr>
        <w:ind w:left="7189" w:hanging="180"/>
      </w:pPr>
    </w:lvl>
  </w:abstractNum>
  <w:abstractNum w:abstractNumId="3" w15:restartNumberingAfterBreak="0">
    <w:nsid w:val="26D856E2"/>
    <w:multiLevelType w:val="multilevel"/>
    <w:tmpl w:val="0CC2C232"/>
    <w:lvl w:ilvl="0">
      <w:numFmt w:val="decimal"/>
      <w:pStyle w:val="Heading1Numbered"/>
      <w:lvlText w:val="%1"/>
      <w:lvlJc w:val="left"/>
      <w:pPr>
        <w:tabs>
          <w:tab w:val="num" w:pos="0"/>
        </w:tabs>
        <w:ind w:left="0" w:firstLine="0"/>
      </w:pPr>
      <w:rPr>
        <w:rFonts w:hint="default"/>
      </w:rPr>
    </w:lvl>
    <w:lvl w:ilvl="1">
      <w:start w:val="1"/>
      <w:numFmt w:val="decimal"/>
      <w:pStyle w:val="Heading2Numbered"/>
      <w:lvlText w:val="%1.%2"/>
      <w:lvlJc w:val="left"/>
      <w:pPr>
        <w:tabs>
          <w:tab w:val="num" w:pos="0"/>
        </w:tabs>
        <w:ind w:left="0" w:firstLine="0"/>
      </w:pPr>
      <w:rPr>
        <w:rFonts w:hint="default"/>
      </w:rPr>
    </w:lvl>
    <w:lvl w:ilvl="2">
      <w:start w:val="1"/>
      <w:numFmt w:val="decimal"/>
      <w:pStyle w:val="Heading3Numbered"/>
      <w:lvlText w:val="%1.%2.%3"/>
      <w:lvlJc w:val="left"/>
      <w:pPr>
        <w:tabs>
          <w:tab w:val="num" w:pos="0"/>
        </w:tabs>
        <w:ind w:left="0" w:firstLine="0"/>
      </w:pPr>
      <w:rPr>
        <w:rFonts w:hint="default"/>
      </w:rPr>
    </w:lvl>
    <w:lvl w:ilvl="3">
      <w:start w:val="1"/>
      <w:numFmt w:val="decimal"/>
      <w:lvlText w:val="%1.%2.%3.%4."/>
      <w:lvlJc w:val="left"/>
      <w:pPr>
        <w:tabs>
          <w:tab w:val="num" w:pos="0"/>
        </w:tabs>
        <w:ind w:left="1728" w:hanging="648"/>
      </w:pPr>
      <w:rPr>
        <w:rFonts w:hint="default"/>
      </w:rPr>
    </w:lvl>
    <w:lvl w:ilvl="4">
      <w:start w:val="1"/>
      <w:numFmt w:val="decimal"/>
      <w:lvlText w:val="%1.%2.%3.%4.%5."/>
      <w:lvlJc w:val="left"/>
      <w:pPr>
        <w:tabs>
          <w:tab w:val="num" w:pos="0"/>
        </w:tabs>
        <w:ind w:left="2232" w:hanging="792"/>
      </w:pPr>
      <w:rPr>
        <w:rFonts w:hint="default"/>
      </w:rPr>
    </w:lvl>
    <w:lvl w:ilvl="5">
      <w:start w:val="1"/>
      <w:numFmt w:val="decimal"/>
      <w:lvlText w:val="%1.%2.%3.%4.%5.%6."/>
      <w:lvlJc w:val="left"/>
      <w:pPr>
        <w:tabs>
          <w:tab w:val="num" w:pos="0"/>
        </w:tabs>
        <w:ind w:left="2736" w:hanging="936"/>
      </w:pPr>
      <w:rPr>
        <w:rFonts w:hint="default"/>
      </w:rPr>
    </w:lvl>
    <w:lvl w:ilvl="6">
      <w:start w:val="1"/>
      <w:numFmt w:val="decimal"/>
      <w:lvlText w:val="%1.%2.%3.%4.%5.%6.%7."/>
      <w:lvlJc w:val="left"/>
      <w:pPr>
        <w:tabs>
          <w:tab w:val="num" w:pos="0"/>
        </w:tabs>
        <w:ind w:left="3240" w:hanging="1080"/>
      </w:pPr>
      <w:rPr>
        <w:rFonts w:hint="default"/>
      </w:rPr>
    </w:lvl>
    <w:lvl w:ilvl="7">
      <w:start w:val="1"/>
      <w:numFmt w:val="decimal"/>
      <w:lvlText w:val="%1.%2.%3.%4.%5.%6.%7.%8."/>
      <w:lvlJc w:val="left"/>
      <w:pPr>
        <w:tabs>
          <w:tab w:val="num" w:pos="0"/>
        </w:tabs>
        <w:ind w:left="3744" w:hanging="1224"/>
      </w:pPr>
      <w:rPr>
        <w:rFonts w:hint="default"/>
      </w:rPr>
    </w:lvl>
    <w:lvl w:ilvl="8">
      <w:start w:val="1"/>
      <w:numFmt w:val="decimal"/>
      <w:lvlText w:val="%1.%2.%3.%4.%5.%6.%7.%8.%9."/>
      <w:lvlJc w:val="left"/>
      <w:pPr>
        <w:tabs>
          <w:tab w:val="num" w:pos="0"/>
        </w:tabs>
        <w:ind w:left="4320" w:hanging="1440"/>
      </w:pPr>
      <w:rPr>
        <w:rFonts w:hint="default"/>
      </w:rPr>
    </w:lvl>
  </w:abstractNum>
  <w:abstractNum w:abstractNumId="4" w15:restartNumberingAfterBreak="0">
    <w:nsid w:val="334B0544"/>
    <w:multiLevelType w:val="multilevel"/>
    <w:tmpl w:val="403460A8"/>
    <w:lvl w:ilvl="0">
      <w:start w:val="1"/>
      <w:numFmt w:val="lowerLetter"/>
      <w:lvlText w:val="%1)"/>
      <w:lvlJc w:val="left"/>
      <w:pPr>
        <w:tabs>
          <w:tab w:val="num" w:pos="0"/>
        </w:tabs>
        <w:ind w:left="1429" w:hanging="360"/>
      </w:pPr>
    </w:lvl>
    <w:lvl w:ilvl="1">
      <w:start w:val="1"/>
      <w:numFmt w:val="lowerLetter"/>
      <w:lvlText w:val="%2."/>
      <w:lvlJc w:val="left"/>
      <w:pPr>
        <w:tabs>
          <w:tab w:val="num" w:pos="0"/>
        </w:tabs>
        <w:ind w:left="2149" w:hanging="360"/>
      </w:pPr>
    </w:lvl>
    <w:lvl w:ilvl="2">
      <w:start w:val="1"/>
      <w:numFmt w:val="lowerRoman"/>
      <w:lvlText w:val="%3."/>
      <w:lvlJc w:val="right"/>
      <w:pPr>
        <w:tabs>
          <w:tab w:val="num" w:pos="0"/>
        </w:tabs>
        <w:ind w:left="2869" w:hanging="180"/>
      </w:pPr>
    </w:lvl>
    <w:lvl w:ilvl="3">
      <w:start w:val="1"/>
      <w:numFmt w:val="decimal"/>
      <w:lvlText w:val="%4."/>
      <w:lvlJc w:val="left"/>
      <w:pPr>
        <w:tabs>
          <w:tab w:val="num" w:pos="0"/>
        </w:tabs>
        <w:ind w:left="3589" w:hanging="360"/>
      </w:pPr>
    </w:lvl>
    <w:lvl w:ilvl="4">
      <w:start w:val="1"/>
      <w:numFmt w:val="lowerLetter"/>
      <w:lvlText w:val="%5."/>
      <w:lvlJc w:val="left"/>
      <w:pPr>
        <w:tabs>
          <w:tab w:val="num" w:pos="0"/>
        </w:tabs>
        <w:ind w:left="4309" w:hanging="360"/>
      </w:pPr>
    </w:lvl>
    <w:lvl w:ilvl="5">
      <w:start w:val="1"/>
      <w:numFmt w:val="lowerRoman"/>
      <w:lvlText w:val="%6."/>
      <w:lvlJc w:val="right"/>
      <w:pPr>
        <w:tabs>
          <w:tab w:val="num" w:pos="0"/>
        </w:tabs>
        <w:ind w:left="5029" w:hanging="180"/>
      </w:pPr>
    </w:lvl>
    <w:lvl w:ilvl="6">
      <w:start w:val="1"/>
      <w:numFmt w:val="decimal"/>
      <w:lvlText w:val="%7."/>
      <w:lvlJc w:val="left"/>
      <w:pPr>
        <w:tabs>
          <w:tab w:val="num" w:pos="0"/>
        </w:tabs>
        <w:ind w:left="5749" w:hanging="360"/>
      </w:pPr>
    </w:lvl>
    <w:lvl w:ilvl="7">
      <w:start w:val="1"/>
      <w:numFmt w:val="lowerLetter"/>
      <w:lvlText w:val="%8."/>
      <w:lvlJc w:val="left"/>
      <w:pPr>
        <w:tabs>
          <w:tab w:val="num" w:pos="0"/>
        </w:tabs>
        <w:ind w:left="6469" w:hanging="360"/>
      </w:pPr>
    </w:lvl>
    <w:lvl w:ilvl="8">
      <w:start w:val="1"/>
      <w:numFmt w:val="lowerRoman"/>
      <w:lvlText w:val="%9."/>
      <w:lvlJc w:val="right"/>
      <w:pPr>
        <w:tabs>
          <w:tab w:val="num" w:pos="0"/>
        </w:tabs>
        <w:ind w:left="7189" w:hanging="180"/>
      </w:pPr>
    </w:lvl>
  </w:abstractNum>
  <w:abstractNum w:abstractNumId="5" w15:restartNumberingAfterBreak="0">
    <w:nsid w:val="369072CA"/>
    <w:multiLevelType w:val="hybridMultilevel"/>
    <w:tmpl w:val="EB26D97C"/>
    <w:lvl w:ilvl="0" w:tplc="0C090017">
      <w:start w:val="1"/>
      <w:numFmt w:val="lowerLetter"/>
      <w:lvlText w:val="%1)"/>
      <w:lvlJc w:val="left"/>
      <w:pPr>
        <w:ind w:left="1429" w:hanging="360"/>
      </w:pPr>
    </w:lvl>
    <w:lvl w:ilvl="1" w:tplc="0C090019" w:tentative="1">
      <w:start w:val="1"/>
      <w:numFmt w:val="lowerLetter"/>
      <w:lvlText w:val="%2."/>
      <w:lvlJc w:val="left"/>
      <w:pPr>
        <w:ind w:left="2149" w:hanging="360"/>
      </w:pPr>
    </w:lvl>
    <w:lvl w:ilvl="2" w:tplc="0C09001B" w:tentative="1">
      <w:start w:val="1"/>
      <w:numFmt w:val="lowerRoman"/>
      <w:lvlText w:val="%3."/>
      <w:lvlJc w:val="right"/>
      <w:pPr>
        <w:ind w:left="2869" w:hanging="180"/>
      </w:pPr>
    </w:lvl>
    <w:lvl w:ilvl="3" w:tplc="0C09000F" w:tentative="1">
      <w:start w:val="1"/>
      <w:numFmt w:val="decimal"/>
      <w:lvlText w:val="%4."/>
      <w:lvlJc w:val="left"/>
      <w:pPr>
        <w:ind w:left="3589" w:hanging="360"/>
      </w:pPr>
    </w:lvl>
    <w:lvl w:ilvl="4" w:tplc="0C090019" w:tentative="1">
      <w:start w:val="1"/>
      <w:numFmt w:val="lowerLetter"/>
      <w:lvlText w:val="%5."/>
      <w:lvlJc w:val="left"/>
      <w:pPr>
        <w:ind w:left="4309" w:hanging="360"/>
      </w:pPr>
    </w:lvl>
    <w:lvl w:ilvl="5" w:tplc="0C09001B" w:tentative="1">
      <w:start w:val="1"/>
      <w:numFmt w:val="lowerRoman"/>
      <w:lvlText w:val="%6."/>
      <w:lvlJc w:val="right"/>
      <w:pPr>
        <w:ind w:left="5029" w:hanging="180"/>
      </w:pPr>
    </w:lvl>
    <w:lvl w:ilvl="6" w:tplc="0C09000F" w:tentative="1">
      <w:start w:val="1"/>
      <w:numFmt w:val="decimal"/>
      <w:lvlText w:val="%7."/>
      <w:lvlJc w:val="left"/>
      <w:pPr>
        <w:ind w:left="5749" w:hanging="360"/>
      </w:pPr>
    </w:lvl>
    <w:lvl w:ilvl="7" w:tplc="0C090019" w:tentative="1">
      <w:start w:val="1"/>
      <w:numFmt w:val="lowerLetter"/>
      <w:lvlText w:val="%8."/>
      <w:lvlJc w:val="left"/>
      <w:pPr>
        <w:ind w:left="6469" w:hanging="360"/>
      </w:pPr>
    </w:lvl>
    <w:lvl w:ilvl="8" w:tplc="0C09001B" w:tentative="1">
      <w:start w:val="1"/>
      <w:numFmt w:val="lowerRoman"/>
      <w:lvlText w:val="%9."/>
      <w:lvlJc w:val="right"/>
      <w:pPr>
        <w:ind w:left="7189" w:hanging="180"/>
      </w:pPr>
    </w:lvl>
  </w:abstractNum>
  <w:abstractNum w:abstractNumId="6" w15:restartNumberingAfterBreak="0">
    <w:nsid w:val="38DC165C"/>
    <w:multiLevelType w:val="hybridMultilevel"/>
    <w:tmpl w:val="3D5EC2DC"/>
    <w:lvl w:ilvl="0" w:tplc="0C090011">
      <w:start w:val="1"/>
      <w:numFmt w:val="decimal"/>
      <w:lvlText w:val="%1)"/>
      <w:lvlJc w:val="left"/>
      <w:pPr>
        <w:ind w:left="1429" w:hanging="360"/>
      </w:pPr>
    </w:lvl>
    <w:lvl w:ilvl="1" w:tplc="FFFFFFFF" w:tentative="1">
      <w:start w:val="1"/>
      <w:numFmt w:val="lowerLetter"/>
      <w:lvlText w:val="%2."/>
      <w:lvlJc w:val="left"/>
      <w:pPr>
        <w:ind w:left="2149" w:hanging="360"/>
      </w:pPr>
    </w:lvl>
    <w:lvl w:ilvl="2" w:tplc="FFFFFFFF" w:tentative="1">
      <w:start w:val="1"/>
      <w:numFmt w:val="lowerRoman"/>
      <w:lvlText w:val="%3."/>
      <w:lvlJc w:val="right"/>
      <w:pPr>
        <w:ind w:left="2869" w:hanging="180"/>
      </w:pPr>
    </w:lvl>
    <w:lvl w:ilvl="3" w:tplc="FFFFFFFF" w:tentative="1">
      <w:start w:val="1"/>
      <w:numFmt w:val="decimal"/>
      <w:lvlText w:val="%4."/>
      <w:lvlJc w:val="left"/>
      <w:pPr>
        <w:ind w:left="3589" w:hanging="360"/>
      </w:pPr>
    </w:lvl>
    <w:lvl w:ilvl="4" w:tplc="FFFFFFFF" w:tentative="1">
      <w:start w:val="1"/>
      <w:numFmt w:val="lowerLetter"/>
      <w:lvlText w:val="%5."/>
      <w:lvlJc w:val="left"/>
      <w:pPr>
        <w:ind w:left="4309" w:hanging="360"/>
      </w:pPr>
    </w:lvl>
    <w:lvl w:ilvl="5" w:tplc="FFFFFFFF" w:tentative="1">
      <w:start w:val="1"/>
      <w:numFmt w:val="lowerRoman"/>
      <w:lvlText w:val="%6."/>
      <w:lvlJc w:val="right"/>
      <w:pPr>
        <w:ind w:left="5029" w:hanging="180"/>
      </w:pPr>
    </w:lvl>
    <w:lvl w:ilvl="6" w:tplc="FFFFFFFF" w:tentative="1">
      <w:start w:val="1"/>
      <w:numFmt w:val="decimal"/>
      <w:lvlText w:val="%7."/>
      <w:lvlJc w:val="left"/>
      <w:pPr>
        <w:ind w:left="5749" w:hanging="360"/>
      </w:pPr>
    </w:lvl>
    <w:lvl w:ilvl="7" w:tplc="FFFFFFFF" w:tentative="1">
      <w:start w:val="1"/>
      <w:numFmt w:val="lowerLetter"/>
      <w:lvlText w:val="%8."/>
      <w:lvlJc w:val="left"/>
      <w:pPr>
        <w:ind w:left="6469" w:hanging="360"/>
      </w:pPr>
    </w:lvl>
    <w:lvl w:ilvl="8" w:tplc="FFFFFFFF" w:tentative="1">
      <w:start w:val="1"/>
      <w:numFmt w:val="lowerRoman"/>
      <w:lvlText w:val="%9."/>
      <w:lvlJc w:val="right"/>
      <w:pPr>
        <w:ind w:left="7189" w:hanging="180"/>
      </w:pPr>
    </w:lvl>
  </w:abstractNum>
  <w:abstractNum w:abstractNumId="7" w15:restartNumberingAfterBreak="0">
    <w:nsid w:val="3D0412CB"/>
    <w:multiLevelType w:val="multilevel"/>
    <w:tmpl w:val="535EBD48"/>
    <w:lvl w:ilvl="0">
      <w:start w:val="1"/>
      <w:numFmt w:val="lowerLetter"/>
      <w:lvlText w:val="%1)"/>
      <w:lvlJc w:val="left"/>
      <w:pPr>
        <w:tabs>
          <w:tab w:val="num" w:pos="0"/>
        </w:tabs>
        <w:ind w:left="1429" w:hanging="360"/>
      </w:pPr>
    </w:lvl>
    <w:lvl w:ilvl="1">
      <w:start w:val="1"/>
      <w:numFmt w:val="lowerLetter"/>
      <w:lvlText w:val="%2."/>
      <w:lvlJc w:val="left"/>
      <w:pPr>
        <w:tabs>
          <w:tab w:val="num" w:pos="0"/>
        </w:tabs>
        <w:ind w:left="2149" w:hanging="360"/>
      </w:pPr>
    </w:lvl>
    <w:lvl w:ilvl="2">
      <w:start w:val="1"/>
      <w:numFmt w:val="lowerRoman"/>
      <w:lvlText w:val="%3."/>
      <w:lvlJc w:val="right"/>
      <w:pPr>
        <w:tabs>
          <w:tab w:val="num" w:pos="0"/>
        </w:tabs>
        <w:ind w:left="2869" w:hanging="180"/>
      </w:pPr>
    </w:lvl>
    <w:lvl w:ilvl="3">
      <w:start w:val="1"/>
      <w:numFmt w:val="decimal"/>
      <w:lvlText w:val="%4."/>
      <w:lvlJc w:val="left"/>
      <w:pPr>
        <w:tabs>
          <w:tab w:val="num" w:pos="0"/>
        </w:tabs>
        <w:ind w:left="3589" w:hanging="360"/>
      </w:pPr>
    </w:lvl>
    <w:lvl w:ilvl="4">
      <w:start w:val="1"/>
      <w:numFmt w:val="lowerLetter"/>
      <w:lvlText w:val="%5."/>
      <w:lvlJc w:val="left"/>
      <w:pPr>
        <w:tabs>
          <w:tab w:val="num" w:pos="0"/>
        </w:tabs>
        <w:ind w:left="4309" w:hanging="360"/>
      </w:pPr>
    </w:lvl>
    <w:lvl w:ilvl="5">
      <w:start w:val="1"/>
      <w:numFmt w:val="lowerRoman"/>
      <w:lvlText w:val="%6."/>
      <w:lvlJc w:val="right"/>
      <w:pPr>
        <w:tabs>
          <w:tab w:val="num" w:pos="0"/>
        </w:tabs>
        <w:ind w:left="5029" w:hanging="180"/>
      </w:pPr>
    </w:lvl>
    <w:lvl w:ilvl="6">
      <w:start w:val="1"/>
      <w:numFmt w:val="decimal"/>
      <w:lvlText w:val="%7."/>
      <w:lvlJc w:val="left"/>
      <w:pPr>
        <w:tabs>
          <w:tab w:val="num" w:pos="0"/>
        </w:tabs>
        <w:ind w:left="5749" w:hanging="360"/>
      </w:pPr>
    </w:lvl>
    <w:lvl w:ilvl="7">
      <w:start w:val="1"/>
      <w:numFmt w:val="lowerLetter"/>
      <w:lvlText w:val="%8."/>
      <w:lvlJc w:val="left"/>
      <w:pPr>
        <w:tabs>
          <w:tab w:val="num" w:pos="0"/>
        </w:tabs>
        <w:ind w:left="6469" w:hanging="360"/>
      </w:pPr>
    </w:lvl>
    <w:lvl w:ilvl="8">
      <w:start w:val="1"/>
      <w:numFmt w:val="lowerRoman"/>
      <w:lvlText w:val="%9."/>
      <w:lvlJc w:val="right"/>
      <w:pPr>
        <w:tabs>
          <w:tab w:val="num" w:pos="0"/>
        </w:tabs>
        <w:ind w:left="7189" w:hanging="180"/>
      </w:pPr>
    </w:lvl>
  </w:abstractNum>
  <w:abstractNum w:abstractNumId="8" w15:restartNumberingAfterBreak="0">
    <w:nsid w:val="3FB30254"/>
    <w:multiLevelType w:val="multilevel"/>
    <w:tmpl w:val="095A320A"/>
    <w:lvl w:ilvl="0">
      <w:start w:val="1"/>
      <w:numFmt w:val="bullet"/>
      <w:pStyle w:val="BulletL1"/>
      <w:lvlText w:val="•"/>
      <w:lvlJc w:val="left"/>
      <w:pPr>
        <w:tabs>
          <w:tab w:val="num" w:pos="0"/>
        </w:tabs>
        <w:ind w:left="360" w:hanging="360"/>
      </w:pPr>
      <w:rPr>
        <w:rFonts w:ascii="Arial" w:hAnsi="Arial" w:cs="Arial" w:hint="default"/>
        <w:color w:val="auto"/>
      </w:rPr>
    </w:lvl>
    <w:lvl w:ilvl="1">
      <w:start w:val="1"/>
      <w:numFmt w:val="bullet"/>
      <w:lvlText w:val="–"/>
      <w:lvlJc w:val="left"/>
      <w:pPr>
        <w:tabs>
          <w:tab w:val="num" w:pos="0"/>
        </w:tabs>
        <w:ind w:left="720" w:hanging="360"/>
      </w:pPr>
      <w:rPr>
        <w:rFonts w:ascii="Arial" w:hAnsi="Arial" w:cs="Arial" w:hint="default"/>
        <w:color w:val="auto"/>
      </w:rPr>
    </w:lvl>
    <w:lvl w:ilvl="2">
      <w:start w:val="1"/>
      <w:numFmt w:val="bullet"/>
      <w:lvlText w:val="–"/>
      <w:lvlJc w:val="left"/>
      <w:pPr>
        <w:tabs>
          <w:tab w:val="num" w:pos="0"/>
        </w:tabs>
        <w:ind w:left="1080" w:hanging="360"/>
      </w:pPr>
      <w:rPr>
        <w:rFonts w:ascii="Arial" w:hAnsi="Arial" w:cs="Arial" w:hint="default"/>
        <w:color w:val="auto"/>
      </w:rPr>
    </w:lvl>
    <w:lvl w:ilvl="3">
      <w:start w:val="1"/>
      <w:numFmt w:val="bullet"/>
      <w:lvlText w:val="–"/>
      <w:lvlJc w:val="left"/>
      <w:pPr>
        <w:tabs>
          <w:tab w:val="num" w:pos="0"/>
        </w:tabs>
        <w:ind w:left="1440" w:hanging="360"/>
      </w:pPr>
      <w:rPr>
        <w:rFonts w:ascii="Arial" w:hAnsi="Arial" w:cs="Arial" w:hint="default"/>
        <w:color w:val="auto"/>
      </w:rPr>
    </w:lvl>
    <w:lvl w:ilvl="4">
      <w:start w:val="1"/>
      <w:numFmt w:val="bullet"/>
      <w:lvlText w:val="–"/>
      <w:lvlJc w:val="left"/>
      <w:pPr>
        <w:tabs>
          <w:tab w:val="num" w:pos="0"/>
        </w:tabs>
        <w:ind w:left="1800" w:hanging="360"/>
      </w:pPr>
      <w:rPr>
        <w:rFonts w:ascii="Arial" w:hAnsi="Arial" w:cs="Arial" w:hint="default"/>
        <w:color w:val="auto"/>
      </w:rPr>
    </w:lvl>
    <w:lvl w:ilvl="5">
      <w:start w:val="1"/>
      <w:numFmt w:val="bullet"/>
      <w:lvlText w:val="–"/>
      <w:lvlJc w:val="left"/>
      <w:pPr>
        <w:tabs>
          <w:tab w:val="num" w:pos="0"/>
        </w:tabs>
        <w:ind w:left="2160" w:hanging="360"/>
      </w:pPr>
      <w:rPr>
        <w:rFonts w:ascii="Arial" w:hAnsi="Arial" w:cs="Arial" w:hint="default"/>
        <w:color w:val="auto"/>
      </w:rPr>
    </w:lvl>
    <w:lvl w:ilvl="6">
      <w:start w:val="1"/>
      <w:numFmt w:val="bullet"/>
      <w:lvlText w:val="–"/>
      <w:lvlJc w:val="left"/>
      <w:pPr>
        <w:tabs>
          <w:tab w:val="num" w:pos="0"/>
        </w:tabs>
        <w:ind w:left="2520" w:hanging="360"/>
      </w:pPr>
      <w:rPr>
        <w:rFonts w:ascii="Arial" w:hAnsi="Arial" w:cs="Arial" w:hint="default"/>
        <w:color w:val="auto"/>
      </w:rPr>
    </w:lvl>
    <w:lvl w:ilvl="7">
      <w:start w:val="1"/>
      <w:numFmt w:val="bullet"/>
      <w:lvlText w:val="–"/>
      <w:lvlJc w:val="left"/>
      <w:pPr>
        <w:tabs>
          <w:tab w:val="num" w:pos="0"/>
        </w:tabs>
        <w:ind w:left="2880" w:hanging="360"/>
      </w:pPr>
      <w:rPr>
        <w:rFonts w:ascii="Arial" w:hAnsi="Arial" w:cs="Arial" w:hint="default"/>
        <w:color w:val="auto"/>
      </w:rPr>
    </w:lvl>
    <w:lvl w:ilvl="8">
      <w:start w:val="1"/>
      <w:numFmt w:val="bullet"/>
      <w:lvlText w:val="–"/>
      <w:lvlJc w:val="left"/>
      <w:pPr>
        <w:tabs>
          <w:tab w:val="num" w:pos="0"/>
        </w:tabs>
        <w:ind w:left="3240" w:hanging="360"/>
      </w:pPr>
      <w:rPr>
        <w:rFonts w:ascii="Arial" w:hAnsi="Arial" w:cs="Arial" w:hint="default"/>
        <w:color w:val="auto"/>
      </w:rPr>
    </w:lvl>
  </w:abstractNum>
  <w:abstractNum w:abstractNumId="9" w15:restartNumberingAfterBreak="0">
    <w:nsid w:val="49E17D42"/>
    <w:multiLevelType w:val="multilevel"/>
    <w:tmpl w:val="403460A8"/>
    <w:lvl w:ilvl="0">
      <w:start w:val="1"/>
      <w:numFmt w:val="lowerLetter"/>
      <w:lvlText w:val="%1)"/>
      <w:lvlJc w:val="left"/>
      <w:pPr>
        <w:tabs>
          <w:tab w:val="num" w:pos="0"/>
        </w:tabs>
        <w:ind w:left="1429" w:hanging="360"/>
      </w:pPr>
    </w:lvl>
    <w:lvl w:ilvl="1">
      <w:start w:val="1"/>
      <w:numFmt w:val="lowerLetter"/>
      <w:lvlText w:val="%2."/>
      <w:lvlJc w:val="left"/>
      <w:pPr>
        <w:tabs>
          <w:tab w:val="num" w:pos="0"/>
        </w:tabs>
        <w:ind w:left="2149" w:hanging="360"/>
      </w:pPr>
    </w:lvl>
    <w:lvl w:ilvl="2">
      <w:start w:val="1"/>
      <w:numFmt w:val="lowerRoman"/>
      <w:lvlText w:val="%3."/>
      <w:lvlJc w:val="right"/>
      <w:pPr>
        <w:tabs>
          <w:tab w:val="num" w:pos="0"/>
        </w:tabs>
        <w:ind w:left="2869" w:hanging="180"/>
      </w:pPr>
    </w:lvl>
    <w:lvl w:ilvl="3">
      <w:start w:val="1"/>
      <w:numFmt w:val="decimal"/>
      <w:lvlText w:val="%4."/>
      <w:lvlJc w:val="left"/>
      <w:pPr>
        <w:tabs>
          <w:tab w:val="num" w:pos="0"/>
        </w:tabs>
        <w:ind w:left="3589" w:hanging="360"/>
      </w:pPr>
    </w:lvl>
    <w:lvl w:ilvl="4">
      <w:start w:val="1"/>
      <w:numFmt w:val="lowerLetter"/>
      <w:lvlText w:val="%5."/>
      <w:lvlJc w:val="left"/>
      <w:pPr>
        <w:tabs>
          <w:tab w:val="num" w:pos="0"/>
        </w:tabs>
        <w:ind w:left="4309" w:hanging="360"/>
      </w:pPr>
    </w:lvl>
    <w:lvl w:ilvl="5">
      <w:start w:val="1"/>
      <w:numFmt w:val="lowerRoman"/>
      <w:lvlText w:val="%6."/>
      <w:lvlJc w:val="right"/>
      <w:pPr>
        <w:tabs>
          <w:tab w:val="num" w:pos="0"/>
        </w:tabs>
        <w:ind w:left="5029" w:hanging="180"/>
      </w:pPr>
    </w:lvl>
    <w:lvl w:ilvl="6">
      <w:start w:val="1"/>
      <w:numFmt w:val="decimal"/>
      <w:lvlText w:val="%7."/>
      <w:lvlJc w:val="left"/>
      <w:pPr>
        <w:tabs>
          <w:tab w:val="num" w:pos="0"/>
        </w:tabs>
        <w:ind w:left="5749" w:hanging="360"/>
      </w:pPr>
    </w:lvl>
    <w:lvl w:ilvl="7">
      <w:start w:val="1"/>
      <w:numFmt w:val="lowerLetter"/>
      <w:lvlText w:val="%8."/>
      <w:lvlJc w:val="left"/>
      <w:pPr>
        <w:tabs>
          <w:tab w:val="num" w:pos="0"/>
        </w:tabs>
        <w:ind w:left="6469" w:hanging="360"/>
      </w:pPr>
    </w:lvl>
    <w:lvl w:ilvl="8">
      <w:start w:val="1"/>
      <w:numFmt w:val="lowerRoman"/>
      <w:lvlText w:val="%9."/>
      <w:lvlJc w:val="right"/>
      <w:pPr>
        <w:tabs>
          <w:tab w:val="num" w:pos="0"/>
        </w:tabs>
        <w:ind w:left="7189" w:hanging="180"/>
      </w:pPr>
    </w:lvl>
  </w:abstractNum>
  <w:abstractNum w:abstractNumId="10" w15:restartNumberingAfterBreak="0">
    <w:nsid w:val="52264BC4"/>
    <w:multiLevelType w:val="multilevel"/>
    <w:tmpl w:val="C31EF118"/>
    <w:lvl w:ilvl="0">
      <w:start w:val="1"/>
      <w:numFmt w:val="bullet"/>
      <w:pStyle w:val="NumberedBulletL1"/>
      <w:lvlText w:val="•"/>
      <w:lvlJc w:val="left"/>
      <w:pPr>
        <w:tabs>
          <w:tab w:val="num" w:pos="0"/>
        </w:tabs>
        <w:ind w:left="360" w:hanging="360"/>
      </w:pPr>
      <w:rPr>
        <w:rFonts w:ascii="Arial" w:hAnsi="Arial" w:cs="Arial" w:hint="default"/>
        <w:color w:val="auto"/>
      </w:rPr>
    </w:lvl>
    <w:lvl w:ilvl="1">
      <w:start w:val="1"/>
      <w:numFmt w:val="bullet"/>
      <w:lvlText w:val="–"/>
      <w:lvlJc w:val="left"/>
      <w:pPr>
        <w:tabs>
          <w:tab w:val="num" w:pos="0"/>
        </w:tabs>
        <w:ind w:left="720" w:hanging="360"/>
      </w:pPr>
      <w:rPr>
        <w:rFonts w:ascii="Arial" w:hAnsi="Arial" w:cs="Arial" w:hint="default"/>
        <w:color w:val="auto"/>
      </w:rPr>
    </w:lvl>
    <w:lvl w:ilvl="2">
      <w:start w:val="1"/>
      <w:numFmt w:val="bullet"/>
      <w:lvlText w:val="–"/>
      <w:lvlJc w:val="left"/>
      <w:pPr>
        <w:tabs>
          <w:tab w:val="num" w:pos="0"/>
        </w:tabs>
        <w:ind w:left="1080" w:hanging="360"/>
      </w:pPr>
      <w:rPr>
        <w:rFonts w:ascii="Arial" w:hAnsi="Arial" w:cs="Arial" w:hint="default"/>
        <w:color w:val="auto"/>
      </w:rPr>
    </w:lvl>
    <w:lvl w:ilvl="3">
      <w:start w:val="1"/>
      <w:numFmt w:val="bullet"/>
      <w:lvlText w:val="–"/>
      <w:lvlJc w:val="left"/>
      <w:pPr>
        <w:tabs>
          <w:tab w:val="num" w:pos="0"/>
        </w:tabs>
        <w:ind w:left="1440" w:hanging="360"/>
      </w:pPr>
      <w:rPr>
        <w:rFonts w:ascii="Arial" w:hAnsi="Arial" w:cs="Arial" w:hint="default"/>
        <w:color w:val="auto"/>
      </w:rPr>
    </w:lvl>
    <w:lvl w:ilvl="4">
      <w:start w:val="1"/>
      <w:numFmt w:val="bullet"/>
      <w:lvlText w:val="–"/>
      <w:lvlJc w:val="left"/>
      <w:pPr>
        <w:tabs>
          <w:tab w:val="num" w:pos="0"/>
        </w:tabs>
        <w:ind w:left="1800" w:hanging="360"/>
      </w:pPr>
      <w:rPr>
        <w:rFonts w:ascii="Arial" w:hAnsi="Arial" w:cs="Arial" w:hint="default"/>
        <w:color w:val="auto"/>
      </w:rPr>
    </w:lvl>
    <w:lvl w:ilvl="5">
      <w:start w:val="1"/>
      <w:numFmt w:val="bullet"/>
      <w:lvlText w:val="–"/>
      <w:lvlJc w:val="left"/>
      <w:pPr>
        <w:tabs>
          <w:tab w:val="num" w:pos="0"/>
        </w:tabs>
        <w:ind w:left="2160" w:hanging="360"/>
      </w:pPr>
      <w:rPr>
        <w:rFonts w:ascii="Arial" w:hAnsi="Arial" w:cs="Arial" w:hint="default"/>
        <w:color w:val="auto"/>
      </w:rPr>
    </w:lvl>
    <w:lvl w:ilvl="6">
      <w:start w:val="1"/>
      <w:numFmt w:val="bullet"/>
      <w:lvlText w:val="–"/>
      <w:lvlJc w:val="left"/>
      <w:pPr>
        <w:tabs>
          <w:tab w:val="num" w:pos="0"/>
        </w:tabs>
        <w:ind w:left="2520" w:hanging="360"/>
      </w:pPr>
      <w:rPr>
        <w:rFonts w:ascii="Arial" w:hAnsi="Arial" w:cs="Arial" w:hint="default"/>
        <w:color w:val="auto"/>
      </w:rPr>
    </w:lvl>
    <w:lvl w:ilvl="7">
      <w:start w:val="1"/>
      <w:numFmt w:val="bullet"/>
      <w:lvlText w:val="–"/>
      <w:lvlJc w:val="left"/>
      <w:pPr>
        <w:tabs>
          <w:tab w:val="num" w:pos="0"/>
        </w:tabs>
        <w:ind w:left="2880" w:hanging="360"/>
      </w:pPr>
      <w:rPr>
        <w:rFonts w:ascii="Arial" w:hAnsi="Arial" w:cs="Arial" w:hint="default"/>
        <w:color w:val="auto"/>
      </w:rPr>
    </w:lvl>
    <w:lvl w:ilvl="8">
      <w:start w:val="1"/>
      <w:numFmt w:val="bullet"/>
      <w:lvlText w:val="–"/>
      <w:lvlJc w:val="left"/>
      <w:pPr>
        <w:tabs>
          <w:tab w:val="num" w:pos="0"/>
        </w:tabs>
        <w:ind w:left="3240" w:hanging="360"/>
      </w:pPr>
      <w:rPr>
        <w:rFonts w:ascii="Arial" w:hAnsi="Arial" w:cs="Arial" w:hint="default"/>
        <w:color w:val="auto"/>
      </w:rPr>
    </w:lvl>
  </w:abstractNum>
  <w:abstractNum w:abstractNumId="11" w15:restartNumberingAfterBreak="0">
    <w:nsid w:val="54951D53"/>
    <w:multiLevelType w:val="multilevel"/>
    <w:tmpl w:val="720E230C"/>
    <w:lvl w:ilvl="0">
      <w:start w:val="1"/>
      <w:numFmt w:val="lowerLetter"/>
      <w:lvlText w:val="%1)"/>
      <w:lvlJc w:val="left"/>
      <w:pPr>
        <w:tabs>
          <w:tab w:val="num" w:pos="0"/>
        </w:tabs>
        <w:ind w:left="1429" w:hanging="360"/>
      </w:pPr>
    </w:lvl>
    <w:lvl w:ilvl="1">
      <w:start w:val="1"/>
      <w:numFmt w:val="lowerLetter"/>
      <w:lvlText w:val="%2."/>
      <w:lvlJc w:val="left"/>
      <w:pPr>
        <w:tabs>
          <w:tab w:val="num" w:pos="0"/>
        </w:tabs>
        <w:ind w:left="2149" w:hanging="360"/>
      </w:pPr>
    </w:lvl>
    <w:lvl w:ilvl="2">
      <w:start w:val="1"/>
      <w:numFmt w:val="lowerRoman"/>
      <w:lvlText w:val="%3."/>
      <w:lvlJc w:val="right"/>
      <w:pPr>
        <w:tabs>
          <w:tab w:val="num" w:pos="0"/>
        </w:tabs>
        <w:ind w:left="2869" w:hanging="180"/>
      </w:pPr>
    </w:lvl>
    <w:lvl w:ilvl="3">
      <w:start w:val="1"/>
      <w:numFmt w:val="decimal"/>
      <w:lvlText w:val="%4."/>
      <w:lvlJc w:val="left"/>
      <w:pPr>
        <w:tabs>
          <w:tab w:val="num" w:pos="0"/>
        </w:tabs>
        <w:ind w:left="3589" w:hanging="360"/>
      </w:pPr>
    </w:lvl>
    <w:lvl w:ilvl="4">
      <w:start w:val="1"/>
      <w:numFmt w:val="lowerLetter"/>
      <w:lvlText w:val="%5."/>
      <w:lvlJc w:val="left"/>
      <w:pPr>
        <w:tabs>
          <w:tab w:val="num" w:pos="0"/>
        </w:tabs>
        <w:ind w:left="4309" w:hanging="360"/>
      </w:pPr>
    </w:lvl>
    <w:lvl w:ilvl="5">
      <w:start w:val="1"/>
      <w:numFmt w:val="lowerRoman"/>
      <w:lvlText w:val="%6."/>
      <w:lvlJc w:val="right"/>
      <w:pPr>
        <w:tabs>
          <w:tab w:val="num" w:pos="0"/>
        </w:tabs>
        <w:ind w:left="5029" w:hanging="180"/>
      </w:pPr>
    </w:lvl>
    <w:lvl w:ilvl="6">
      <w:start w:val="1"/>
      <w:numFmt w:val="decimal"/>
      <w:lvlText w:val="%7."/>
      <w:lvlJc w:val="left"/>
      <w:pPr>
        <w:tabs>
          <w:tab w:val="num" w:pos="0"/>
        </w:tabs>
        <w:ind w:left="5749" w:hanging="360"/>
      </w:pPr>
    </w:lvl>
    <w:lvl w:ilvl="7">
      <w:start w:val="1"/>
      <w:numFmt w:val="lowerLetter"/>
      <w:lvlText w:val="%8."/>
      <w:lvlJc w:val="left"/>
      <w:pPr>
        <w:tabs>
          <w:tab w:val="num" w:pos="0"/>
        </w:tabs>
        <w:ind w:left="6469" w:hanging="360"/>
      </w:pPr>
    </w:lvl>
    <w:lvl w:ilvl="8">
      <w:start w:val="1"/>
      <w:numFmt w:val="lowerRoman"/>
      <w:lvlText w:val="%9."/>
      <w:lvlJc w:val="right"/>
      <w:pPr>
        <w:tabs>
          <w:tab w:val="num" w:pos="0"/>
        </w:tabs>
        <w:ind w:left="7189" w:hanging="180"/>
      </w:pPr>
    </w:lvl>
  </w:abstractNum>
  <w:abstractNum w:abstractNumId="12" w15:restartNumberingAfterBreak="0">
    <w:nsid w:val="58DD5C00"/>
    <w:multiLevelType w:val="multilevel"/>
    <w:tmpl w:val="745C493E"/>
    <w:lvl w:ilvl="0">
      <w:start w:val="1"/>
      <w:numFmt w:val="lowerLetter"/>
      <w:lvlText w:val="%1)"/>
      <w:lvlJc w:val="left"/>
      <w:pPr>
        <w:tabs>
          <w:tab w:val="num" w:pos="0"/>
        </w:tabs>
        <w:ind w:left="1429" w:hanging="360"/>
      </w:pPr>
    </w:lvl>
    <w:lvl w:ilvl="1">
      <w:start w:val="1"/>
      <w:numFmt w:val="lowerLetter"/>
      <w:lvlText w:val="%2."/>
      <w:lvlJc w:val="left"/>
      <w:pPr>
        <w:tabs>
          <w:tab w:val="num" w:pos="0"/>
        </w:tabs>
        <w:ind w:left="2149" w:hanging="360"/>
      </w:pPr>
    </w:lvl>
    <w:lvl w:ilvl="2">
      <w:start w:val="1"/>
      <w:numFmt w:val="lowerRoman"/>
      <w:lvlText w:val="%3."/>
      <w:lvlJc w:val="right"/>
      <w:pPr>
        <w:tabs>
          <w:tab w:val="num" w:pos="0"/>
        </w:tabs>
        <w:ind w:left="2869" w:hanging="180"/>
      </w:pPr>
    </w:lvl>
    <w:lvl w:ilvl="3">
      <w:start w:val="1"/>
      <w:numFmt w:val="decimal"/>
      <w:lvlText w:val="%4."/>
      <w:lvlJc w:val="left"/>
      <w:pPr>
        <w:tabs>
          <w:tab w:val="num" w:pos="0"/>
        </w:tabs>
        <w:ind w:left="3589" w:hanging="360"/>
      </w:pPr>
    </w:lvl>
    <w:lvl w:ilvl="4">
      <w:start w:val="1"/>
      <w:numFmt w:val="lowerLetter"/>
      <w:lvlText w:val="%5."/>
      <w:lvlJc w:val="left"/>
      <w:pPr>
        <w:tabs>
          <w:tab w:val="num" w:pos="0"/>
        </w:tabs>
        <w:ind w:left="4309" w:hanging="360"/>
      </w:pPr>
    </w:lvl>
    <w:lvl w:ilvl="5">
      <w:start w:val="1"/>
      <w:numFmt w:val="lowerRoman"/>
      <w:lvlText w:val="%6."/>
      <w:lvlJc w:val="right"/>
      <w:pPr>
        <w:tabs>
          <w:tab w:val="num" w:pos="0"/>
        </w:tabs>
        <w:ind w:left="5029" w:hanging="180"/>
      </w:pPr>
    </w:lvl>
    <w:lvl w:ilvl="6">
      <w:start w:val="1"/>
      <w:numFmt w:val="decimal"/>
      <w:lvlText w:val="%7."/>
      <w:lvlJc w:val="left"/>
      <w:pPr>
        <w:tabs>
          <w:tab w:val="num" w:pos="0"/>
        </w:tabs>
        <w:ind w:left="5749" w:hanging="360"/>
      </w:pPr>
    </w:lvl>
    <w:lvl w:ilvl="7">
      <w:start w:val="1"/>
      <w:numFmt w:val="lowerLetter"/>
      <w:lvlText w:val="%8."/>
      <w:lvlJc w:val="left"/>
      <w:pPr>
        <w:tabs>
          <w:tab w:val="num" w:pos="0"/>
        </w:tabs>
        <w:ind w:left="6469" w:hanging="360"/>
      </w:pPr>
    </w:lvl>
    <w:lvl w:ilvl="8">
      <w:start w:val="1"/>
      <w:numFmt w:val="lowerRoman"/>
      <w:lvlText w:val="%9."/>
      <w:lvlJc w:val="right"/>
      <w:pPr>
        <w:tabs>
          <w:tab w:val="num" w:pos="0"/>
        </w:tabs>
        <w:ind w:left="7189" w:hanging="180"/>
      </w:pPr>
    </w:lvl>
  </w:abstractNum>
  <w:abstractNum w:abstractNumId="13" w15:restartNumberingAfterBreak="0">
    <w:nsid w:val="5CCC59E1"/>
    <w:multiLevelType w:val="multilevel"/>
    <w:tmpl w:val="BE3801E6"/>
    <w:lvl w:ilvl="0">
      <w:start w:val="1"/>
      <w:numFmt w:val="lowerLetter"/>
      <w:lvlText w:val="%1)"/>
      <w:lvlJc w:val="left"/>
      <w:pPr>
        <w:tabs>
          <w:tab w:val="num" w:pos="0"/>
        </w:tabs>
        <w:ind w:left="1429" w:hanging="360"/>
      </w:pPr>
    </w:lvl>
    <w:lvl w:ilvl="1">
      <w:start w:val="1"/>
      <w:numFmt w:val="lowerLetter"/>
      <w:lvlText w:val="%2."/>
      <w:lvlJc w:val="left"/>
      <w:pPr>
        <w:tabs>
          <w:tab w:val="num" w:pos="0"/>
        </w:tabs>
        <w:ind w:left="2149" w:hanging="360"/>
      </w:pPr>
    </w:lvl>
    <w:lvl w:ilvl="2">
      <w:start w:val="1"/>
      <w:numFmt w:val="lowerRoman"/>
      <w:lvlText w:val="%3."/>
      <w:lvlJc w:val="right"/>
      <w:pPr>
        <w:tabs>
          <w:tab w:val="num" w:pos="0"/>
        </w:tabs>
        <w:ind w:left="2869" w:hanging="180"/>
      </w:pPr>
    </w:lvl>
    <w:lvl w:ilvl="3">
      <w:start w:val="1"/>
      <w:numFmt w:val="decimal"/>
      <w:lvlText w:val="%4."/>
      <w:lvlJc w:val="left"/>
      <w:pPr>
        <w:tabs>
          <w:tab w:val="num" w:pos="0"/>
        </w:tabs>
        <w:ind w:left="3589" w:hanging="360"/>
      </w:pPr>
    </w:lvl>
    <w:lvl w:ilvl="4">
      <w:start w:val="1"/>
      <w:numFmt w:val="lowerLetter"/>
      <w:lvlText w:val="%5."/>
      <w:lvlJc w:val="left"/>
      <w:pPr>
        <w:tabs>
          <w:tab w:val="num" w:pos="0"/>
        </w:tabs>
        <w:ind w:left="4309" w:hanging="360"/>
      </w:pPr>
    </w:lvl>
    <w:lvl w:ilvl="5">
      <w:start w:val="1"/>
      <w:numFmt w:val="lowerRoman"/>
      <w:lvlText w:val="%6."/>
      <w:lvlJc w:val="right"/>
      <w:pPr>
        <w:tabs>
          <w:tab w:val="num" w:pos="0"/>
        </w:tabs>
        <w:ind w:left="5029" w:hanging="180"/>
      </w:pPr>
    </w:lvl>
    <w:lvl w:ilvl="6">
      <w:start w:val="1"/>
      <w:numFmt w:val="decimal"/>
      <w:lvlText w:val="%7."/>
      <w:lvlJc w:val="left"/>
      <w:pPr>
        <w:tabs>
          <w:tab w:val="num" w:pos="0"/>
        </w:tabs>
        <w:ind w:left="5749" w:hanging="360"/>
      </w:pPr>
    </w:lvl>
    <w:lvl w:ilvl="7">
      <w:start w:val="1"/>
      <w:numFmt w:val="lowerLetter"/>
      <w:lvlText w:val="%8."/>
      <w:lvlJc w:val="left"/>
      <w:pPr>
        <w:tabs>
          <w:tab w:val="num" w:pos="0"/>
        </w:tabs>
        <w:ind w:left="6469" w:hanging="360"/>
      </w:pPr>
    </w:lvl>
    <w:lvl w:ilvl="8">
      <w:start w:val="1"/>
      <w:numFmt w:val="lowerRoman"/>
      <w:lvlText w:val="%9."/>
      <w:lvlJc w:val="right"/>
      <w:pPr>
        <w:tabs>
          <w:tab w:val="num" w:pos="0"/>
        </w:tabs>
        <w:ind w:left="7189" w:hanging="180"/>
      </w:pPr>
    </w:lvl>
  </w:abstractNum>
  <w:abstractNum w:abstractNumId="14" w15:restartNumberingAfterBreak="0">
    <w:nsid w:val="635E6056"/>
    <w:multiLevelType w:val="multilevel"/>
    <w:tmpl w:val="B21EDD5E"/>
    <w:styleLink w:val="Headings"/>
    <w:lvl w:ilvl="0">
      <w:start w:val="1"/>
      <w:numFmt w:val="decimal"/>
      <w:lvlText w:val="%1"/>
      <w:lvlJc w:val="left"/>
      <w:pPr>
        <w:ind w:left="360" w:hanging="360"/>
      </w:pPr>
    </w:lvl>
    <w:lvl w:ilvl="1">
      <w:start w:val="1"/>
      <w:numFmt w:val="decimal"/>
      <w:lvlText w:val="%1.%2"/>
      <w:lvlJc w:val="left"/>
      <w:pPr>
        <w:ind w:left="540" w:hanging="360"/>
      </w:pPr>
    </w:lvl>
    <w:lvl w:ilvl="2">
      <w:start w:val="1"/>
      <w:numFmt w:val="decimal"/>
      <w:lvlText w:val="%1.%2.%3"/>
      <w:lvlJc w:val="left"/>
      <w:pPr>
        <w:ind w:left="1080" w:hanging="360"/>
      </w:pPr>
    </w:lvl>
    <w:lvl w:ilvl="3">
      <w:start w:val="1"/>
      <w:numFmt w:val="decimal"/>
      <w:lvlText w:val="%1.%2.%3.%4"/>
      <w:lvlJc w:val="left"/>
      <w:pPr>
        <w:ind w:left="1440" w:hanging="360"/>
      </w:pPr>
    </w:lvl>
    <w:lvl w:ilvl="4">
      <w:start w:val="1"/>
      <w:numFmt w:val="decimal"/>
      <w:lvlText w:val="%1.%2.%3.%4.%5"/>
      <w:lvlJc w:val="left"/>
      <w:pPr>
        <w:ind w:left="1800" w:hanging="360"/>
      </w:pPr>
    </w:lvl>
    <w:lvl w:ilvl="5">
      <w:start w:val="1"/>
      <w:numFmt w:val="none"/>
      <w:lvlText w:val=""/>
      <w:lvlJc w:val="left"/>
      <w:pPr>
        <w:ind w:left="2160" w:hanging="360"/>
      </w:pPr>
    </w:lvl>
    <w:lvl w:ilvl="6">
      <w:start w:val="1"/>
      <w:numFmt w:val="none"/>
      <w:lvlText w:val=""/>
      <w:lvlJc w:val="left"/>
      <w:pPr>
        <w:ind w:left="2520" w:hanging="360"/>
      </w:pPr>
    </w:lvl>
    <w:lvl w:ilvl="7">
      <w:start w:val="1"/>
      <w:numFmt w:val="none"/>
      <w:lvlText w:val=""/>
      <w:lvlJc w:val="left"/>
      <w:pPr>
        <w:ind w:left="2880" w:hanging="360"/>
      </w:pPr>
    </w:lvl>
    <w:lvl w:ilvl="8">
      <w:start w:val="1"/>
      <w:numFmt w:val="none"/>
      <w:lvlText w:val=""/>
      <w:lvlJc w:val="left"/>
      <w:pPr>
        <w:ind w:left="3240" w:hanging="360"/>
      </w:pPr>
    </w:lvl>
  </w:abstractNum>
  <w:abstractNum w:abstractNumId="15" w15:restartNumberingAfterBreak="0">
    <w:nsid w:val="686B1493"/>
    <w:multiLevelType w:val="multilevel"/>
    <w:tmpl w:val="7D5238E4"/>
    <w:lvl w:ilvl="0">
      <w:start w:val="1"/>
      <w:numFmt w:val="lowerLetter"/>
      <w:lvlText w:val="%1)"/>
      <w:lvlJc w:val="left"/>
      <w:pPr>
        <w:tabs>
          <w:tab w:val="num" w:pos="0"/>
        </w:tabs>
        <w:ind w:left="1429" w:hanging="360"/>
      </w:pPr>
    </w:lvl>
    <w:lvl w:ilvl="1">
      <w:start w:val="1"/>
      <w:numFmt w:val="lowerLetter"/>
      <w:lvlText w:val="%2."/>
      <w:lvlJc w:val="left"/>
      <w:pPr>
        <w:tabs>
          <w:tab w:val="num" w:pos="0"/>
        </w:tabs>
        <w:ind w:left="2149" w:hanging="360"/>
      </w:pPr>
    </w:lvl>
    <w:lvl w:ilvl="2">
      <w:start w:val="1"/>
      <w:numFmt w:val="lowerRoman"/>
      <w:lvlText w:val="%3."/>
      <w:lvlJc w:val="right"/>
      <w:pPr>
        <w:tabs>
          <w:tab w:val="num" w:pos="0"/>
        </w:tabs>
        <w:ind w:left="2869" w:hanging="180"/>
      </w:pPr>
    </w:lvl>
    <w:lvl w:ilvl="3">
      <w:start w:val="1"/>
      <w:numFmt w:val="decimal"/>
      <w:lvlText w:val="%4."/>
      <w:lvlJc w:val="left"/>
      <w:pPr>
        <w:tabs>
          <w:tab w:val="num" w:pos="0"/>
        </w:tabs>
        <w:ind w:left="3589" w:hanging="360"/>
      </w:pPr>
    </w:lvl>
    <w:lvl w:ilvl="4">
      <w:start w:val="1"/>
      <w:numFmt w:val="lowerLetter"/>
      <w:lvlText w:val="%5."/>
      <w:lvlJc w:val="left"/>
      <w:pPr>
        <w:tabs>
          <w:tab w:val="num" w:pos="0"/>
        </w:tabs>
        <w:ind w:left="4309" w:hanging="360"/>
      </w:pPr>
    </w:lvl>
    <w:lvl w:ilvl="5">
      <w:start w:val="1"/>
      <w:numFmt w:val="lowerRoman"/>
      <w:lvlText w:val="%6."/>
      <w:lvlJc w:val="right"/>
      <w:pPr>
        <w:tabs>
          <w:tab w:val="num" w:pos="0"/>
        </w:tabs>
        <w:ind w:left="5029" w:hanging="180"/>
      </w:pPr>
    </w:lvl>
    <w:lvl w:ilvl="6">
      <w:start w:val="1"/>
      <w:numFmt w:val="decimal"/>
      <w:lvlText w:val="%7."/>
      <w:lvlJc w:val="left"/>
      <w:pPr>
        <w:tabs>
          <w:tab w:val="num" w:pos="0"/>
        </w:tabs>
        <w:ind w:left="5749" w:hanging="360"/>
      </w:pPr>
    </w:lvl>
    <w:lvl w:ilvl="7">
      <w:start w:val="1"/>
      <w:numFmt w:val="lowerLetter"/>
      <w:lvlText w:val="%8."/>
      <w:lvlJc w:val="left"/>
      <w:pPr>
        <w:tabs>
          <w:tab w:val="num" w:pos="0"/>
        </w:tabs>
        <w:ind w:left="6469" w:hanging="360"/>
      </w:pPr>
    </w:lvl>
    <w:lvl w:ilvl="8">
      <w:start w:val="1"/>
      <w:numFmt w:val="lowerRoman"/>
      <w:lvlText w:val="%9."/>
      <w:lvlJc w:val="right"/>
      <w:pPr>
        <w:tabs>
          <w:tab w:val="num" w:pos="0"/>
        </w:tabs>
        <w:ind w:left="7189" w:hanging="180"/>
      </w:pPr>
    </w:lvl>
  </w:abstractNum>
  <w:abstractNum w:abstractNumId="16" w15:restartNumberingAfterBreak="0">
    <w:nsid w:val="68A26A93"/>
    <w:multiLevelType w:val="multilevel"/>
    <w:tmpl w:val="BE3801E6"/>
    <w:lvl w:ilvl="0">
      <w:start w:val="1"/>
      <w:numFmt w:val="lowerLetter"/>
      <w:lvlText w:val="%1)"/>
      <w:lvlJc w:val="left"/>
      <w:pPr>
        <w:tabs>
          <w:tab w:val="num" w:pos="0"/>
        </w:tabs>
        <w:ind w:left="1429" w:hanging="360"/>
      </w:pPr>
    </w:lvl>
    <w:lvl w:ilvl="1">
      <w:start w:val="1"/>
      <w:numFmt w:val="lowerLetter"/>
      <w:lvlText w:val="%2."/>
      <w:lvlJc w:val="left"/>
      <w:pPr>
        <w:tabs>
          <w:tab w:val="num" w:pos="0"/>
        </w:tabs>
        <w:ind w:left="2149" w:hanging="360"/>
      </w:pPr>
    </w:lvl>
    <w:lvl w:ilvl="2">
      <w:start w:val="1"/>
      <w:numFmt w:val="lowerRoman"/>
      <w:lvlText w:val="%3."/>
      <w:lvlJc w:val="right"/>
      <w:pPr>
        <w:tabs>
          <w:tab w:val="num" w:pos="0"/>
        </w:tabs>
        <w:ind w:left="2869" w:hanging="180"/>
      </w:pPr>
    </w:lvl>
    <w:lvl w:ilvl="3">
      <w:start w:val="1"/>
      <w:numFmt w:val="decimal"/>
      <w:lvlText w:val="%4."/>
      <w:lvlJc w:val="left"/>
      <w:pPr>
        <w:tabs>
          <w:tab w:val="num" w:pos="0"/>
        </w:tabs>
        <w:ind w:left="3589" w:hanging="360"/>
      </w:pPr>
    </w:lvl>
    <w:lvl w:ilvl="4">
      <w:start w:val="1"/>
      <w:numFmt w:val="lowerLetter"/>
      <w:lvlText w:val="%5."/>
      <w:lvlJc w:val="left"/>
      <w:pPr>
        <w:tabs>
          <w:tab w:val="num" w:pos="0"/>
        </w:tabs>
        <w:ind w:left="4309" w:hanging="360"/>
      </w:pPr>
    </w:lvl>
    <w:lvl w:ilvl="5">
      <w:start w:val="1"/>
      <w:numFmt w:val="lowerRoman"/>
      <w:lvlText w:val="%6."/>
      <w:lvlJc w:val="right"/>
      <w:pPr>
        <w:tabs>
          <w:tab w:val="num" w:pos="0"/>
        </w:tabs>
        <w:ind w:left="5029" w:hanging="180"/>
      </w:pPr>
    </w:lvl>
    <w:lvl w:ilvl="6">
      <w:start w:val="1"/>
      <w:numFmt w:val="decimal"/>
      <w:lvlText w:val="%7."/>
      <w:lvlJc w:val="left"/>
      <w:pPr>
        <w:tabs>
          <w:tab w:val="num" w:pos="0"/>
        </w:tabs>
        <w:ind w:left="5749" w:hanging="360"/>
      </w:pPr>
    </w:lvl>
    <w:lvl w:ilvl="7">
      <w:start w:val="1"/>
      <w:numFmt w:val="lowerLetter"/>
      <w:lvlText w:val="%8."/>
      <w:lvlJc w:val="left"/>
      <w:pPr>
        <w:tabs>
          <w:tab w:val="num" w:pos="0"/>
        </w:tabs>
        <w:ind w:left="6469" w:hanging="360"/>
      </w:pPr>
    </w:lvl>
    <w:lvl w:ilvl="8">
      <w:start w:val="1"/>
      <w:numFmt w:val="lowerRoman"/>
      <w:lvlText w:val="%9."/>
      <w:lvlJc w:val="right"/>
      <w:pPr>
        <w:tabs>
          <w:tab w:val="num" w:pos="0"/>
        </w:tabs>
        <w:ind w:left="7189" w:hanging="180"/>
      </w:pPr>
    </w:lvl>
  </w:abstractNum>
  <w:abstractNum w:abstractNumId="17" w15:restartNumberingAfterBreak="0">
    <w:nsid w:val="68FF5560"/>
    <w:multiLevelType w:val="hybridMultilevel"/>
    <w:tmpl w:val="07EC2784"/>
    <w:lvl w:ilvl="0" w:tplc="0C090017">
      <w:start w:val="1"/>
      <w:numFmt w:val="lowerLetter"/>
      <w:lvlText w:val="%1)"/>
      <w:lvlJc w:val="left"/>
      <w:pPr>
        <w:ind w:left="1429" w:hanging="360"/>
      </w:pPr>
    </w:lvl>
    <w:lvl w:ilvl="1" w:tplc="0C090019" w:tentative="1">
      <w:start w:val="1"/>
      <w:numFmt w:val="lowerLetter"/>
      <w:lvlText w:val="%2."/>
      <w:lvlJc w:val="left"/>
      <w:pPr>
        <w:ind w:left="2149" w:hanging="360"/>
      </w:pPr>
    </w:lvl>
    <w:lvl w:ilvl="2" w:tplc="0C09001B" w:tentative="1">
      <w:start w:val="1"/>
      <w:numFmt w:val="lowerRoman"/>
      <w:lvlText w:val="%3."/>
      <w:lvlJc w:val="right"/>
      <w:pPr>
        <w:ind w:left="2869" w:hanging="180"/>
      </w:pPr>
    </w:lvl>
    <w:lvl w:ilvl="3" w:tplc="0C09000F" w:tentative="1">
      <w:start w:val="1"/>
      <w:numFmt w:val="decimal"/>
      <w:lvlText w:val="%4."/>
      <w:lvlJc w:val="left"/>
      <w:pPr>
        <w:ind w:left="3589" w:hanging="360"/>
      </w:pPr>
    </w:lvl>
    <w:lvl w:ilvl="4" w:tplc="0C090019" w:tentative="1">
      <w:start w:val="1"/>
      <w:numFmt w:val="lowerLetter"/>
      <w:lvlText w:val="%5."/>
      <w:lvlJc w:val="left"/>
      <w:pPr>
        <w:ind w:left="4309" w:hanging="360"/>
      </w:pPr>
    </w:lvl>
    <w:lvl w:ilvl="5" w:tplc="0C09001B" w:tentative="1">
      <w:start w:val="1"/>
      <w:numFmt w:val="lowerRoman"/>
      <w:lvlText w:val="%6."/>
      <w:lvlJc w:val="right"/>
      <w:pPr>
        <w:ind w:left="5029" w:hanging="180"/>
      </w:pPr>
    </w:lvl>
    <w:lvl w:ilvl="6" w:tplc="0C09000F" w:tentative="1">
      <w:start w:val="1"/>
      <w:numFmt w:val="decimal"/>
      <w:lvlText w:val="%7."/>
      <w:lvlJc w:val="left"/>
      <w:pPr>
        <w:ind w:left="5749" w:hanging="360"/>
      </w:pPr>
    </w:lvl>
    <w:lvl w:ilvl="7" w:tplc="0C090019" w:tentative="1">
      <w:start w:val="1"/>
      <w:numFmt w:val="lowerLetter"/>
      <w:lvlText w:val="%8."/>
      <w:lvlJc w:val="left"/>
      <w:pPr>
        <w:ind w:left="6469" w:hanging="360"/>
      </w:pPr>
    </w:lvl>
    <w:lvl w:ilvl="8" w:tplc="0C09001B" w:tentative="1">
      <w:start w:val="1"/>
      <w:numFmt w:val="lowerRoman"/>
      <w:lvlText w:val="%9."/>
      <w:lvlJc w:val="right"/>
      <w:pPr>
        <w:ind w:left="7189" w:hanging="180"/>
      </w:pPr>
    </w:lvl>
  </w:abstractNum>
  <w:abstractNum w:abstractNumId="18" w15:restartNumberingAfterBreak="0">
    <w:nsid w:val="70D278C6"/>
    <w:multiLevelType w:val="hybridMultilevel"/>
    <w:tmpl w:val="1F24FDC4"/>
    <w:lvl w:ilvl="0" w:tplc="0C090017">
      <w:start w:val="1"/>
      <w:numFmt w:val="lowerLetter"/>
      <w:lvlText w:val="%1)"/>
      <w:lvlJc w:val="left"/>
      <w:pPr>
        <w:ind w:left="1429" w:hanging="360"/>
      </w:pPr>
    </w:lvl>
    <w:lvl w:ilvl="1" w:tplc="0C090019" w:tentative="1">
      <w:start w:val="1"/>
      <w:numFmt w:val="lowerLetter"/>
      <w:lvlText w:val="%2."/>
      <w:lvlJc w:val="left"/>
      <w:pPr>
        <w:ind w:left="2149" w:hanging="360"/>
      </w:pPr>
    </w:lvl>
    <w:lvl w:ilvl="2" w:tplc="0C09001B" w:tentative="1">
      <w:start w:val="1"/>
      <w:numFmt w:val="lowerRoman"/>
      <w:lvlText w:val="%3."/>
      <w:lvlJc w:val="right"/>
      <w:pPr>
        <w:ind w:left="2869" w:hanging="180"/>
      </w:pPr>
    </w:lvl>
    <w:lvl w:ilvl="3" w:tplc="0C09000F" w:tentative="1">
      <w:start w:val="1"/>
      <w:numFmt w:val="decimal"/>
      <w:lvlText w:val="%4."/>
      <w:lvlJc w:val="left"/>
      <w:pPr>
        <w:ind w:left="3589" w:hanging="360"/>
      </w:pPr>
    </w:lvl>
    <w:lvl w:ilvl="4" w:tplc="0C090019" w:tentative="1">
      <w:start w:val="1"/>
      <w:numFmt w:val="lowerLetter"/>
      <w:lvlText w:val="%5."/>
      <w:lvlJc w:val="left"/>
      <w:pPr>
        <w:ind w:left="4309" w:hanging="360"/>
      </w:pPr>
    </w:lvl>
    <w:lvl w:ilvl="5" w:tplc="0C09001B" w:tentative="1">
      <w:start w:val="1"/>
      <w:numFmt w:val="lowerRoman"/>
      <w:lvlText w:val="%6."/>
      <w:lvlJc w:val="right"/>
      <w:pPr>
        <w:ind w:left="5029" w:hanging="180"/>
      </w:pPr>
    </w:lvl>
    <w:lvl w:ilvl="6" w:tplc="0C09000F" w:tentative="1">
      <w:start w:val="1"/>
      <w:numFmt w:val="decimal"/>
      <w:lvlText w:val="%7."/>
      <w:lvlJc w:val="left"/>
      <w:pPr>
        <w:ind w:left="5749" w:hanging="360"/>
      </w:pPr>
    </w:lvl>
    <w:lvl w:ilvl="7" w:tplc="0C090019" w:tentative="1">
      <w:start w:val="1"/>
      <w:numFmt w:val="lowerLetter"/>
      <w:lvlText w:val="%8."/>
      <w:lvlJc w:val="left"/>
      <w:pPr>
        <w:ind w:left="6469" w:hanging="360"/>
      </w:pPr>
    </w:lvl>
    <w:lvl w:ilvl="8" w:tplc="0C09001B" w:tentative="1">
      <w:start w:val="1"/>
      <w:numFmt w:val="lowerRoman"/>
      <w:lvlText w:val="%9."/>
      <w:lvlJc w:val="right"/>
      <w:pPr>
        <w:ind w:left="7189" w:hanging="180"/>
      </w:pPr>
    </w:lvl>
  </w:abstractNum>
  <w:abstractNum w:abstractNumId="19" w15:restartNumberingAfterBreak="0">
    <w:nsid w:val="736C5116"/>
    <w:multiLevelType w:val="multilevel"/>
    <w:tmpl w:val="FDDEBA38"/>
    <w:lvl w:ilvl="0">
      <w:start w:val="1"/>
      <w:numFmt w:val="none"/>
      <w:suff w:val="nothing"/>
      <w:lvlText w:val=""/>
      <w:lvlJc w:val="left"/>
      <w:pPr>
        <w:tabs>
          <w:tab w:val="num" w:pos="0"/>
        </w:tabs>
        <w:ind w:left="0" w:firstLine="0"/>
      </w:pPr>
    </w:lvl>
    <w:lvl w:ilvl="1">
      <w:start w:val="1"/>
      <w:numFmt w:val="none"/>
      <w:suff w:val="nothing"/>
      <w:lvlText w:val=""/>
      <w:lvlJc w:val="left"/>
      <w:pPr>
        <w:tabs>
          <w:tab w:val="num" w:pos="0"/>
        </w:tabs>
        <w:ind w:left="0" w:firstLine="0"/>
      </w:pPr>
    </w:lvl>
    <w:lvl w:ilvl="2">
      <w:start w:val="1"/>
      <w:numFmt w:val="none"/>
      <w:suff w:val="nothing"/>
      <w:lvlText w:val=""/>
      <w:lvlJc w:val="left"/>
      <w:pPr>
        <w:tabs>
          <w:tab w:val="num" w:pos="0"/>
        </w:tabs>
        <w:ind w:left="0" w:firstLine="0"/>
      </w:pPr>
    </w:lvl>
    <w:lvl w:ilvl="3">
      <w:start w:val="1"/>
      <w:numFmt w:val="none"/>
      <w:suff w:val="nothing"/>
      <w:lvlText w:val=""/>
      <w:lvlJc w:val="left"/>
      <w:pPr>
        <w:tabs>
          <w:tab w:val="num" w:pos="0"/>
        </w:tabs>
        <w:ind w:left="0" w:firstLine="0"/>
      </w:pPr>
    </w:lvl>
    <w:lvl w:ilvl="4">
      <w:start w:val="1"/>
      <w:numFmt w:val="none"/>
      <w:suff w:val="nothing"/>
      <w:lvlText w:val=""/>
      <w:lvlJc w:val="left"/>
      <w:pPr>
        <w:tabs>
          <w:tab w:val="num" w:pos="0"/>
        </w:tabs>
        <w:ind w:left="0" w:firstLine="0"/>
      </w:pPr>
    </w:lvl>
    <w:lvl w:ilvl="5">
      <w:start w:val="1"/>
      <w:numFmt w:val="none"/>
      <w:suff w:val="nothing"/>
      <w:lvlText w:val=""/>
      <w:lvlJc w:val="left"/>
      <w:pPr>
        <w:tabs>
          <w:tab w:val="num" w:pos="0"/>
        </w:tabs>
        <w:ind w:left="0" w:firstLine="0"/>
      </w:pPr>
    </w:lvl>
    <w:lvl w:ilvl="6">
      <w:start w:val="1"/>
      <w:numFmt w:val="none"/>
      <w:suff w:val="nothing"/>
      <w:lvlText w:val=""/>
      <w:lvlJc w:val="left"/>
      <w:pPr>
        <w:tabs>
          <w:tab w:val="num" w:pos="0"/>
        </w:tabs>
        <w:ind w:left="0" w:firstLine="0"/>
      </w:pPr>
    </w:lvl>
    <w:lvl w:ilvl="7">
      <w:start w:val="1"/>
      <w:numFmt w:val="none"/>
      <w:suff w:val="nothing"/>
      <w:lvlText w:val=""/>
      <w:lvlJc w:val="left"/>
      <w:pPr>
        <w:tabs>
          <w:tab w:val="num" w:pos="0"/>
        </w:tabs>
        <w:ind w:left="0" w:firstLine="0"/>
      </w:pPr>
    </w:lvl>
    <w:lvl w:ilvl="8">
      <w:start w:val="1"/>
      <w:numFmt w:val="none"/>
      <w:suff w:val="nothing"/>
      <w:lvlText w:val=""/>
      <w:lvlJc w:val="left"/>
      <w:pPr>
        <w:tabs>
          <w:tab w:val="num" w:pos="0"/>
        </w:tabs>
        <w:ind w:left="0" w:firstLine="0"/>
      </w:pPr>
    </w:lvl>
  </w:abstractNum>
  <w:abstractNum w:abstractNumId="20" w15:restartNumberingAfterBreak="0">
    <w:nsid w:val="74D969E2"/>
    <w:multiLevelType w:val="multilevel"/>
    <w:tmpl w:val="7D5238E4"/>
    <w:lvl w:ilvl="0">
      <w:start w:val="1"/>
      <w:numFmt w:val="lowerLetter"/>
      <w:lvlText w:val="%1)"/>
      <w:lvlJc w:val="left"/>
      <w:pPr>
        <w:tabs>
          <w:tab w:val="num" w:pos="0"/>
        </w:tabs>
        <w:ind w:left="1429" w:hanging="360"/>
      </w:pPr>
    </w:lvl>
    <w:lvl w:ilvl="1">
      <w:start w:val="1"/>
      <w:numFmt w:val="lowerLetter"/>
      <w:lvlText w:val="%2."/>
      <w:lvlJc w:val="left"/>
      <w:pPr>
        <w:tabs>
          <w:tab w:val="num" w:pos="0"/>
        </w:tabs>
        <w:ind w:left="2149" w:hanging="360"/>
      </w:pPr>
    </w:lvl>
    <w:lvl w:ilvl="2">
      <w:start w:val="1"/>
      <w:numFmt w:val="lowerRoman"/>
      <w:lvlText w:val="%3."/>
      <w:lvlJc w:val="right"/>
      <w:pPr>
        <w:tabs>
          <w:tab w:val="num" w:pos="0"/>
        </w:tabs>
        <w:ind w:left="2869" w:hanging="180"/>
      </w:pPr>
    </w:lvl>
    <w:lvl w:ilvl="3">
      <w:start w:val="1"/>
      <w:numFmt w:val="decimal"/>
      <w:lvlText w:val="%4."/>
      <w:lvlJc w:val="left"/>
      <w:pPr>
        <w:tabs>
          <w:tab w:val="num" w:pos="0"/>
        </w:tabs>
        <w:ind w:left="3589" w:hanging="360"/>
      </w:pPr>
    </w:lvl>
    <w:lvl w:ilvl="4">
      <w:start w:val="1"/>
      <w:numFmt w:val="lowerLetter"/>
      <w:lvlText w:val="%5."/>
      <w:lvlJc w:val="left"/>
      <w:pPr>
        <w:tabs>
          <w:tab w:val="num" w:pos="0"/>
        </w:tabs>
        <w:ind w:left="4309" w:hanging="360"/>
      </w:pPr>
    </w:lvl>
    <w:lvl w:ilvl="5">
      <w:start w:val="1"/>
      <w:numFmt w:val="lowerRoman"/>
      <w:lvlText w:val="%6."/>
      <w:lvlJc w:val="right"/>
      <w:pPr>
        <w:tabs>
          <w:tab w:val="num" w:pos="0"/>
        </w:tabs>
        <w:ind w:left="5029" w:hanging="180"/>
      </w:pPr>
    </w:lvl>
    <w:lvl w:ilvl="6">
      <w:start w:val="1"/>
      <w:numFmt w:val="decimal"/>
      <w:lvlText w:val="%7."/>
      <w:lvlJc w:val="left"/>
      <w:pPr>
        <w:tabs>
          <w:tab w:val="num" w:pos="0"/>
        </w:tabs>
        <w:ind w:left="5749" w:hanging="360"/>
      </w:pPr>
    </w:lvl>
    <w:lvl w:ilvl="7">
      <w:start w:val="1"/>
      <w:numFmt w:val="lowerLetter"/>
      <w:lvlText w:val="%8."/>
      <w:lvlJc w:val="left"/>
      <w:pPr>
        <w:tabs>
          <w:tab w:val="num" w:pos="0"/>
        </w:tabs>
        <w:ind w:left="6469" w:hanging="360"/>
      </w:pPr>
    </w:lvl>
    <w:lvl w:ilvl="8">
      <w:start w:val="1"/>
      <w:numFmt w:val="lowerRoman"/>
      <w:lvlText w:val="%9."/>
      <w:lvlJc w:val="right"/>
      <w:pPr>
        <w:tabs>
          <w:tab w:val="num" w:pos="0"/>
        </w:tabs>
        <w:ind w:left="7189" w:hanging="180"/>
      </w:pPr>
    </w:lvl>
  </w:abstractNum>
  <w:abstractNum w:abstractNumId="21" w15:restartNumberingAfterBreak="0">
    <w:nsid w:val="79063736"/>
    <w:multiLevelType w:val="hybridMultilevel"/>
    <w:tmpl w:val="A672DBF4"/>
    <w:lvl w:ilvl="0" w:tplc="0C090017">
      <w:start w:val="1"/>
      <w:numFmt w:val="lowerLetter"/>
      <w:lvlText w:val="%1)"/>
      <w:lvlJc w:val="left"/>
      <w:pPr>
        <w:ind w:left="1429" w:hanging="360"/>
      </w:pPr>
    </w:lvl>
    <w:lvl w:ilvl="1" w:tplc="0C090019" w:tentative="1">
      <w:start w:val="1"/>
      <w:numFmt w:val="lowerLetter"/>
      <w:lvlText w:val="%2."/>
      <w:lvlJc w:val="left"/>
      <w:pPr>
        <w:ind w:left="2149" w:hanging="360"/>
      </w:pPr>
    </w:lvl>
    <w:lvl w:ilvl="2" w:tplc="0C09001B" w:tentative="1">
      <w:start w:val="1"/>
      <w:numFmt w:val="lowerRoman"/>
      <w:lvlText w:val="%3."/>
      <w:lvlJc w:val="right"/>
      <w:pPr>
        <w:ind w:left="2869" w:hanging="180"/>
      </w:pPr>
    </w:lvl>
    <w:lvl w:ilvl="3" w:tplc="0C09000F" w:tentative="1">
      <w:start w:val="1"/>
      <w:numFmt w:val="decimal"/>
      <w:lvlText w:val="%4."/>
      <w:lvlJc w:val="left"/>
      <w:pPr>
        <w:ind w:left="3589" w:hanging="360"/>
      </w:pPr>
    </w:lvl>
    <w:lvl w:ilvl="4" w:tplc="0C090019" w:tentative="1">
      <w:start w:val="1"/>
      <w:numFmt w:val="lowerLetter"/>
      <w:lvlText w:val="%5."/>
      <w:lvlJc w:val="left"/>
      <w:pPr>
        <w:ind w:left="4309" w:hanging="360"/>
      </w:pPr>
    </w:lvl>
    <w:lvl w:ilvl="5" w:tplc="0C09001B" w:tentative="1">
      <w:start w:val="1"/>
      <w:numFmt w:val="lowerRoman"/>
      <w:lvlText w:val="%6."/>
      <w:lvlJc w:val="right"/>
      <w:pPr>
        <w:ind w:left="5029" w:hanging="180"/>
      </w:pPr>
    </w:lvl>
    <w:lvl w:ilvl="6" w:tplc="0C09000F" w:tentative="1">
      <w:start w:val="1"/>
      <w:numFmt w:val="decimal"/>
      <w:lvlText w:val="%7."/>
      <w:lvlJc w:val="left"/>
      <w:pPr>
        <w:ind w:left="5749" w:hanging="360"/>
      </w:pPr>
    </w:lvl>
    <w:lvl w:ilvl="7" w:tplc="0C090019" w:tentative="1">
      <w:start w:val="1"/>
      <w:numFmt w:val="lowerLetter"/>
      <w:lvlText w:val="%8."/>
      <w:lvlJc w:val="left"/>
      <w:pPr>
        <w:ind w:left="6469" w:hanging="360"/>
      </w:pPr>
    </w:lvl>
    <w:lvl w:ilvl="8" w:tplc="0C09001B" w:tentative="1">
      <w:start w:val="1"/>
      <w:numFmt w:val="lowerRoman"/>
      <w:lvlText w:val="%9."/>
      <w:lvlJc w:val="right"/>
      <w:pPr>
        <w:ind w:left="7189" w:hanging="180"/>
      </w:pPr>
    </w:lvl>
  </w:abstractNum>
  <w:abstractNum w:abstractNumId="22" w15:restartNumberingAfterBreak="0">
    <w:nsid w:val="7F484C89"/>
    <w:multiLevelType w:val="hybridMultilevel"/>
    <w:tmpl w:val="CB18EE86"/>
    <w:lvl w:ilvl="0" w:tplc="54104A76">
      <w:start w:val="1"/>
      <w:numFmt w:val="bullet"/>
      <w:lvlText w:val="•"/>
      <w:lvlJc w:val="left"/>
      <w:pPr>
        <w:ind w:left="540" w:hanging="320"/>
      </w:pPr>
    </w:lvl>
    <w:lvl w:ilvl="1" w:tplc="0F42B0D6">
      <w:numFmt w:val="decimal"/>
      <w:lvlText w:val=""/>
      <w:lvlJc w:val="left"/>
    </w:lvl>
    <w:lvl w:ilvl="2" w:tplc="884C487A">
      <w:numFmt w:val="decimal"/>
      <w:lvlText w:val=""/>
      <w:lvlJc w:val="left"/>
    </w:lvl>
    <w:lvl w:ilvl="3" w:tplc="C0F8A29C">
      <w:numFmt w:val="decimal"/>
      <w:lvlText w:val=""/>
      <w:lvlJc w:val="left"/>
    </w:lvl>
    <w:lvl w:ilvl="4" w:tplc="C6D8D9C6">
      <w:numFmt w:val="decimal"/>
      <w:lvlText w:val=""/>
      <w:lvlJc w:val="left"/>
    </w:lvl>
    <w:lvl w:ilvl="5" w:tplc="2902A088">
      <w:numFmt w:val="decimal"/>
      <w:lvlText w:val=""/>
      <w:lvlJc w:val="left"/>
    </w:lvl>
    <w:lvl w:ilvl="6" w:tplc="EAA426DC">
      <w:numFmt w:val="decimal"/>
      <w:lvlText w:val=""/>
      <w:lvlJc w:val="left"/>
    </w:lvl>
    <w:lvl w:ilvl="7" w:tplc="2604B6A6">
      <w:numFmt w:val="decimal"/>
      <w:lvlText w:val=""/>
      <w:lvlJc w:val="left"/>
    </w:lvl>
    <w:lvl w:ilvl="8" w:tplc="86C22F38">
      <w:numFmt w:val="decimal"/>
      <w:lvlText w:val=""/>
      <w:lvlJc w:val="left"/>
    </w:lvl>
  </w:abstractNum>
  <w:num w:numId="1" w16cid:durableId="253562429">
    <w:abstractNumId w:val="3"/>
  </w:num>
  <w:num w:numId="2" w16cid:durableId="1252468866">
    <w:abstractNumId w:val="10"/>
  </w:num>
  <w:num w:numId="3" w16cid:durableId="1373774163">
    <w:abstractNumId w:val="8"/>
  </w:num>
  <w:num w:numId="4" w16cid:durableId="984310045">
    <w:abstractNumId w:val="1"/>
  </w:num>
  <w:num w:numId="5" w16cid:durableId="995845146">
    <w:abstractNumId w:val="20"/>
  </w:num>
  <w:num w:numId="6" w16cid:durableId="530191151">
    <w:abstractNumId w:val="4"/>
  </w:num>
  <w:num w:numId="7" w16cid:durableId="1659728927">
    <w:abstractNumId w:val="16"/>
  </w:num>
  <w:num w:numId="8" w16cid:durableId="282807434">
    <w:abstractNumId w:val="11"/>
  </w:num>
  <w:num w:numId="9" w16cid:durableId="817113281">
    <w:abstractNumId w:val="12"/>
  </w:num>
  <w:num w:numId="10" w16cid:durableId="1484850594">
    <w:abstractNumId w:val="7"/>
  </w:num>
  <w:num w:numId="11" w16cid:durableId="2080908296">
    <w:abstractNumId w:val="19"/>
  </w:num>
  <w:num w:numId="12" w16cid:durableId="844395967">
    <w:abstractNumId w:val="20"/>
  </w:num>
  <w:num w:numId="13" w16cid:durableId="1469202145">
    <w:abstractNumId w:val="4"/>
  </w:num>
  <w:num w:numId="14" w16cid:durableId="953093519">
    <w:abstractNumId w:val="16"/>
  </w:num>
  <w:num w:numId="15" w16cid:durableId="68694079">
    <w:abstractNumId w:val="15"/>
  </w:num>
  <w:num w:numId="16" w16cid:durableId="492767847">
    <w:abstractNumId w:val="9"/>
  </w:num>
  <w:num w:numId="17" w16cid:durableId="1142843330">
    <w:abstractNumId w:val="13"/>
  </w:num>
  <w:num w:numId="18" w16cid:durableId="1617902721">
    <w:abstractNumId w:val="17"/>
  </w:num>
  <w:num w:numId="19" w16cid:durableId="1274481969">
    <w:abstractNumId w:val="5"/>
  </w:num>
  <w:num w:numId="20" w16cid:durableId="1250119628">
    <w:abstractNumId w:val="21"/>
  </w:num>
  <w:num w:numId="21" w16cid:durableId="1982344307">
    <w:abstractNumId w:val="18"/>
  </w:num>
  <w:num w:numId="22" w16cid:durableId="1524441610">
    <w:abstractNumId w:val="2"/>
  </w:num>
  <w:num w:numId="23" w16cid:durableId="186868592">
    <w:abstractNumId w:val="6"/>
  </w:num>
  <w:num w:numId="24" w16cid:durableId="680205980">
    <w:abstractNumId w:val="0"/>
  </w:num>
  <w:num w:numId="25" w16cid:durableId="1768883034">
    <w:abstractNumId w:val="14"/>
  </w:num>
  <w:num w:numId="26" w16cid:durableId="338195397">
    <w:abstractNumId w:val="22"/>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stylePaneFormatFilter w:val="1028" w:allStyles="0" w:customStyles="0" w:latentStyles="0" w:stylesInUse="1" w:headingStyles="1" w:numberingStyles="0" w:tableStyles="0" w:directFormattingOnRuns="0" w:directFormattingOnParagraphs="0" w:directFormattingOnNumbering="0" w:directFormattingOnTables="0" w:clearFormatting="1" w:top3HeadingStyles="0" w:visibleStyles="0" w:alternateStyleNames="0"/>
  <w:defaultTabStop w:val="720"/>
  <w:autoHyphenation/>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C1013"/>
    <w:rsid w:val="0000265F"/>
    <w:rsid w:val="000051A8"/>
    <w:rsid w:val="00020FCE"/>
    <w:rsid w:val="000212C8"/>
    <w:rsid w:val="00025AB2"/>
    <w:rsid w:val="00035F85"/>
    <w:rsid w:val="000421BE"/>
    <w:rsid w:val="0005107C"/>
    <w:rsid w:val="00057588"/>
    <w:rsid w:val="00070A66"/>
    <w:rsid w:val="000726E8"/>
    <w:rsid w:val="00073703"/>
    <w:rsid w:val="0008149C"/>
    <w:rsid w:val="00093B02"/>
    <w:rsid w:val="000A64CF"/>
    <w:rsid w:val="000B6927"/>
    <w:rsid w:val="000B72CA"/>
    <w:rsid w:val="000D722C"/>
    <w:rsid w:val="000E14CE"/>
    <w:rsid w:val="000E403F"/>
    <w:rsid w:val="0010166F"/>
    <w:rsid w:val="00103CC0"/>
    <w:rsid w:val="001169F4"/>
    <w:rsid w:val="0012537E"/>
    <w:rsid w:val="001268A2"/>
    <w:rsid w:val="00132361"/>
    <w:rsid w:val="0013544E"/>
    <w:rsid w:val="00154E9A"/>
    <w:rsid w:val="00160B36"/>
    <w:rsid w:val="00162650"/>
    <w:rsid w:val="001645B6"/>
    <w:rsid w:val="00184079"/>
    <w:rsid w:val="001914C0"/>
    <w:rsid w:val="00194B94"/>
    <w:rsid w:val="00196F14"/>
    <w:rsid w:val="001A1B18"/>
    <w:rsid w:val="001B4423"/>
    <w:rsid w:val="001B7E54"/>
    <w:rsid w:val="001C2B0D"/>
    <w:rsid w:val="001D41C2"/>
    <w:rsid w:val="001E2D6C"/>
    <w:rsid w:val="00201F1B"/>
    <w:rsid w:val="002135E3"/>
    <w:rsid w:val="00221F1C"/>
    <w:rsid w:val="002317EC"/>
    <w:rsid w:val="00240E6E"/>
    <w:rsid w:val="0024672F"/>
    <w:rsid w:val="00254112"/>
    <w:rsid w:val="00256456"/>
    <w:rsid w:val="00262601"/>
    <w:rsid w:val="002664FA"/>
    <w:rsid w:val="0028765F"/>
    <w:rsid w:val="00291CE1"/>
    <w:rsid w:val="002C1C25"/>
    <w:rsid w:val="002C6BB3"/>
    <w:rsid w:val="002E726C"/>
    <w:rsid w:val="003365EA"/>
    <w:rsid w:val="0033685C"/>
    <w:rsid w:val="00353AE1"/>
    <w:rsid w:val="00356F9A"/>
    <w:rsid w:val="003A486B"/>
    <w:rsid w:val="003C0850"/>
    <w:rsid w:val="003C2B09"/>
    <w:rsid w:val="003C4F86"/>
    <w:rsid w:val="003E62DE"/>
    <w:rsid w:val="003F4778"/>
    <w:rsid w:val="003F6ABF"/>
    <w:rsid w:val="00403B6A"/>
    <w:rsid w:val="00410345"/>
    <w:rsid w:val="00411BFC"/>
    <w:rsid w:val="0042192E"/>
    <w:rsid w:val="00435BE3"/>
    <w:rsid w:val="00442CF1"/>
    <w:rsid w:val="0044577B"/>
    <w:rsid w:val="004B2CF4"/>
    <w:rsid w:val="004B3FA6"/>
    <w:rsid w:val="004B52D0"/>
    <w:rsid w:val="004C465B"/>
    <w:rsid w:val="004C5CA9"/>
    <w:rsid w:val="004D2A6A"/>
    <w:rsid w:val="004D687C"/>
    <w:rsid w:val="004D6E31"/>
    <w:rsid w:val="004E45B4"/>
    <w:rsid w:val="004E623E"/>
    <w:rsid w:val="004E7E96"/>
    <w:rsid w:val="004E7F42"/>
    <w:rsid w:val="0050397D"/>
    <w:rsid w:val="005157BB"/>
    <w:rsid w:val="00526212"/>
    <w:rsid w:val="0053047F"/>
    <w:rsid w:val="00535300"/>
    <w:rsid w:val="005635BB"/>
    <w:rsid w:val="00566A46"/>
    <w:rsid w:val="0058242C"/>
    <w:rsid w:val="005944A9"/>
    <w:rsid w:val="005A0A93"/>
    <w:rsid w:val="005C0255"/>
    <w:rsid w:val="005E3E9F"/>
    <w:rsid w:val="005F1667"/>
    <w:rsid w:val="00601272"/>
    <w:rsid w:val="0060285D"/>
    <w:rsid w:val="006121C6"/>
    <w:rsid w:val="006175F7"/>
    <w:rsid w:val="0062458A"/>
    <w:rsid w:val="006333EE"/>
    <w:rsid w:val="00662C6E"/>
    <w:rsid w:val="00670C60"/>
    <w:rsid w:val="006764A9"/>
    <w:rsid w:val="006E1AD7"/>
    <w:rsid w:val="00727931"/>
    <w:rsid w:val="00730A2A"/>
    <w:rsid w:val="0073547A"/>
    <w:rsid w:val="00743F54"/>
    <w:rsid w:val="007553CA"/>
    <w:rsid w:val="0075674D"/>
    <w:rsid w:val="00765AC3"/>
    <w:rsid w:val="00771B92"/>
    <w:rsid w:val="00776B52"/>
    <w:rsid w:val="007928F4"/>
    <w:rsid w:val="007965DF"/>
    <w:rsid w:val="007B6B9B"/>
    <w:rsid w:val="007B7585"/>
    <w:rsid w:val="007C754C"/>
    <w:rsid w:val="007D2D8B"/>
    <w:rsid w:val="007D471E"/>
    <w:rsid w:val="007D59CC"/>
    <w:rsid w:val="007D6FC1"/>
    <w:rsid w:val="007F371E"/>
    <w:rsid w:val="00835A28"/>
    <w:rsid w:val="00843318"/>
    <w:rsid w:val="00852B62"/>
    <w:rsid w:val="0086454E"/>
    <w:rsid w:val="00872AF0"/>
    <w:rsid w:val="0088769A"/>
    <w:rsid w:val="008A2147"/>
    <w:rsid w:val="008A7A56"/>
    <w:rsid w:val="008A7C99"/>
    <w:rsid w:val="008B491A"/>
    <w:rsid w:val="008B7ED2"/>
    <w:rsid w:val="008D1441"/>
    <w:rsid w:val="008D1F3E"/>
    <w:rsid w:val="008D3C50"/>
    <w:rsid w:val="008E13F0"/>
    <w:rsid w:val="008E4521"/>
    <w:rsid w:val="009156E6"/>
    <w:rsid w:val="00917F98"/>
    <w:rsid w:val="0092238B"/>
    <w:rsid w:val="00932E1A"/>
    <w:rsid w:val="009361B1"/>
    <w:rsid w:val="00941897"/>
    <w:rsid w:val="00953286"/>
    <w:rsid w:val="00963BF6"/>
    <w:rsid w:val="00965D77"/>
    <w:rsid w:val="00966910"/>
    <w:rsid w:val="00987F17"/>
    <w:rsid w:val="009A4C1F"/>
    <w:rsid w:val="009B0A0C"/>
    <w:rsid w:val="009B7448"/>
    <w:rsid w:val="009C5FE3"/>
    <w:rsid w:val="009E2242"/>
    <w:rsid w:val="009E5AD1"/>
    <w:rsid w:val="00A01D0C"/>
    <w:rsid w:val="00A22346"/>
    <w:rsid w:val="00A27CF4"/>
    <w:rsid w:val="00A31AE7"/>
    <w:rsid w:val="00A559D2"/>
    <w:rsid w:val="00A6771F"/>
    <w:rsid w:val="00A70854"/>
    <w:rsid w:val="00A73AE8"/>
    <w:rsid w:val="00A7759C"/>
    <w:rsid w:val="00A879B4"/>
    <w:rsid w:val="00A87E16"/>
    <w:rsid w:val="00A9375E"/>
    <w:rsid w:val="00A94978"/>
    <w:rsid w:val="00AA04FF"/>
    <w:rsid w:val="00AB4E10"/>
    <w:rsid w:val="00AC09D8"/>
    <w:rsid w:val="00AC1610"/>
    <w:rsid w:val="00AD1836"/>
    <w:rsid w:val="00AD7E06"/>
    <w:rsid w:val="00AE59DD"/>
    <w:rsid w:val="00AF4D10"/>
    <w:rsid w:val="00B03658"/>
    <w:rsid w:val="00B03A9C"/>
    <w:rsid w:val="00B13942"/>
    <w:rsid w:val="00B17194"/>
    <w:rsid w:val="00B6721F"/>
    <w:rsid w:val="00BB15FA"/>
    <w:rsid w:val="00BD1B44"/>
    <w:rsid w:val="00BE56F5"/>
    <w:rsid w:val="00BE7A83"/>
    <w:rsid w:val="00BF1B5E"/>
    <w:rsid w:val="00BF2FA3"/>
    <w:rsid w:val="00C10AB2"/>
    <w:rsid w:val="00C1287A"/>
    <w:rsid w:val="00C20D78"/>
    <w:rsid w:val="00C2491F"/>
    <w:rsid w:val="00C33144"/>
    <w:rsid w:val="00C46050"/>
    <w:rsid w:val="00C47846"/>
    <w:rsid w:val="00C54428"/>
    <w:rsid w:val="00C56287"/>
    <w:rsid w:val="00C56EDD"/>
    <w:rsid w:val="00C73320"/>
    <w:rsid w:val="00C7476E"/>
    <w:rsid w:val="00C753F5"/>
    <w:rsid w:val="00C8565B"/>
    <w:rsid w:val="00C93FDE"/>
    <w:rsid w:val="00CA1F8A"/>
    <w:rsid w:val="00CA299E"/>
    <w:rsid w:val="00CA503F"/>
    <w:rsid w:val="00CC0D50"/>
    <w:rsid w:val="00CE3885"/>
    <w:rsid w:val="00D01B82"/>
    <w:rsid w:val="00D216C1"/>
    <w:rsid w:val="00D21A55"/>
    <w:rsid w:val="00D2325C"/>
    <w:rsid w:val="00D508E6"/>
    <w:rsid w:val="00D8045A"/>
    <w:rsid w:val="00DA0EEB"/>
    <w:rsid w:val="00DB5CCE"/>
    <w:rsid w:val="00DD2205"/>
    <w:rsid w:val="00DD6817"/>
    <w:rsid w:val="00DD766F"/>
    <w:rsid w:val="00DE22F2"/>
    <w:rsid w:val="00DF132F"/>
    <w:rsid w:val="00DF7812"/>
    <w:rsid w:val="00E026BC"/>
    <w:rsid w:val="00E1601B"/>
    <w:rsid w:val="00E31E85"/>
    <w:rsid w:val="00E3554C"/>
    <w:rsid w:val="00E378D6"/>
    <w:rsid w:val="00E4144B"/>
    <w:rsid w:val="00E41AD3"/>
    <w:rsid w:val="00E44974"/>
    <w:rsid w:val="00E6249E"/>
    <w:rsid w:val="00E748FB"/>
    <w:rsid w:val="00E74ED6"/>
    <w:rsid w:val="00E87570"/>
    <w:rsid w:val="00E947EC"/>
    <w:rsid w:val="00EB1E2A"/>
    <w:rsid w:val="00EC1E09"/>
    <w:rsid w:val="00EC35CA"/>
    <w:rsid w:val="00ED2D68"/>
    <w:rsid w:val="00EF2D7C"/>
    <w:rsid w:val="00EF6531"/>
    <w:rsid w:val="00F047AC"/>
    <w:rsid w:val="00F0533E"/>
    <w:rsid w:val="00F05B64"/>
    <w:rsid w:val="00F1323E"/>
    <w:rsid w:val="00F24500"/>
    <w:rsid w:val="00F36EE0"/>
    <w:rsid w:val="00F5071C"/>
    <w:rsid w:val="00F50865"/>
    <w:rsid w:val="00F65D89"/>
    <w:rsid w:val="00F8493B"/>
    <w:rsid w:val="00F87F71"/>
    <w:rsid w:val="00F92E88"/>
    <w:rsid w:val="00FA3CFD"/>
    <w:rsid w:val="00FB10C5"/>
    <w:rsid w:val="00FB2CEF"/>
    <w:rsid w:val="00FB6D88"/>
    <w:rsid w:val="00FC1013"/>
    <w:rsid w:val="00FE24AA"/>
    <w:rsid w:val="00FE28C0"/>
    <w:rsid w:val="00FE68DA"/>
  </w:rsids>
  <m:mathPr>
    <m:mathFont m:val="Cambria Math"/>
    <m:brkBin m:val="before"/>
    <m:brkBinSub m:val="--"/>
    <m:smallFrac m:val="0"/>
    <m:dispDef/>
    <m:lMargin m:val="0"/>
    <m:rMargin m:val="0"/>
    <m:defJc m:val="centerGroup"/>
    <m:wrapIndent m:val="1440"/>
    <m:intLim m:val="subSup"/>
    <m:naryLim m:val="undOvr"/>
  </m:mathPr>
  <w:themeFontLang w:val="en-GB" w:eastAsia="" w:bidi=""/>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484FBF8"/>
  <w15:docId w15:val="{8B23AFC0-DD17-41F9-9DBA-8FAEA66F9DE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GB" w:eastAsia="en-US" w:bidi="ar-SA"/>
      </w:rPr>
    </w:rPrDefault>
    <w:pPrDefault>
      <w:pPr>
        <w:suppressAutoHyphens/>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27931"/>
    <w:rPr>
      <w:sz w:val="20"/>
    </w:rPr>
  </w:style>
  <w:style w:type="paragraph" w:styleId="Heading1">
    <w:name w:val="heading 1"/>
    <w:basedOn w:val="Normal"/>
    <w:next w:val="Normal"/>
    <w:link w:val="Heading1Char"/>
    <w:uiPriority w:val="9"/>
    <w:qFormat/>
    <w:rsid w:val="00C5432C"/>
    <w:pPr>
      <w:keepNext/>
      <w:keepLines/>
      <w:spacing w:before="120" w:after="60"/>
      <w:contextualSpacing/>
      <w:outlineLvl w:val="0"/>
    </w:pPr>
    <w:rPr>
      <w:rFonts w:asciiTheme="majorHAnsi" w:eastAsiaTheme="majorEastAsia" w:hAnsiTheme="majorHAnsi" w:cstheme="majorBidi"/>
      <w:b/>
      <w:sz w:val="28"/>
      <w:szCs w:val="32"/>
    </w:rPr>
  </w:style>
  <w:style w:type="paragraph" w:styleId="Heading2">
    <w:name w:val="heading 2"/>
    <w:basedOn w:val="Normal"/>
    <w:next w:val="Normal"/>
    <w:link w:val="Heading2Char"/>
    <w:uiPriority w:val="9"/>
    <w:unhideWhenUsed/>
    <w:qFormat/>
    <w:rsid w:val="008B7ED2"/>
    <w:pPr>
      <w:keepNext/>
      <w:keepLines/>
      <w:spacing w:after="60"/>
      <w:ind w:left="720"/>
      <w:outlineLvl w:val="1"/>
    </w:pPr>
    <w:rPr>
      <w:rFonts w:asciiTheme="majorHAnsi" w:eastAsiaTheme="majorEastAsia" w:hAnsiTheme="majorHAnsi" w:cstheme="majorBidi"/>
      <w:b/>
      <w:color w:val="000000" w:themeColor="text1"/>
      <w:szCs w:val="26"/>
    </w:rPr>
  </w:style>
  <w:style w:type="paragraph" w:styleId="Heading3">
    <w:name w:val="heading 3"/>
    <w:basedOn w:val="Normal"/>
    <w:next w:val="Normal"/>
    <w:link w:val="Heading3Char"/>
    <w:uiPriority w:val="9"/>
    <w:unhideWhenUsed/>
    <w:qFormat/>
    <w:rsid w:val="00CE74A2"/>
    <w:pPr>
      <w:keepNext/>
      <w:keepLines/>
      <w:spacing w:after="60"/>
      <w:outlineLvl w:val="2"/>
    </w:pPr>
    <w:rPr>
      <w:rFonts w:asciiTheme="majorHAnsi" w:eastAsiaTheme="majorEastAsia" w:hAnsiTheme="majorHAnsi" w:cstheme="majorBidi"/>
      <w:color w:val="000000" w:themeColor="text1"/>
    </w:rPr>
  </w:style>
  <w:style w:type="paragraph" w:styleId="Heading4">
    <w:name w:val="heading 4"/>
    <w:basedOn w:val="Normal"/>
    <w:next w:val="Normal"/>
    <w:link w:val="Heading4Char"/>
    <w:uiPriority w:val="9"/>
    <w:semiHidden/>
    <w:unhideWhenUsed/>
    <w:qFormat/>
    <w:rsid w:val="009A6302"/>
    <w:pPr>
      <w:keepNext/>
      <w:keepLines/>
      <w:spacing w:after="60"/>
      <w:outlineLvl w:val="3"/>
    </w:pPr>
    <w:rPr>
      <w:rFonts w:asciiTheme="majorHAnsi" w:eastAsiaTheme="majorEastAsia" w:hAnsiTheme="majorHAnsi" w:cstheme="majorBidi"/>
      <w:i/>
      <w:iCs/>
      <w:color w:val="000000" w:themeColor="tex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erChar">
    <w:name w:val="Header Char"/>
    <w:basedOn w:val="DefaultParagraphFont"/>
    <w:link w:val="Header"/>
    <w:uiPriority w:val="99"/>
    <w:qFormat/>
    <w:rsid w:val="00EF2EC5"/>
    <w:rPr>
      <w:rFonts w:cs="Times New Roman (Body CS)"/>
      <w:sz w:val="14"/>
    </w:rPr>
  </w:style>
  <w:style w:type="character" w:customStyle="1" w:styleId="FooterChar">
    <w:name w:val="Footer Char"/>
    <w:basedOn w:val="DefaultParagraphFont"/>
    <w:link w:val="Footer"/>
    <w:uiPriority w:val="99"/>
    <w:qFormat/>
    <w:rsid w:val="00085C32"/>
    <w:rPr>
      <w:rFonts w:cs="Times New Roman (Body CS)"/>
      <w:caps/>
      <w:sz w:val="14"/>
    </w:rPr>
  </w:style>
  <w:style w:type="character" w:customStyle="1" w:styleId="Heading1Char">
    <w:name w:val="Heading 1 Char"/>
    <w:basedOn w:val="DefaultParagraphFont"/>
    <w:link w:val="Heading1"/>
    <w:uiPriority w:val="9"/>
    <w:qFormat/>
    <w:rsid w:val="00C5432C"/>
    <w:rPr>
      <w:rFonts w:asciiTheme="majorHAnsi" w:eastAsiaTheme="majorEastAsia" w:hAnsiTheme="majorHAnsi" w:cstheme="majorBidi"/>
      <w:b/>
      <w:sz w:val="28"/>
      <w:szCs w:val="32"/>
    </w:rPr>
  </w:style>
  <w:style w:type="character" w:customStyle="1" w:styleId="Heading2Char">
    <w:name w:val="Heading 2 Char"/>
    <w:basedOn w:val="DefaultParagraphFont"/>
    <w:link w:val="Heading2"/>
    <w:uiPriority w:val="9"/>
    <w:qFormat/>
    <w:rsid w:val="008B7ED2"/>
    <w:rPr>
      <w:rFonts w:asciiTheme="majorHAnsi" w:eastAsiaTheme="majorEastAsia" w:hAnsiTheme="majorHAnsi" w:cstheme="majorBidi"/>
      <w:b/>
      <w:color w:val="000000" w:themeColor="text1"/>
      <w:sz w:val="20"/>
      <w:szCs w:val="26"/>
    </w:rPr>
  </w:style>
  <w:style w:type="character" w:customStyle="1" w:styleId="Heading3Char">
    <w:name w:val="Heading 3 Char"/>
    <w:basedOn w:val="DefaultParagraphFont"/>
    <w:link w:val="Heading3"/>
    <w:uiPriority w:val="9"/>
    <w:qFormat/>
    <w:rsid w:val="00CE74A2"/>
    <w:rPr>
      <w:rFonts w:asciiTheme="majorHAnsi" w:eastAsiaTheme="majorEastAsia" w:hAnsiTheme="majorHAnsi" w:cstheme="majorBidi"/>
      <w:color w:val="000000" w:themeColor="text1"/>
      <w:sz w:val="20"/>
    </w:rPr>
  </w:style>
  <w:style w:type="character" w:customStyle="1" w:styleId="Heading4Char">
    <w:name w:val="Heading 4 Char"/>
    <w:basedOn w:val="DefaultParagraphFont"/>
    <w:link w:val="Heading4"/>
    <w:uiPriority w:val="9"/>
    <w:semiHidden/>
    <w:qFormat/>
    <w:rsid w:val="009A6302"/>
    <w:rPr>
      <w:rFonts w:asciiTheme="majorHAnsi" w:eastAsiaTheme="majorEastAsia" w:hAnsiTheme="majorHAnsi" w:cstheme="majorBidi"/>
      <w:i/>
      <w:iCs/>
      <w:color w:val="000000" w:themeColor="text1"/>
      <w:sz w:val="20"/>
    </w:rPr>
  </w:style>
  <w:style w:type="character" w:styleId="Hyperlink">
    <w:name w:val="Hyperlink"/>
    <w:basedOn w:val="DefaultParagraphFont"/>
    <w:uiPriority w:val="99"/>
    <w:unhideWhenUsed/>
    <w:rsid w:val="00C65701"/>
    <w:rPr>
      <w:color w:val="000000" w:themeColor="text1"/>
      <w:u w:val="single"/>
    </w:rPr>
  </w:style>
  <w:style w:type="character" w:styleId="PageNumber">
    <w:name w:val="page number"/>
    <w:basedOn w:val="DefaultParagraphFont"/>
    <w:uiPriority w:val="99"/>
    <w:semiHidden/>
    <w:unhideWhenUsed/>
    <w:rsid w:val="00CC2E6E"/>
  </w:style>
  <w:style w:type="character" w:customStyle="1" w:styleId="SubtitleChar">
    <w:name w:val="Subtitle Char"/>
    <w:basedOn w:val="DefaultParagraphFont"/>
    <w:link w:val="Subtitle"/>
    <w:uiPriority w:val="11"/>
    <w:qFormat/>
    <w:rsid w:val="004D6E31"/>
    <w:rPr>
      <w:rFonts w:ascii="Arial Bold" w:eastAsiaTheme="minorEastAsia" w:hAnsi="Arial Bold"/>
      <w:b/>
      <w:caps/>
      <w:spacing w:val="15"/>
      <w:sz w:val="22"/>
      <w:szCs w:val="22"/>
      <w:shd w:val="clear" w:color="auto" w:fill="AE002F" w:themeFill="background2"/>
      <w:lang w:val="en-AU"/>
    </w:rPr>
  </w:style>
  <w:style w:type="character" w:customStyle="1" w:styleId="TableHeadingChar">
    <w:name w:val="Table Heading Char"/>
    <w:basedOn w:val="DefaultParagraphFont"/>
    <w:link w:val="TableHeading"/>
    <w:qFormat/>
    <w:rsid w:val="00A63228"/>
    <w:rPr>
      <w:rFonts w:ascii="Arial Bold" w:hAnsi="Arial Bold"/>
      <w:bCs/>
      <w:sz w:val="18"/>
      <w:szCs w:val="22"/>
      <w:lang w:val="en-AU"/>
    </w:rPr>
  </w:style>
  <w:style w:type="character" w:customStyle="1" w:styleId="TableTextChar">
    <w:name w:val="Table Text Char"/>
    <w:basedOn w:val="DefaultParagraphFont"/>
    <w:link w:val="TableText"/>
    <w:qFormat/>
    <w:rsid w:val="009171AE"/>
    <w:rPr>
      <w:rFonts w:ascii="Arial" w:hAnsi="Arial"/>
      <w:sz w:val="18"/>
      <w:szCs w:val="22"/>
      <w:lang w:val="en-AU" w:eastAsia="en-AU"/>
    </w:rPr>
  </w:style>
  <w:style w:type="character" w:styleId="CommentReference">
    <w:name w:val="annotation reference"/>
    <w:basedOn w:val="DefaultParagraphFont"/>
    <w:uiPriority w:val="99"/>
    <w:semiHidden/>
    <w:unhideWhenUsed/>
    <w:qFormat/>
    <w:rsid w:val="000B368B"/>
    <w:rPr>
      <w:sz w:val="16"/>
      <w:szCs w:val="16"/>
    </w:rPr>
  </w:style>
  <w:style w:type="character" w:customStyle="1" w:styleId="CommentTextChar">
    <w:name w:val="Comment Text Char"/>
    <w:basedOn w:val="DefaultParagraphFont"/>
    <w:link w:val="CommentText"/>
    <w:uiPriority w:val="99"/>
    <w:qFormat/>
    <w:rsid w:val="000B368B"/>
    <w:rPr>
      <w:rFonts w:ascii="Arial" w:hAnsi="Arial" w:cs="Arial"/>
      <w:sz w:val="20"/>
      <w:szCs w:val="20"/>
      <w:lang w:val="en-AU"/>
    </w:rPr>
  </w:style>
  <w:style w:type="character" w:styleId="Strong">
    <w:name w:val="Strong"/>
    <w:basedOn w:val="DefaultParagraphFont"/>
    <w:uiPriority w:val="22"/>
    <w:qFormat/>
    <w:rsid w:val="006B0811"/>
    <w:rPr>
      <w:b/>
      <w:bCs/>
    </w:rPr>
  </w:style>
  <w:style w:type="character" w:styleId="Emphasis">
    <w:name w:val="Emphasis"/>
    <w:basedOn w:val="DefaultParagraphFont"/>
    <w:uiPriority w:val="20"/>
    <w:qFormat/>
    <w:rsid w:val="003E1451"/>
    <w:rPr>
      <w:i/>
      <w:iCs/>
    </w:rPr>
  </w:style>
  <w:style w:type="character" w:customStyle="1" w:styleId="sr-only">
    <w:name w:val="sr-only"/>
    <w:basedOn w:val="DefaultParagraphFont"/>
    <w:qFormat/>
    <w:rsid w:val="00191BEE"/>
  </w:style>
  <w:style w:type="character" w:customStyle="1" w:styleId="NormalNumberedtextChar">
    <w:name w:val="Normal: Numbered text_ Char"/>
    <w:basedOn w:val="DefaultParagraphFont"/>
    <w:link w:val="NormalNumberedtext"/>
    <w:qFormat/>
    <w:rsid w:val="00C22FCF"/>
    <w:rPr>
      <w:sz w:val="20"/>
      <w:lang w:val="en-AU"/>
    </w:rPr>
  </w:style>
  <w:style w:type="character" w:styleId="PlaceholderText">
    <w:name w:val="Placeholder Text"/>
    <w:basedOn w:val="DefaultParagraphFont"/>
    <w:uiPriority w:val="99"/>
    <w:semiHidden/>
    <w:qFormat/>
    <w:rsid w:val="0056355F"/>
    <w:rPr>
      <w:color w:val="666666"/>
    </w:rPr>
  </w:style>
  <w:style w:type="character" w:customStyle="1" w:styleId="CommentSubjectChar">
    <w:name w:val="Comment Subject Char"/>
    <w:basedOn w:val="CommentTextChar"/>
    <w:link w:val="CommentSubject"/>
    <w:uiPriority w:val="99"/>
    <w:semiHidden/>
    <w:qFormat/>
    <w:rsid w:val="00E374A8"/>
    <w:rPr>
      <w:rFonts w:ascii="Arial" w:hAnsi="Arial" w:cs="Arial"/>
      <w:b/>
      <w:bCs/>
      <w:sz w:val="20"/>
      <w:szCs w:val="20"/>
      <w:lang w:val="en-AU"/>
    </w:rPr>
  </w:style>
  <w:style w:type="character" w:customStyle="1" w:styleId="AutomatedProjectNameChar">
    <w:name w:val="Automated Project Name Char"/>
    <w:basedOn w:val="DefaultParagraphFont"/>
    <w:link w:val="AutomatedProjectName"/>
    <w:qFormat/>
    <w:rsid w:val="008B5BDD"/>
    <w:rPr>
      <w:sz w:val="28"/>
      <w:szCs w:val="28"/>
    </w:rPr>
  </w:style>
  <w:style w:type="character" w:customStyle="1" w:styleId="IndexLink">
    <w:name w:val="Index Link"/>
    <w:qFormat/>
  </w:style>
  <w:style w:type="paragraph" w:customStyle="1" w:styleId="Heading">
    <w:name w:val="Heading"/>
    <w:basedOn w:val="Normal"/>
    <w:next w:val="BodyText"/>
    <w:qFormat/>
    <w:pPr>
      <w:keepNext/>
      <w:spacing w:before="240" w:after="120"/>
    </w:pPr>
    <w:rPr>
      <w:rFonts w:ascii="Liberation Sans" w:eastAsia="Noto Sans CJK SC" w:hAnsi="Liberation Sans" w:cs="FreeSans"/>
      <w:sz w:val="28"/>
      <w:szCs w:val="28"/>
    </w:rPr>
  </w:style>
  <w:style w:type="paragraph" w:styleId="BodyText">
    <w:name w:val="Body Text"/>
    <w:basedOn w:val="Normal"/>
    <w:pPr>
      <w:spacing w:after="140" w:line="276" w:lineRule="auto"/>
    </w:pPr>
  </w:style>
  <w:style w:type="paragraph" w:styleId="List">
    <w:name w:val="List"/>
    <w:basedOn w:val="BodyText"/>
    <w:rPr>
      <w:rFonts w:cs="FreeSans"/>
    </w:rPr>
  </w:style>
  <w:style w:type="paragraph" w:styleId="Caption">
    <w:name w:val="caption"/>
    <w:basedOn w:val="Normal"/>
    <w:qFormat/>
    <w:pPr>
      <w:suppressLineNumbers/>
      <w:spacing w:before="120" w:after="120"/>
    </w:pPr>
    <w:rPr>
      <w:rFonts w:cs="FreeSans"/>
      <w:i/>
      <w:iCs/>
      <w:sz w:val="24"/>
    </w:rPr>
  </w:style>
  <w:style w:type="paragraph" w:customStyle="1" w:styleId="Index">
    <w:name w:val="Index"/>
    <w:basedOn w:val="Normal"/>
    <w:qFormat/>
    <w:pPr>
      <w:suppressLineNumbers/>
    </w:pPr>
    <w:rPr>
      <w:rFonts w:cs="FreeSans"/>
    </w:rPr>
  </w:style>
  <w:style w:type="paragraph" w:customStyle="1" w:styleId="BulletL1">
    <w:name w:val="Bullet: L1_"/>
    <w:basedOn w:val="Normal"/>
    <w:qFormat/>
    <w:rsid w:val="00551909"/>
    <w:pPr>
      <w:numPr>
        <w:numId w:val="3"/>
      </w:numPr>
      <w:ind w:left="170" w:hanging="170"/>
    </w:pPr>
  </w:style>
  <w:style w:type="paragraph" w:customStyle="1" w:styleId="BulletL2">
    <w:name w:val="Bullet: L2_"/>
    <w:basedOn w:val="BulletL1"/>
    <w:qFormat/>
    <w:rsid w:val="00551909"/>
    <w:pPr>
      <w:ind w:left="397" w:hanging="227"/>
    </w:pPr>
  </w:style>
  <w:style w:type="paragraph" w:customStyle="1" w:styleId="BulletL3">
    <w:name w:val="Bullet: L3_"/>
    <w:basedOn w:val="BulletL2"/>
    <w:qFormat/>
    <w:rsid w:val="00871606"/>
    <w:pPr>
      <w:ind w:left="624"/>
      <w:contextualSpacing/>
    </w:pPr>
  </w:style>
  <w:style w:type="paragraph" w:customStyle="1" w:styleId="HeaderandFooter">
    <w:name w:val="Header and Footer"/>
    <w:basedOn w:val="Normal"/>
    <w:qFormat/>
  </w:style>
  <w:style w:type="paragraph" w:styleId="Header">
    <w:name w:val="header"/>
    <w:basedOn w:val="Normal"/>
    <w:link w:val="HeaderChar"/>
    <w:uiPriority w:val="99"/>
    <w:unhideWhenUsed/>
    <w:rsid w:val="00EF2EC5"/>
    <w:pPr>
      <w:tabs>
        <w:tab w:val="right" w:pos="9639"/>
      </w:tabs>
      <w:spacing w:line="280" w:lineRule="auto"/>
    </w:pPr>
    <w:rPr>
      <w:rFonts w:cs="Times New Roman (Body CS)"/>
      <w:sz w:val="14"/>
    </w:rPr>
  </w:style>
  <w:style w:type="paragraph" w:styleId="Footer">
    <w:name w:val="footer"/>
    <w:basedOn w:val="Normal"/>
    <w:link w:val="FooterChar"/>
    <w:uiPriority w:val="99"/>
    <w:unhideWhenUsed/>
    <w:rsid w:val="00085C32"/>
    <w:pPr>
      <w:tabs>
        <w:tab w:val="center" w:pos="4513"/>
        <w:tab w:val="right" w:pos="9026"/>
      </w:tabs>
      <w:jc w:val="center"/>
    </w:pPr>
    <w:rPr>
      <w:rFonts w:cs="Times New Roman (Body CS)"/>
      <w:caps/>
      <w:sz w:val="14"/>
    </w:rPr>
  </w:style>
  <w:style w:type="paragraph" w:customStyle="1" w:styleId="FrontcoverSubheading">
    <w:name w:val="Front cover: Subheading_"/>
    <w:basedOn w:val="Normal"/>
    <w:qFormat/>
    <w:rsid w:val="00300ACE"/>
    <w:pPr>
      <w:spacing w:before="120"/>
    </w:pPr>
    <w:rPr>
      <w:sz w:val="32"/>
      <w:szCs w:val="32"/>
    </w:rPr>
  </w:style>
  <w:style w:type="paragraph" w:styleId="ListParagraph">
    <w:name w:val="List Paragraph"/>
    <w:basedOn w:val="Normal"/>
    <w:qFormat/>
    <w:rsid w:val="00AC5179"/>
    <w:pPr>
      <w:ind w:left="720"/>
      <w:contextualSpacing/>
    </w:pPr>
  </w:style>
  <w:style w:type="paragraph" w:customStyle="1" w:styleId="FrontcoverHeading">
    <w:name w:val="Front cover: Heading_"/>
    <w:basedOn w:val="FrontCoverHeading0"/>
    <w:next w:val="Normal"/>
    <w:qFormat/>
    <w:rsid w:val="00FE28C0"/>
  </w:style>
  <w:style w:type="paragraph" w:customStyle="1" w:styleId="Introtext">
    <w:name w:val="Intro text_"/>
    <w:basedOn w:val="Normal"/>
    <w:next w:val="Normal"/>
    <w:qFormat/>
    <w:rsid w:val="005B4F37"/>
    <w:rPr>
      <w:rFonts w:ascii="Arial" w:hAnsi="Arial" w:cs="Times New Roman (Body CS)"/>
      <w:color w:val="000000" w:themeColor="text1"/>
      <w:sz w:val="24"/>
      <w:szCs w:val="38"/>
    </w:rPr>
  </w:style>
  <w:style w:type="paragraph" w:customStyle="1" w:styleId="Caption0">
    <w:name w:val="Caption_"/>
    <w:basedOn w:val="Normal"/>
    <w:qFormat/>
    <w:rsid w:val="0084293D"/>
    <w:rPr>
      <w:color w:val="5D6C7C"/>
      <w:sz w:val="16"/>
    </w:rPr>
  </w:style>
  <w:style w:type="paragraph" w:customStyle="1" w:styleId="Companydetails">
    <w:name w:val="Company details_"/>
    <w:basedOn w:val="Normal"/>
    <w:qFormat/>
    <w:rsid w:val="000B5AC1"/>
    <w:rPr>
      <w:sz w:val="14"/>
      <w:szCs w:val="14"/>
    </w:rPr>
  </w:style>
  <w:style w:type="paragraph" w:customStyle="1" w:styleId="Heading1Numbered">
    <w:name w:val="Heading 1: Numbered_"/>
    <w:basedOn w:val="Heading1"/>
    <w:next w:val="Normal"/>
    <w:qFormat/>
    <w:rsid w:val="00D50EE8"/>
    <w:pPr>
      <w:keepNext w:val="0"/>
      <w:keepLines w:val="0"/>
      <w:numPr>
        <w:numId w:val="1"/>
      </w:numPr>
      <w:tabs>
        <w:tab w:val="left" w:pos="426"/>
      </w:tabs>
      <w:contextualSpacing w:val="0"/>
    </w:pPr>
    <w:rPr>
      <w:rFonts w:eastAsiaTheme="minorHAnsi" w:cstheme="minorBidi"/>
      <w:color w:val="000000" w:themeColor="text1"/>
      <w:szCs w:val="36"/>
    </w:rPr>
  </w:style>
  <w:style w:type="paragraph" w:customStyle="1" w:styleId="Heading2Numbered">
    <w:name w:val="Heading 2: Numbered_"/>
    <w:basedOn w:val="Heading2"/>
    <w:next w:val="Normal"/>
    <w:qFormat/>
    <w:rsid w:val="00703BA8"/>
    <w:pPr>
      <w:numPr>
        <w:ilvl w:val="1"/>
        <w:numId w:val="1"/>
      </w:numPr>
      <w:spacing w:before="120"/>
    </w:pPr>
    <w:rPr>
      <w:szCs w:val="30"/>
    </w:rPr>
  </w:style>
  <w:style w:type="paragraph" w:customStyle="1" w:styleId="Heading3Numbered">
    <w:name w:val="Heading 3: Numbered_"/>
    <w:basedOn w:val="Heading3"/>
    <w:next w:val="Normal"/>
    <w:qFormat/>
    <w:rsid w:val="00A463B3"/>
    <w:pPr>
      <w:numPr>
        <w:ilvl w:val="2"/>
        <w:numId w:val="1"/>
      </w:numPr>
      <w:spacing w:before="120"/>
    </w:pPr>
    <w:rPr>
      <w:rFonts w:asciiTheme="minorHAnsi" w:hAnsiTheme="minorHAnsi"/>
      <w:bCs/>
      <w:szCs w:val="18"/>
    </w:rPr>
  </w:style>
  <w:style w:type="paragraph" w:customStyle="1" w:styleId="NormalNumberedtext">
    <w:name w:val="Normal: Numbered text_"/>
    <w:basedOn w:val="Normal"/>
    <w:link w:val="NormalNumberedtextChar"/>
    <w:qFormat/>
    <w:rsid w:val="005657EF"/>
    <w:pPr>
      <w:ind w:left="709"/>
    </w:pPr>
    <w:rPr>
      <w:lang w:val="en-AU"/>
    </w:rPr>
  </w:style>
  <w:style w:type="paragraph" w:styleId="NormalWeb">
    <w:name w:val="Normal (Web)"/>
    <w:basedOn w:val="Normal"/>
    <w:uiPriority w:val="99"/>
    <w:semiHidden/>
    <w:unhideWhenUsed/>
    <w:qFormat/>
    <w:rsid w:val="00E26015"/>
    <w:rPr>
      <w:rFonts w:ascii="Times New Roman" w:hAnsi="Times New Roman" w:cs="Times New Roman"/>
      <w:sz w:val="24"/>
    </w:rPr>
  </w:style>
  <w:style w:type="paragraph" w:styleId="TOC1">
    <w:name w:val="toc 1"/>
    <w:basedOn w:val="Normal"/>
    <w:next w:val="Normal"/>
    <w:autoRedefine/>
    <w:uiPriority w:val="39"/>
    <w:unhideWhenUsed/>
    <w:rsid w:val="000D491A"/>
    <w:pPr>
      <w:tabs>
        <w:tab w:val="right" w:pos="9639"/>
      </w:tabs>
      <w:spacing w:before="160"/>
      <w:ind w:left="567" w:hanging="567"/>
    </w:pPr>
    <w:rPr>
      <w:b/>
    </w:rPr>
  </w:style>
  <w:style w:type="paragraph" w:styleId="TOC2">
    <w:name w:val="toc 2"/>
    <w:basedOn w:val="Normal"/>
    <w:next w:val="Normal"/>
    <w:autoRedefine/>
    <w:uiPriority w:val="39"/>
    <w:unhideWhenUsed/>
    <w:rsid w:val="00BA2C35"/>
    <w:pPr>
      <w:tabs>
        <w:tab w:val="right" w:pos="9639"/>
      </w:tabs>
      <w:spacing w:before="40"/>
      <w:ind w:left="1134" w:hanging="567"/>
    </w:pPr>
  </w:style>
  <w:style w:type="paragraph" w:styleId="TOC3">
    <w:name w:val="toc 3"/>
    <w:basedOn w:val="Normal"/>
    <w:next w:val="Normal"/>
    <w:autoRedefine/>
    <w:uiPriority w:val="39"/>
    <w:unhideWhenUsed/>
    <w:rsid w:val="00BA2C35"/>
    <w:pPr>
      <w:tabs>
        <w:tab w:val="right" w:pos="9639"/>
      </w:tabs>
      <w:spacing w:before="40"/>
      <w:ind w:left="1701" w:hanging="567"/>
    </w:pPr>
  </w:style>
  <w:style w:type="paragraph" w:customStyle="1" w:styleId="NumberedBulletL1">
    <w:name w:val="Numbered Bullet: L1_"/>
    <w:basedOn w:val="NormalNumberedtext"/>
    <w:qFormat/>
    <w:rsid w:val="00872C4B"/>
    <w:pPr>
      <w:numPr>
        <w:numId w:val="2"/>
      </w:numPr>
      <w:ind w:left="700"/>
    </w:pPr>
  </w:style>
  <w:style w:type="paragraph" w:customStyle="1" w:styleId="NumberedBulletL2">
    <w:name w:val="Numbered Bullet: L2_"/>
    <w:basedOn w:val="NumberedBulletL1"/>
    <w:rsid w:val="000449BE"/>
  </w:style>
  <w:style w:type="paragraph" w:customStyle="1" w:styleId="NumberedBulletL3">
    <w:name w:val="Numbered Bullet: L3_"/>
    <w:basedOn w:val="NumberedBulletL2"/>
    <w:qFormat/>
    <w:rsid w:val="001C6E9B"/>
    <w:pPr>
      <w:ind w:left="1474" w:hanging="227"/>
    </w:pPr>
  </w:style>
  <w:style w:type="paragraph" w:customStyle="1" w:styleId="DataClassification">
    <w:name w:val="Data Classification_"/>
    <w:basedOn w:val="Normal"/>
    <w:qFormat/>
    <w:rsid w:val="00085C32"/>
    <w:pPr>
      <w:jc w:val="center"/>
    </w:pPr>
    <w:rPr>
      <w:rFonts w:cs="Times New Roman (Body CS)"/>
      <w:caps/>
      <w:sz w:val="14"/>
      <w:szCs w:val="14"/>
    </w:rPr>
  </w:style>
  <w:style w:type="paragraph" w:customStyle="1" w:styleId="Headerunderline">
    <w:name w:val="Header underline_"/>
    <w:basedOn w:val="Header"/>
    <w:qFormat/>
    <w:rsid w:val="00EF2EC5"/>
    <w:pPr>
      <w:pBdr>
        <w:bottom w:val="single" w:sz="2" w:space="2" w:color="000000" w:themeColor="dark1"/>
      </w:pBdr>
    </w:pPr>
  </w:style>
  <w:style w:type="paragraph" w:customStyle="1" w:styleId="NumberedCaption">
    <w:name w:val="Numbered Caption_"/>
    <w:basedOn w:val="Caption0"/>
    <w:qFormat/>
    <w:rsid w:val="009A7562"/>
    <w:pPr>
      <w:ind w:left="851"/>
    </w:pPr>
  </w:style>
  <w:style w:type="paragraph" w:customStyle="1" w:styleId="Documentcontroltext">
    <w:name w:val="Document control text_"/>
    <w:basedOn w:val="Normal"/>
    <w:qFormat/>
    <w:rsid w:val="00890B4D"/>
    <w:rPr>
      <w:sz w:val="16"/>
      <w:szCs w:val="16"/>
    </w:rPr>
  </w:style>
  <w:style w:type="paragraph" w:customStyle="1" w:styleId="Instructions">
    <w:name w:val="Instructions"/>
    <w:basedOn w:val="Normal"/>
    <w:qFormat/>
    <w:rsid w:val="00822FEE"/>
    <w:pPr>
      <w:spacing w:after="120" w:line="280" w:lineRule="atLeast"/>
    </w:pPr>
    <w:rPr>
      <w:rFonts w:ascii="Arial" w:eastAsia="Times New Roman" w:hAnsi="Arial" w:cs="Arial"/>
      <w:i/>
      <w:color w:val="0064D8" w:themeColor="accent1" w:themeTint="BF"/>
      <w:sz w:val="18"/>
      <w:szCs w:val="20"/>
      <w:lang w:eastAsia="en-AU"/>
    </w:rPr>
  </w:style>
  <w:style w:type="paragraph" w:styleId="Subtitle">
    <w:name w:val="Subtitle"/>
    <w:basedOn w:val="Normal"/>
    <w:next w:val="Normal"/>
    <w:link w:val="SubtitleChar"/>
    <w:autoRedefine/>
    <w:uiPriority w:val="11"/>
    <w:qFormat/>
    <w:rsid w:val="004D6E31"/>
    <w:pPr>
      <w:widowControl w:val="0"/>
      <w:shd w:val="clear" w:color="auto" w:fill="AE002F" w:themeFill="background2"/>
      <w:spacing w:before="960" w:after="160"/>
      <w:ind w:right="7796"/>
      <w:jc w:val="center"/>
    </w:pPr>
    <w:rPr>
      <w:rFonts w:ascii="Arial Bold" w:eastAsiaTheme="minorEastAsia" w:hAnsi="Arial Bold"/>
      <w:b/>
      <w:caps/>
      <w:spacing w:val="15"/>
      <w:sz w:val="22"/>
      <w:szCs w:val="22"/>
      <w:lang w:val="en-AU"/>
    </w:rPr>
  </w:style>
  <w:style w:type="paragraph" w:customStyle="1" w:styleId="TableContents">
    <w:name w:val="Table Contents"/>
    <w:basedOn w:val="Normal"/>
    <w:qFormat/>
  </w:style>
  <w:style w:type="paragraph" w:customStyle="1" w:styleId="TableHeading">
    <w:name w:val="Table Heading"/>
    <w:basedOn w:val="Normal"/>
    <w:link w:val="TableHeadingChar"/>
    <w:autoRedefine/>
    <w:qFormat/>
    <w:rsid w:val="00A63228"/>
    <w:pPr>
      <w:spacing w:line="240" w:lineRule="atLeast"/>
    </w:pPr>
    <w:rPr>
      <w:rFonts w:ascii="Arial Bold" w:hAnsi="Arial Bold"/>
      <w:bCs/>
      <w:sz w:val="18"/>
      <w:szCs w:val="22"/>
      <w:lang w:val="en-AU"/>
    </w:rPr>
  </w:style>
  <w:style w:type="paragraph" w:customStyle="1" w:styleId="TableText">
    <w:name w:val="Table Text"/>
    <w:basedOn w:val="Normal"/>
    <w:link w:val="TableTextChar"/>
    <w:autoRedefine/>
    <w:qFormat/>
    <w:rsid w:val="009171AE"/>
    <w:pPr>
      <w:numPr>
        <w:numId w:val="4"/>
      </w:numPr>
      <w:spacing w:line="240" w:lineRule="atLeast"/>
    </w:pPr>
    <w:rPr>
      <w:rFonts w:ascii="Arial" w:hAnsi="Arial"/>
      <w:sz w:val="18"/>
      <w:szCs w:val="22"/>
      <w:lang w:val="en-AU" w:eastAsia="en-AU"/>
    </w:rPr>
  </w:style>
  <w:style w:type="paragraph" w:styleId="CommentText">
    <w:name w:val="annotation text"/>
    <w:basedOn w:val="Normal"/>
    <w:link w:val="CommentTextChar"/>
    <w:uiPriority w:val="99"/>
    <w:unhideWhenUsed/>
    <w:rsid w:val="000B368B"/>
    <w:pPr>
      <w:spacing w:before="120" w:after="120"/>
      <w:ind w:left="357"/>
    </w:pPr>
    <w:rPr>
      <w:rFonts w:ascii="Arial" w:hAnsi="Arial" w:cs="Arial"/>
      <w:szCs w:val="20"/>
      <w:lang w:val="en-AU"/>
    </w:rPr>
  </w:style>
  <w:style w:type="paragraph" w:styleId="Revision">
    <w:name w:val="Revision"/>
    <w:uiPriority w:val="99"/>
    <w:semiHidden/>
    <w:qFormat/>
    <w:rsid w:val="000C3DA1"/>
    <w:rPr>
      <w:sz w:val="20"/>
    </w:rPr>
  </w:style>
  <w:style w:type="paragraph" w:styleId="CommentSubject">
    <w:name w:val="annotation subject"/>
    <w:basedOn w:val="CommentText"/>
    <w:next w:val="CommentText"/>
    <w:link w:val="CommentSubjectChar"/>
    <w:uiPriority w:val="99"/>
    <w:semiHidden/>
    <w:unhideWhenUsed/>
    <w:qFormat/>
    <w:rsid w:val="00E374A8"/>
    <w:pPr>
      <w:spacing w:before="0" w:after="0"/>
      <w:ind w:left="0"/>
    </w:pPr>
    <w:rPr>
      <w:rFonts w:asciiTheme="minorHAnsi" w:hAnsiTheme="minorHAnsi" w:cstheme="minorBidi"/>
      <w:b/>
      <w:bCs/>
      <w:lang w:val="en-GB"/>
    </w:rPr>
  </w:style>
  <w:style w:type="paragraph" w:customStyle="1" w:styleId="AutomatedProjectName">
    <w:name w:val="Automated Project Name"/>
    <w:basedOn w:val="Normal"/>
    <w:link w:val="AutomatedProjectNameChar"/>
    <w:qFormat/>
    <w:rsid w:val="008B5BDD"/>
    <w:rPr>
      <w:sz w:val="28"/>
      <w:szCs w:val="28"/>
    </w:rPr>
  </w:style>
  <w:style w:type="paragraph" w:customStyle="1" w:styleId="FrameContents">
    <w:name w:val="Frame Contents"/>
    <w:basedOn w:val="Normal"/>
    <w:qFormat/>
  </w:style>
  <w:style w:type="paragraph" w:customStyle="1" w:styleId="HeaderLeft">
    <w:name w:val="Header Left"/>
    <w:basedOn w:val="Header"/>
    <w:qFormat/>
  </w:style>
  <w:style w:type="numbering" w:customStyle="1" w:styleId="Bulletandendash">
    <w:name w:val="Bullet and en dash_"/>
    <w:uiPriority w:val="99"/>
    <w:qFormat/>
    <w:rsid w:val="007E596C"/>
  </w:style>
  <w:style w:type="numbering" w:customStyle="1" w:styleId="CurrentList1">
    <w:name w:val="Current List1"/>
    <w:uiPriority w:val="99"/>
    <w:qFormat/>
    <w:rsid w:val="00347A8C"/>
  </w:style>
  <w:style w:type="numbering" w:customStyle="1" w:styleId="CurrentList2">
    <w:name w:val="Current List2"/>
    <w:uiPriority w:val="99"/>
    <w:qFormat/>
    <w:rsid w:val="003821F7"/>
  </w:style>
  <w:style w:type="table" w:customStyle="1" w:styleId="Holdingtable">
    <w:name w:val="Holding table_"/>
    <w:basedOn w:val="TableNormal"/>
    <w:uiPriority w:val="99"/>
    <w:rsid w:val="00D219B1"/>
    <w:rPr>
      <w:sz w:val="20"/>
    </w:rPr>
    <w:tblPr/>
    <w:tcPr>
      <w:tcMar>
        <w:left w:w="0" w:type="dxa"/>
        <w:right w:w="0" w:type="dxa"/>
      </w:tcMar>
    </w:tcPr>
  </w:style>
  <w:style w:type="table" w:styleId="TableGrid">
    <w:name w:val="Table Grid"/>
    <w:basedOn w:val="TableNormal"/>
    <w:rsid w:val="007319A3"/>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Option1">
    <w:name w:val="Table: Option 1_"/>
    <w:basedOn w:val="TableNormal"/>
    <w:uiPriority w:val="99"/>
    <w:rsid w:val="00C45E8B"/>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tcPr>
      <w:tcMar>
        <w:top w:w="57" w:type="dxa"/>
        <w:bottom w:w="57" w:type="dxa"/>
      </w:tcMar>
    </w:tcPr>
  </w:style>
  <w:style w:type="table" w:customStyle="1" w:styleId="TableOption2">
    <w:name w:val="Table: Option 2_"/>
    <w:basedOn w:val="TableNormal"/>
    <w:uiPriority w:val="99"/>
    <w:rsid w:val="00583A22"/>
    <w:tblPr>
      <w:tblBorders>
        <w:top w:val="single" w:sz="4" w:space="0" w:color="000000" w:themeColor="text1"/>
        <w:bottom w:val="single" w:sz="4" w:space="0" w:color="000000" w:themeColor="text1"/>
        <w:insideH w:val="single" w:sz="4" w:space="0" w:color="000000" w:themeColor="text1"/>
      </w:tblBorders>
    </w:tblPr>
    <w:tcPr>
      <w:tcMar>
        <w:top w:w="57" w:type="dxa"/>
        <w:bottom w:w="57" w:type="dxa"/>
      </w:tcMar>
    </w:tcPr>
  </w:style>
  <w:style w:type="table" w:styleId="ListTable3-Accent3">
    <w:name w:val="List Table 3 Accent 3"/>
    <w:basedOn w:val="TableNormal"/>
    <w:uiPriority w:val="48"/>
    <w:rsid w:val="00BA2C35"/>
    <w:rPr>
      <w:sz w:val="22"/>
      <w:szCs w:val="22"/>
    </w:rPr>
    <w:tblPr>
      <w:tblStyleRowBandSize w:val="1"/>
      <w:tblStyleColBandSize w:val="1"/>
      <w:tblBorders>
        <w:top w:val="single" w:sz="4" w:space="0" w:color="01593C" w:themeColor="accent3"/>
        <w:left w:val="single" w:sz="4" w:space="0" w:color="01593C" w:themeColor="accent3"/>
        <w:bottom w:val="single" w:sz="4" w:space="0" w:color="01593C" w:themeColor="accent3"/>
        <w:right w:val="single" w:sz="4" w:space="0" w:color="01593C" w:themeColor="accent3"/>
      </w:tblBorders>
    </w:tblPr>
    <w:tblStylePr w:type="firstRow">
      <w:rPr>
        <w:b/>
        <w:bCs/>
        <w:color w:val="FFFFFF" w:themeColor="background1"/>
      </w:rPr>
      <w:tblPr/>
      <w:tcPr>
        <w:shd w:val="clear" w:color="auto" w:fill="01593C" w:themeFill="accent3"/>
      </w:tcPr>
    </w:tblStylePr>
    <w:tblStylePr w:type="lastRow">
      <w:rPr>
        <w:b/>
        <w:bCs/>
      </w:rPr>
      <w:tblPr/>
      <w:tcPr>
        <w:tcBorders>
          <w:top w:val="double" w:sz="4" w:space="0" w:color="01593C" w:themeColor="accent3"/>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01593C" w:themeColor="accent3"/>
          <w:right w:val="single" w:sz="4" w:space="0" w:color="01593C" w:themeColor="accent3"/>
        </w:tcBorders>
      </w:tcPr>
    </w:tblStylePr>
    <w:tblStylePr w:type="band1Horz">
      <w:tblPr/>
      <w:tcPr>
        <w:tcBorders>
          <w:top w:val="single" w:sz="4" w:space="0" w:color="01593C" w:themeColor="accent3"/>
          <w:bottom w:val="single" w:sz="4" w:space="0" w:color="01593C" w:themeColor="accent3"/>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01593C" w:themeColor="accent3"/>
          <w:left w:val="nil"/>
        </w:tcBorders>
      </w:tcPr>
    </w:tblStylePr>
    <w:tblStylePr w:type="swCell">
      <w:tblPr/>
      <w:tcPr>
        <w:tcBorders>
          <w:top w:val="double" w:sz="4" w:space="0" w:color="01593C" w:themeColor="accent3"/>
          <w:right w:val="nil"/>
        </w:tcBorders>
      </w:tcPr>
    </w:tblStylePr>
  </w:style>
  <w:style w:type="paragraph" w:customStyle="1" w:styleId="HeaderRight">
    <w:name w:val="Header Right"/>
    <w:basedOn w:val="Normal"/>
    <w:rsid w:val="00A31AE7"/>
    <w:pPr>
      <w:suppressAutoHyphens w:val="0"/>
      <w:spacing w:before="240"/>
      <w:jc w:val="right"/>
    </w:pPr>
    <w:rPr>
      <w:rFonts w:ascii="Arial" w:eastAsia="Times New Roman" w:hAnsi="Arial" w:cs="Times New Roman"/>
      <w:sz w:val="28"/>
      <w:szCs w:val="20"/>
    </w:rPr>
  </w:style>
  <w:style w:type="paragraph" w:customStyle="1" w:styleId="FrontCoverSubheading0">
    <w:name w:val="Front Cover Subheading"/>
    <w:basedOn w:val="Normal"/>
    <w:qFormat/>
    <w:rsid w:val="003C2B09"/>
    <w:pPr>
      <w:suppressAutoHyphens w:val="0"/>
      <w:spacing w:before="120" w:after="360"/>
    </w:pPr>
    <w:rPr>
      <w:rFonts w:ascii="Arial" w:eastAsia="Times New Roman" w:hAnsi="Arial" w:cs="Times New Roman"/>
      <w:color w:val="404040" w:themeColor="text1" w:themeTint="BF"/>
      <w:sz w:val="40"/>
      <w:szCs w:val="32"/>
      <w:lang w:val="en-AU" w:bidi="en-US"/>
    </w:rPr>
  </w:style>
  <w:style w:type="paragraph" w:customStyle="1" w:styleId="FrontCoverHeading0">
    <w:name w:val="Front Cover Heading"/>
    <w:basedOn w:val="Normal"/>
    <w:next w:val="Normal"/>
    <w:qFormat/>
    <w:rsid w:val="003C2B09"/>
    <w:pPr>
      <w:tabs>
        <w:tab w:val="right" w:pos="9639"/>
      </w:tabs>
      <w:suppressAutoHyphens w:val="0"/>
      <w:spacing w:before="960"/>
    </w:pPr>
    <w:rPr>
      <w:rFonts w:ascii="Arial" w:eastAsia="Times New Roman" w:hAnsi="Arial" w:cs="Times New Roman"/>
      <w:b/>
      <w:bCs/>
      <w:color w:val="404040" w:themeColor="text1" w:themeTint="BF"/>
      <w:sz w:val="56"/>
      <w:szCs w:val="56"/>
      <w:lang w:val="en-AU" w:eastAsia="en-AU" w:bidi="en-US"/>
    </w:rPr>
  </w:style>
  <w:style w:type="numbering" w:customStyle="1" w:styleId="Headings">
    <w:name w:val="Headings"/>
    <w:uiPriority w:val="99"/>
    <w:rsid w:val="003C2B09"/>
    <w:pPr>
      <w:numPr>
        <w:numId w:val="25"/>
      </w:numPr>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eader" Target="header2.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footer" Target="footer1.xml"/><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5" Type="http://schemas.openxmlformats.org/officeDocument/2006/relationships/numbering" Target="numbering.xml"/><Relationship Id="rId15" Type="http://schemas.openxmlformats.org/officeDocument/2006/relationships/fontTable" Target="fontTable.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2.xml"/></Relationships>
</file>

<file path=word/_rels/header2.xml.rels><?xml version="1.0" encoding="UTF-8" standalone="yes"?>
<Relationships xmlns="http://schemas.openxmlformats.org/package/2006/relationships"><Relationship Id="rId3" Type="http://schemas.openxmlformats.org/officeDocument/2006/relationships/image" Target="media/image3.svg"/><Relationship Id="rId2" Type="http://schemas.openxmlformats.org/officeDocument/2006/relationships/image" Target="media/image2.png"/><Relationship Id="rId1" Type="http://schemas.openxmlformats.org/officeDocument/2006/relationships/image" Target="media/image1.png"/></Relationships>
</file>

<file path=word/theme/theme1.xml><?xml version="1.0" encoding="utf-8"?>
<a:theme xmlns:a="http://schemas.openxmlformats.org/drawingml/2006/main" name="RioTintoMSWordFeb2023">
  <a:themeElements>
    <a:clrScheme name="Custom 5">
      <a:dk1>
        <a:srgbClr val="000000"/>
      </a:dk1>
      <a:lt1>
        <a:srgbClr val="FFFFFF"/>
      </a:lt1>
      <a:dk2>
        <a:srgbClr val="CA2320"/>
      </a:dk2>
      <a:lt2>
        <a:srgbClr val="AE002F"/>
      </a:lt2>
      <a:accent1>
        <a:srgbClr val="003776"/>
      </a:accent1>
      <a:accent2>
        <a:srgbClr val="0059D1"/>
      </a:accent2>
      <a:accent3>
        <a:srgbClr val="01593C"/>
      </a:accent3>
      <a:accent4>
        <a:srgbClr val="007461"/>
      </a:accent4>
      <a:accent5>
        <a:srgbClr val="B5B8C0"/>
      </a:accent5>
      <a:accent6>
        <a:srgbClr val="5D6C7C"/>
      </a:accent6>
      <a:hlink>
        <a:srgbClr val="000000"/>
      </a:hlink>
      <a:folHlink>
        <a:srgbClr val="CA2320"/>
      </a:folHlink>
    </a:clrScheme>
    <a:fontScheme name="Arial">
      <a:majorFont>
        <a:latin typeface="Arial" panose="020B0604020202020204"/>
        <a:ea typeface=""/>
        <a:cs typeface=""/>
      </a:majorFont>
      <a:minorFont>
        <a:latin typeface="Arial" panose="020B0604020202020204"/>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a:gradFill>
      </a:fillStyleLst>
      <a:lnStyleLst>
        <a:ln w="6350" cap="flat" cmpd="sng" algn="ctr">
          <a:prstDash val="solid"/>
          <a:miter lim="800000"/>
        </a:ln>
        <a:ln w="12700" cap="flat" cmpd="sng" algn="ctr">
          <a:prstDash val="solid"/>
          <a:miter lim="800000"/>
        </a:ln>
        <a:ln w="1905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lcf76f155ced4ddcb4097134ff3c332f xmlns="65e197f2-df1a-4275-af0d-2d425d2305ac">
      <Terms xmlns="http://schemas.microsoft.com/office/infopath/2007/PartnerControls"/>
    </lcf76f155ced4ddcb4097134ff3c332f>
    <TaxCatchAll xmlns="3f8b23f9-ca21-47be-b3e2-2641c8058dd1" xsi:nil="true"/>
    <ApprovalCompleted xmlns="65e197f2-df1a-4275-af0d-2d425d2305ac" xsi:nil="true"/>
    <IssuedForUse xmlns="65e197f2-df1a-4275-af0d-2d425d2305ac" xsi:nil="true"/>
    <ReviewStatus xmlns="65e197f2-df1a-4275-af0d-2d425d2305ac">Not Started</ReviewStatus>
    <UpdateNotes xmlns="65e197f2-df1a-4275-af0d-2d425d2305ac" xsi:nil="true"/>
    <DocumentType xmlns="65e197f2-df1a-4275-af0d-2d425d2305ac" xsi:nil="true"/>
    <ReviewCompleted xmlns="65e197f2-df1a-4275-af0d-2d425d2305ac" xsi:nil="true"/>
    <WorkScopeCategory xmlns="65e197f2-df1a-4275-af0d-2d425d2305ac" xsi:nil="true"/>
  </documentManagement>
</p:properties>
</file>

<file path=customXml/item2.xml><?xml version="1.0" encoding="utf-8"?>
<ct:contentTypeSchema xmlns:ct="http://schemas.microsoft.com/office/2006/metadata/contentType" xmlns:ma="http://schemas.microsoft.com/office/2006/metadata/properties/metaAttributes" ct:_="" ma:_="" ma:contentTypeName="Document" ma:contentTypeID="0x01010098957747BE8EC348A2D657B974A8D1F0" ma:contentTypeVersion="20" ma:contentTypeDescription="Create a new document." ma:contentTypeScope="" ma:versionID="612ab7ca577f1aff0f37e3112c079435">
  <xsd:schema xmlns:xsd="http://www.w3.org/2001/XMLSchema" xmlns:xs="http://www.w3.org/2001/XMLSchema" xmlns:p="http://schemas.microsoft.com/office/2006/metadata/properties" xmlns:ns2="65e197f2-df1a-4275-af0d-2d425d2305ac" xmlns:ns3="3f8b23f9-ca21-47be-b3e2-2641c8058dd1" targetNamespace="http://schemas.microsoft.com/office/2006/metadata/properties" ma:root="true" ma:fieldsID="583ff3aa54861f6fe227510cdf6252f8" ns2:_="" ns3:_="">
    <xsd:import namespace="65e197f2-df1a-4275-af0d-2d425d2305ac"/>
    <xsd:import namespace="3f8b23f9-ca21-47be-b3e2-2641c8058dd1"/>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element ref="ns2:lcf76f155ced4ddcb4097134ff3c332f" minOccurs="0"/>
                <xsd:element ref="ns3:TaxCatchAll" minOccurs="0"/>
                <xsd:element ref="ns2:MediaServiceDateTaken" minOccurs="0"/>
                <xsd:element ref="ns2:MediaServiceOCR" minOccurs="0"/>
                <xsd:element ref="ns2:MediaServiceGenerationTime" minOccurs="0"/>
                <xsd:element ref="ns2:MediaServiceEventHashCode" minOccurs="0"/>
                <xsd:element ref="ns2:ReviewStatus" minOccurs="0"/>
                <xsd:element ref="ns2:UpdateNotes" minOccurs="0"/>
                <xsd:element ref="ns2:ReviewCompleted" minOccurs="0"/>
                <xsd:element ref="ns2:ApprovalCompleted" minOccurs="0"/>
                <xsd:element ref="ns2:IssuedForUse" minOccurs="0"/>
                <xsd:element ref="ns2:WorkScopeCategory" minOccurs="0"/>
                <xsd:element ref="ns2:MediaServiceLocation" minOccurs="0"/>
                <xsd:element ref="ns2:MediaLengthInSeconds" minOccurs="0"/>
                <xsd:element ref="ns2:DocumentTyp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65e197f2-df1a-4275-af0d-2d425d2305ac"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lcf76f155ced4ddcb4097134ff3c332f" ma:index="13" nillable="true" ma:taxonomy="true" ma:internalName="lcf76f155ced4ddcb4097134ff3c332f" ma:taxonomyFieldName="MediaServiceImageTags" ma:displayName="Image Tags" ma:readOnly="false" ma:fieldId="{5cf76f15-5ced-4ddc-b409-7134ff3c332f}" ma:taxonomyMulti="true" ma:sspId="48eee30a-abdd-4ed4-9221-278e5f31030e" ma:termSetId="09814cd3-568e-fe90-9814-8d621ff8fb84" ma:anchorId="fba54fb3-c3e1-fe81-a776-ca4b69148c4d" ma:open="true" ma:isKeyword="false">
      <xsd:complexType>
        <xsd:sequence>
          <xsd:element ref="pc:Terms" minOccurs="0" maxOccurs="1"/>
        </xsd:sequence>
      </xsd:complexType>
    </xsd:element>
    <xsd:element name="MediaServiceDateTaken" ma:index="15" nillable="true" ma:displayName="MediaServiceDateTaken" ma:hidden="true" ma:indexed="true" ma:internalName="MediaServiceDateTaken" ma:readOnly="true">
      <xsd:simpleType>
        <xsd:restriction base="dms:Text"/>
      </xsd:simpleType>
    </xsd:element>
    <xsd:element name="MediaServiceOCR" ma:index="16" nillable="true" ma:displayName="Extracted Text" ma:internalName="MediaServiceOCR" ma:readOnly="true">
      <xsd:simpleType>
        <xsd:restriction base="dms:Note">
          <xsd:maxLength value="255"/>
        </xsd:restriction>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element name="ReviewStatus" ma:index="19" nillable="true" ma:displayName="Review Status" ma:default="Not Started" ma:format="Dropdown" ma:internalName="ReviewStatus">
      <xsd:simpleType>
        <xsd:restriction base="dms:Choice">
          <xsd:enumeration value="Not Started"/>
          <xsd:enumeration value="In Progress"/>
          <xsd:enumeration value="Delayed"/>
          <xsd:enumeration value="Pending Input"/>
          <xsd:enumeration value="Pending Review/ Approval"/>
          <xsd:enumeration value="Void"/>
          <xsd:enumeration value="Completed"/>
          <xsd:enumeration value="Issued For Use"/>
          <xsd:enumeration value="Information Only"/>
        </xsd:restriction>
      </xsd:simpleType>
    </xsd:element>
    <xsd:element name="UpdateNotes" ma:index="20" nillable="true" ma:displayName="Update Notes" ma:format="Dropdown" ma:internalName="UpdateNotes">
      <xsd:simpleType>
        <xsd:restriction base="dms:Note">
          <xsd:maxLength value="255"/>
        </xsd:restriction>
      </xsd:simpleType>
    </xsd:element>
    <xsd:element name="ReviewCompleted" ma:index="21" nillable="true" ma:displayName="Review Completed" ma:format="DateOnly" ma:internalName="ReviewCompleted">
      <xsd:simpleType>
        <xsd:restriction base="dms:DateTime"/>
      </xsd:simpleType>
    </xsd:element>
    <xsd:element name="ApprovalCompleted" ma:index="22" nillable="true" ma:displayName="Approval Completed" ma:format="DateOnly" ma:internalName="ApprovalCompleted">
      <xsd:simpleType>
        <xsd:restriction base="dms:DateTime"/>
      </xsd:simpleType>
    </xsd:element>
    <xsd:element name="IssuedForUse" ma:index="23" nillable="true" ma:displayName="Issued For Use" ma:format="DateOnly" ma:internalName="IssuedForUse">
      <xsd:simpleType>
        <xsd:restriction base="dms:DateTime"/>
      </xsd:simpleType>
    </xsd:element>
    <xsd:element name="WorkScopeCategory" ma:index="24" nillable="true" ma:displayName="Work Scope Category" ma:format="Dropdown" ma:internalName="WorkScopeCategory">
      <xsd:simpleType>
        <xsd:restriction base="dms:Choice">
          <xsd:enumeration value="Appendix C Refresh"/>
          <xsd:enumeration value="Critical Requirements"/>
          <xsd:enumeration value="PM+ Supporting Document Update"/>
          <xsd:enumeration value="HSSEC Stewardship (Non-Managed)"/>
          <xsd:enumeration value="HSSECMS Development"/>
          <xsd:enumeration value="No Action Required"/>
        </xsd:restriction>
      </xsd:simpleType>
    </xsd:element>
    <xsd:element name="MediaServiceLocation" ma:index="25" nillable="true" ma:displayName="Location" ma:indexed="true" ma:internalName="MediaServiceLocation" ma:readOnly="true">
      <xsd:simpleType>
        <xsd:restriction base="dms:Text"/>
      </xsd:simpleType>
    </xsd:element>
    <xsd:element name="MediaLengthInSeconds" ma:index="26" nillable="true" ma:displayName="MediaLengthInSeconds" ma:hidden="true" ma:internalName="MediaLengthInSeconds" ma:readOnly="true">
      <xsd:simpleType>
        <xsd:restriction base="dms:Unknown"/>
      </xsd:simpleType>
    </xsd:element>
    <xsd:element name="DocumentType" ma:index="27" nillable="true" ma:displayName="Document Type" ma:format="Dropdown" ma:internalName="DocumentType">
      <xsd:simpleType>
        <xsd:restriction base="dms:Choice">
          <xsd:enumeration value="Procedure"/>
          <xsd:enumeration value="Guidance/ Management Plan"/>
          <xsd:enumeration value="Registers"/>
          <xsd:enumeration value="Forms/ Templates"/>
        </xsd:restriction>
      </xsd:simpleType>
    </xsd:element>
  </xsd:schema>
  <xsd:schema xmlns:xsd="http://www.w3.org/2001/XMLSchema" xmlns:xs="http://www.w3.org/2001/XMLSchema" xmlns:dms="http://schemas.microsoft.com/office/2006/documentManagement/types" xmlns:pc="http://schemas.microsoft.com/office/infopath/2007/PartnerControls" targetNamespace="3f8b23f9-ca21-47be-b3e2-2641c8058dd1"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24a3a3c5-8bfa-431a-a526-0901b8485d2f}" ma:internalName="TaxCatchAll" ma:showField="CatchAllData" ma:web="3f8b23f9-ca21-47be-b3e2-2641c8058dd1">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A2D9E33-4E07-413F-8EE7-94DAF9FB6A95}">
  <ds:schemaRefs>
    <ds:schemaRef ds:uri="http://schemas.microsoft.com/office/2006/metadata/properties"/>
    <ds:schemaRef ds:uri="http://schemas.microsoft.com/office/infopath/2007/PartnerControls"/>
    <ds:schemaRef ds:uri="65e197f2-df1a-4275-af0d-2d425d2305ac"/>
    <ds:schemaRef ds:uri="3f8b23f9-ca21-47be-b3e2-2641c8058dd1"/>
  </ds:schemaRefs>
</ds:datastoreItem>
</file>

<file path=customXml/itemProps2.xml><?xml version="1.0" encoding="utf-8"?>
<ds:datastoreItem xmlns:ds="http://schemas.openxmlformats.org/officeDocument/2006/customXml" ds:itemID="{CCA599EC-14D5-4590-832F-AEA543218684}">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65e197f2-df1a-4275-af0d-2d425d2305ac"/>
    <ds:schemaRef ds:uri="3f8b23f9-ca21-47be-b3e2-2641c8058dd1"/>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EA478EB8-DA8F-46D0-9691-BB91349D1352}">
  <ds:schemaRefs>
    <ds:schemaRef ds:uri="http://schemas.microsoft.com/sharepoint/v3/contenttype/forms"/>
  </ds:schemaRefs>
</ds:datastoreItem>
</file>

<file path=customXml/itemProps4.xml><?xml version="1.0" encoding="utf-8"?>
<ds:datastoreItem xmlns:ds="http://schemas.openxmlformats.org/officeDocument/2006/customXml" ds:itemID="{7319BAC4-4476-4951-9EC7-615C0F36B00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17</TotalTime>
  <Pages>3</Pages>
  <Words>89</Words>
  <Characters>518</Characters>
  <Application>Microsoft Office Word</Application>
  <DocSecurity>0</DocSecurity>
  <Lines>76</Lines>
  <Paragraphs>35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Ashleigh Phillips</dc:creator>
  <cp:lastModifiedBy>Ashleigh Phillips</cp:lastModifiedBy>
  <cp:revision>4</cp:revision>
  <dcterms:created xsi:type="dcterms:W3CDTF">2026-06-16T05:02:00Z</dcterms:created>
  <dcterms:modified xsi:type="dcterms:W3CDTF">2026-06-22T10:24:00Z</dcterms:modified>
</cp:coreProperties>
</file>

<file path=docProps/core0.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2025-11-28T01:34:00Z</dcterms:created>
  <dc:creator>De Roo, Justin (STP)</dc:creator>
  <dc:description/>
  <dc:language>en-US</dc:language>
  <cp:lastModifiedBy>Ashleigh Phillips</cp:lastModifiedBy>
  <cp:lastPrinted>2026-02-09T07:22:00Z</cp:lastPrinted>
  <dcterms:modified xsi:type="dcterms:W3CDTF">2026-05-04T04:36:00Z</dcterms:modified>
  <cp:revision>59</cp:revision>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0x01010098957747BE8EC348A2D657B974A8D1F0</vt:lpwstr>
  </property>
  <property fmtid="{D5CDD505-2E9C-101B-9397-08002B2CF9AE}" pid="3" name="Doc Type">
    <vt:lpwstr>23;#Template|c9df5e63-6677-4a8a-bf18-582bdefa876e</vt:lpwstr>
  </property>
  <property fmtid="{D5CDD505-2E9C-101B-9397-08002B2CF9AE}" pid="4" name="Doc_x0020_Type">
    <vt:lpwstr>23;#Template|c9df5e63-6677-4a8a-bf18-582bdefa876e</vt:lpwstr>
  </property>
  <property fmtid="{D5CDD505-2E9C-101B-9397-08002B2CF9AE}" pid="5" name="Function Group">
    <vt:lpwstr/>
  </property>
  <property fmtid="{D5CDD505-2E9C-101B-9397-08002B2CF9AE}" pid="6" name="Function_x0020_Group">
    <vt:lpwstr/>
  </property>
  <property fmtid="{D5CDD505-2E9C-101B-9397-08002B2CF9AE}" pid="7" name="GrammarlyDocumentId">
    <vt:lpwstr>fe4ffe3e-119a-4f91-9429-2d1e97004826</vt:lpwstr>
  </property>
  <property fmtid="{D5CDD505-2E9C-101B-9397-08002B2CF9AE}" pid="8" name="MediaServiceImageTags">
    <vt:lpwstr/>
  </property>
  <property fmtid="{D5CDD505-2E9C-101B-9397-08002B2CF9AE}" pid="9" name="Project Phases">
    <vt:lpwstr/>
  </property>
  <property fmtid="{D5CDD505-2E9C-101B-9397-08002B2CF9AE}" pid="10" name="Project_x0020_Phases">
    <vt:lpwstr/>
  </property>
</Properties>
</file>