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Fitness for Work</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14:paraId="6E516230" w14:textId="77777777" w:rsidR="003C2B09" w:rsidRDefault="003C2B09" w:rsidP="003C2B09"/>
    <w:p w14:paraId="4330B982" w14:textId="77777777" w:rsidR="00FC1013" w:rsidRDefault="00FC1013"/>
    <w:p w14:paraId="3F49839F" w14:textId="77777777" w:rsidR="00FC1013" w:rsidRDefault="00FC1013"/>
    <w:p w14:paraId="024B4AF9" w14:textId="77777777" w:rsidR="00FC1013" w:rsidRDefault="00FC1013"/>
    <w:p w14:paraId="1D87EEA0" w14:textId="77777777" w:rsidR="00FC1013" w:rsidRDefault="00FC1013"/>
    <w:p w14:paraId="02DA4480" w14:textId="77777777" w:rsidR="00FC1013" w:rsidRDefault="00FC1013"/>
    <w:p w14:paraId="0A829ADA" w14:textId="77777777" w:rsidR="00FC1013" w:rsidRDefault="00FC1013"/>
    <w:p w14:paraId="4F7B4116" w14:textId="77777777" w:rsidR="00FC1013" w:rsidRDefault="00FC1013"/>
    <w:p w14:paraId="467CDA0D" w14:textId="77777777" w:rsidR="00FC1013" w:rsidRDefault="00FC1013"/>
    <w:p w14:paraId="3EC5F2F3" w14:textId="77777777" w:rsidR="00FC1013" w:rsidRDefault="00FC1013"/>
    <w:p w14:paraId="4B062008" w14:textId="77777777" w:rsidR="00FC1013" w:rsidRDefault="00FC1013"/>
    <w:p w14:paraId="45079EE2" w14:textId="77777777" w:rsidR="00FC1013" w:rsidRDefault="00FC1013"/>
    <w:p w14:paraId="506724FC" w14:textId="77777777" w:rsidR="00FC1013" w:rsidRDefault="00FC1013"/>
    <w:p w14:paraId="2002AC11" w14:textId="77777777" w:rsidR="00FC1013" w:rsidRDefault="00FC1013"/>
    <w:p w14:paraId="218FDDD2" w14:textId="77777777" w:rsidR="00FC1013" w:rsidRDefault="00FC1013"/>
    <w:p w14:paraId="273D8C5E" w14:textId="77777777" w:rsidR="00FC1013" w:rsidRDefault="00FC1013"/>
    <w:p w14:paraId="7F3ECC22" w14:textId="77777777" w:rsidR="00FC1013" w:rsidRDefault="00FC1013"/>
    <w:p w14:paraId="272A3A53" w14:textId="77777777" w:rsidR="00FC1013" w:rsidRDefault="00FC1013"/>
    <w:p w14:paraId="1A0C534D" w14:textId="77777777" w:rsidR="00FC1013" w:rsidRDefault="00FC1013"/>
    <w:p w14:paraId="65E47FF2" w14:textId="77777777" w:rsidR="00FC1013" w:rsidRDefault="00FC1013"/>
    <w:p w14:paraId="0A0D51FD" w14:textId="77777777" w:rsidR="00FC1013" w:rsidRDefault="00FC1013"/>
    <w:p w14:paraId="3C0F200A" w14:textId="77777777" w:rsidR="00FC1013" w:rsidRDefault="00FC1013"/>
    <w:p w14:paraId="2B4D0443" w14:textId="77777777" w:rsidR="00FC1013" w:rsidRDefault="00FC1013"/>
    <w:p w14:paraId="44A95602" w14:textId="77777777" w:rsidR="00FC1013" w:rsidRDefault="00FC1013"/>
    <w:p w14:paraId="2F555222" w14:textId="77777777" w:rsidR="00FC1013" w:rsidRDefault="00FC1013"/>
    <w:p w14:paraId="773CC029" w14:textId="77777777" w:rsidR="00FC1013" w:rsidRDefault="00FC1013"/>
    <w:p w14:paraId="70A4CE9E" w14:textId="77777777" w:rsidR="00FC1013" w:rsidRDefault="00FC1013"/>
    <w:p w14:paraId="7D9768A0" w14:textId="77777777" w:rsidR="00FC1013" w:rsidRDefault="00FC1013"/>
    <w:tbl>
      <w:tblPr>
        <w:tblStyle w:val="Holdingtable"/>
        <w:tblW w:w="9622" w:type="dxa"/>
        <w:tblLayout w:type="fixed"/>
        <w:tblCellMar>
          <w:left w:w="0" w:type="dxa"/>
          <w:right w:w="0" w:type="dxa"/>
        </w:tblCellMar>
        <w:tblLook w:val="04A0" w:firstRow="1" w:lastRow="0" w:firstColumn="1" w:lastColumn="0" w:noHBand="0" w:noVBand="1"/>
      </w:tblPr>
      <w:tblGrid>
        <w:gridCol w:w="3207"/>
        <w:gridCol w:w="1895"/>
        <w:gridCol w:w="4520"/>
      </w:tblGrid>
      <w:tr w:rsidR="00FC1013" w14:paraId="6E9D92D4" w14:textId="77777777">
        <w:tc>
          <w:tcPr>
            <w:tcW w:w="3207" w:type="dxa"/>
          </w:tcPr>
          <w:p w14:paraId="3495AB40" w14:textId="77777777" w:rsidR="00FC1013" w:rsidRDefault="004C465B">
            <w:pPr>
              <w:rPr>
                <w:rFonts w:ascii="Arial" w:eastAsia="Arial" w:hAnsi="Arial"/>
              </w:rPr>
            </w:pPr>
            <w:r>
              <w:rPr>
                <w:rFonts w:eastAsia="Arial"/>
                <w:b/>
                <w:bCs/>
              </w:rPr>
              <w:t>Document Number</w:t>
            </w:r>
          </w:p>
        </w:tc>
        <w:tc>
          <w:tcPr>
            <w:tcW w:w="1895" w:type="dxa"/>
          </w:tcPr>
          <w:p w14:paraId="6CD78A18" w14:textId="77777777" w:rsidR="00FC1013" w:rsidRDefault="004C465B">
            <w:pPr>
              <w:rPr>
                <w:b/>
                <w:bCs/>
              </w:rPr>
            </w:pPr>
            <w:r>
              <w:rPr>
                <w:rFonts w:eastAsia="Arial"/>
                <w:b/>
                <w:bCs/>
              </w:rPr>
              <w:t>Revision</w:t>
            </w:r>
          </w:p>
        </w:tc>
        <w:tc>
          <w:tcPr>
            <w:tcW w:w="4520" w:type="dxa"/>
          </w:tcPr>
          <w:p w14:paraId="23D99E60" w14:textId="77777777" w:rsidR="00FC1013" w:rsidRDefault="004C465B">
            <w:pPr>
              <w:rPr>
                <w:b/>
                <w:bCs/>
              </w:rPr>
            </w:pPr>
            <w:r>
              <w:rPr>
                <w:rFonts w:eastAsia="Arial"/>
                <w:b/>
                <w:bCs/>
              </w:rPr>
              <w:t>Date</w:t>
            </w:r>
          </w:p>
        </w:tc>
      </w:tr>
      <w:tr w:rsidR="00FC1013" w14:paraId="153840A8" w14:textId="77777777">
        <w:trPr>
          <w:trHeight w:val="466"/>
        </w:trPr>
        <w:tc>
          <w:tcPr>
            <w:tcW w:w="3207" w:type="dxa"/>
          </w:tcPr>
          <w:p w14:paraId="2E16B392" w14:textId="77777777" w:rsidR="00FC1013" w:rsidRDefault="004C465B">
            <w:pPr>
              <w:rPr>
                <w:rFonts w:ascii="Arial" w:eastAsia="Arial" w:hAnsi="Arial"/>
              </w:rPr>
            </w:pPr>
            <w:r>
              <w:rPr>
                <w:rFonts w:eastAsia="Arial"/>
              </w:rPr>
              <w:t>RTPR-HSE-PRO-XXXX</w:t>
            </w:r>
          </w:p>
        </w:tc>
        <w:tc>
          <w:tcPr>
            <w:tcW w:w="1895" w:type="dxa"/>
          </w:tcPr>
          <w:p w14:paraId="37F3B8E3" w14:textId="77777777" w:rsidR="00FC1013" w:rsidRDefault="004C465B">
            <w:pPr>
              <w:rPr>
                <w:rFonts w:ascii="Arial" w:eastAsia="Arial" w:hAnsi="Arial"/>
              </w:rPr>
            </w:pPr>
            <w:r>
              <w:rPr>
                <w:rFonts w:eastAsia="Arial"/>
              </w:rPr>
              <w:t>Rev 0</w:t>
            </w:r>
          </w:p>
        </w:tc>
        <w:tc>
          <w:tcPr>
            <w:tcW w:w="4520" w:type="dxa"/>
          </w:tcPr>
          <w:p w14:paraId="1C08B5EF" w14:textId="77777777" w:rsidR="00FC1013" w:rsidRDefault="00C46050">
            <w:pPr>
              <w:rPr>
                <w:rFonts w:ascii="Arial" w:eastAsia="Arial" w:hAnsi="Arial"/>
              </w:rPr>
            </w:pPr>
            <w:r>
              <w:rPr>
                <w:rFonts w:eastAsia="Arial"/>
              </w:rPr>
              <w:t>30/06/2026</w:t>
            </w:r>
          </w:p>
        </w:tc>
      </w:tr>
    </w:tbl>
    <w:p w14:paraId="2A1534AA" w14:textId="77777777" w:rsidR="00FC1013" w:rsidRDefault="00FC1013"/>
    <w:p w14:paraId="0A922A1D" w14:textId="77777777" w:rsidR="00FC1013" w:rsidRDefault="00FC1013"/>
    <w:tbl>
      <w:tblPr>
        <w:tblStyle w:val="TableGrid"/>
        <w:tblW w:w="9597" w:type="dxa"/>
        <w:tblInd w:w="-10" w:type="dxa"/>
        <w:tblLayout w:type="fixed"/>
        <w:tblLook w:val="04A0" w:firstRow="1" w:lastRow="0" w:firstColumn="1" w:lastColumn="0" w:noHBand="0" w:noVBand="1"/>
      </w:tblPr>
      <w:tblGrid>
        <w:gridCol w:w="1419"/>
        <w:gridCol w:w="1847"/>
        <w:gridCol w:w="3260"/>
        <w:gridCol w:w="3071"/>
      </w:tblGrid>
      <w:tr w:rsidR="00FC1013" w14:paraId="42A4BE91" w14:textId="77777777">
        <w:trPr>
          <w:trHeight w:val="340"/>
        </w:trPr>
        <w:tc>
          <w:tcPr>
            <w:tcW w:w="1418" w:type="dxa"/>
            <w:shd w:val="clear" w:color="auto" w:fill="F2F2F2" w:themeFill="background1" w:themeFillShade="F2"/>
          </w:tcPr>
          <w:p w14:paraId="24665189" w14:textId="77777777" w:rsidR="00FC1013" w:rsidRDefault="004C465B">
            <w:pPr>
              <w:rPr>
                <w:b/>
                <w:bCs/>
              </w:rPr>
            </w:pPr>
            <w:r>
              <w:rPr>
                <w:rFonts w:eastAsia="Arial"/>
                <w:b/>
                <w:bCs/>
              </w:rPr>
              <w:t xml:space="preserve"> Status</w:t>
            </w:r>
          </w:p>
        </w:tc>
        <w:tc>
          <w:tcPr>
            <w:tcW w:w="1847" w:type="dxa"/>
            <w:shd w:val="clear" w:color="auto" w:fill="F2F2F2" w:themeFill="background1" w:themeFillShade="F2"/>
          </w:tcPr>
          <w:p w14:paraId="0452B4B0" w14:textId="77777777" w:rsidR="00FC1013" w:rsidRDefault="004C465B">
            <w:pPr>
              <w:rPr>
                <w:b/>
                <w:bCs/>
              </w:rPr>
            </w:pPr>
            <w:r>
              <w:rPr>
                <w:rFonts w:eastAsia="Arial"/>
                <w:b/>
                <w:bCs/>
              </w:rPr>
              <w:t>Name</w:t>
            </w:r>
          </w:p>
        </w:tc>
        <w:tc>
          <w:tcPr>
            <w:tcW w:w="3260" w:type="dxa"/>
            <w:shd w:val="clear" w:color="auto" w:fill="F2F2F2" w:themeFill="background1" w:themeFillShade="F2"/>
          </w:tcPr>
          <w:p w14:paraId="73EA7516" w14:textId="77777777" w:rsidR="00FC1013" w:rsidRDefault="004C465B">
            <w:pPr>
              <w:rPr>
                <w:b/>
                <w:bCs/>
              </w:rPr>
            </w:pPr>
            <w:r>
              <w:rPr>
                <w:rFonts w:eastAsia="Arial"/>
                <w:b/>
                <w:bCs/>
              </w:rPr>
              <w:t>Position</w:t>
            </w:r>
          </w:p>
        </w:tc>
        <w:tc>
          <w:tcPr>
            <w:tcW w:w="3071" w:type="dxa"/>
            <w:shd w:val="clear" w:color="auto" w:fill="F2F2F2" w:themeFill="background1" w:themeFillShade="F2"/>
          </w:tcPr>
          <w:p w14:paraId="049AD331" w14:textId="77777777" w:rsidR="00FC1013" w:rsidRDefault="004C465B">
            <w:pPr>
              <w:rPr>
                <w:b/>
                <w:bCs/>
              </w:rPr>
            </w:pPr>
            <w:r>
              <w:rPr>
                <w:rFonts w:eastAsia="Arial"/>
                <w:b/>
                <w:bCs/>
              </w:rPr>
              <w:t>Signature</w:t>
            </w:r>
          </w:p>
        </w:tc>
      </w:tr>
      <w:tr w:rsidR="00FC1013" w14:paraId="17860165" w14:textId="77777777">
        <w:trPr>
          <w:trHeight w:val="340"/>
        </w:trPr>
        <w:tc>
          <w:tcPr>
            <w:tcW w:w="1418" w:type="dxa"/>
            <w:tcBorders>
              <w:bottom w:val="dotted" w:sz="4" w:space="0" w:color="000000"/>
            </w:tcBorders>
          </w:tcPr>
          <w:p w14:paraId="452F8A41" w14:textId="77777777" w:rsidR="00FC1013" w:rsidRDefault="004C465B">
            <w:pPr>
              <w:rPr>
                <w:rFonts w:ascii="Arial" w:eastAsia="Arial" w:hAnsi="Arial"/>
              </w:rPr>
            </w:pPr>
            <w:r>
              <w:rPr>
                <w:rFonts w:eastAsia="Arial"/>
              </w:rPr>
              <w:t>Originator</w:t>
            </w:r>
          </w:p>
        </w:tc>
        <w:tc>
          <w:tcPr>
            <w:tcW w:w="1847" w:type="dxa"/>
            <w:tcBorders>
              <w:bottom w:val="dotted" w:sz="4" w:space="0" w:color="000000"/>
            </w:tcBorders>
          </w:tcPr>
          <w:p w14:paraId="4BD7C7B0" w14:textId="77777777" w:rsidR="00FC1013" w:rsidRDefault="004C465B">
            <w:pPr>
              <w:rPr>
                <w:rFonts w:ascii="Arial" w:eastAsia="Arial" w:hAnsi="Arial"/>
              </w:rPr>
            </w:pPr>
            <w:r>
              <w:rPr>
                <w:rFonts w:eastAsia="Arial"/>
              </w:rPr>
              <w:t>Ashleigh Phillips</w:t>
            </w:r>
          </w:p>
        </w:tc>
        <w:tc>
          <w:tcPr>
            <w:tcW w:w="3260" w:type="dxa"/>
            <w:tcBorders>
              <w:bottom w:val="dotted" w:sz="4" w:space="0" w:color="000000"/>
            </w:tcBorders>
          </w:tcPr>
          <w:p w14:paraId="3014903E" w14:textId="77777777" w:rsidR="00FC1013" w:rsidRDefault="004C465B">
            <w:pPr>
              <w:rPr>
                <w:rFonts w:ascii="Arial" w:eastAsia="Arial" w:hAnsi="Arial"/>
              </w:rPr>
            </w:pPr>
            <w:r>
              <w:rPr>
                <w:rFonts w:eastAsia="Arial"/>
              </w:rPr>
              <w:t>[External] HSES Industry Partners</w:t>
            </w:r>
          </w:p>
        </w:tc>
        <w:tc>
          <w:tcPr>
            <w:tcW w:w="3071" w:type="dxa"/>
            <w:tcBorders>
              <w:bottom w:val="dotted" w:sz="4" w:space="0" w:color="000000"/>
            </w:tcBorders>
          </w:tcPr>
          <w:p w14:paraId="1FEE642E" w14:textId="77777777" w:rsidR="00FC1013" w:rsidRDefault="00FC1013">
            <w:pPr>
              <w:rPr>
                <w:rFonts w:ascii="Arial" w:eastAsia="Arial" w:hAnsi="Arial"/>
              </w:rPr>
            </w:pPr>
          </w:p>
        </w:tc>
      </w:tr>
      <w:tr w:rsidR="00FC1013" w14:paraId="3F76D41D" w14:textId="77777777">
        <w:trPr>
          <w:trHeight w:val="340"/>
        </w:trPr>
        <w:tc>
          <w:tcPr>
            <w:tcW w:w="1418" w:type="dxa"/>
            <w:tcBorders>
              <w:top w:val="dotted" w:sz="4" w:space="0" w:color="000000"/>
              <w:bottom w:val="dotted" w:sz="4" w:space="0" w:color="000000"/>
            </w:tcBorders>
          </w:tcPr>
          <w:p w14:paraId="0AF03A84"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D017D9F" w14:textId="77777777" w:rsidR="00FC1013" w:rsidRDefault="004C465B">
            <w:pPr>
              <w:rPr>
                <w:rFonts w:ascii="Arial" w:eastAsia="Arial" w:hAnsi="Arial"/>
              </w:rPr>
            </w:pPr>
            <w:r>
              <w:rPr>
                <w:rFonts w:eastAsia="Arial"/>
              </w:rPr>
              <w:t>Kirsten Snyman</w:t>
            </w:r>
          </w:p>
        </w:tc>
        <w:tc>
          <w:tcPr>
            <w:tcW w:w="3260" w:type="dxa"/>
            <w:tcBorders>
              <w:top w:val="dotted" w:sz="4" w:space="0" w:color="000000"/>
              <w:bottom w:val="dotted" w:sz="4" w:space="0" w:color="000000"/>
            </w:tcBorders>
          </w:tcPr>
          <w:p w14:paraId="7D3D01EB" w14:textId="77777777" w:rsidR="00FC1013" w:rsidRDefault="004C465B">
            <w:pPr>
              <w:rPr>
                <w:rFonts w:ascii="Arial" w:eastAsia="Arial" w:hAnsi="Arial"/>
              </w:rPr>
            </w:pPr>
            <w:r>
              <w:rPr>
                <w:rFonts w:eastAsia="Arial"/>
              </w:rPr>
              <w:t>Snr Manager, CSP RioProjects</w:t>
            </w:r>
          </w:p>
        </w:tc>
        <w:tc>
          <w:tcPr>
            <w:tcW w:w="3071" w:type="dxa"/>
            <w:tcBorders>
              <w:top w:val="dotted" w:sz="4" w:space="0" w:color="000000"/>
              <w:bottom w:val="dotted" w:sz="4" w:space="0" w:color="000000"/>
            </w:tcBorders>
          </w:tcPr>
          <w:p w14:paraId="287F8750" w14:textId="77777777" w:rsidR="00FC1013" w:rsidRDefault="00FC1013">
            <w:pPr>
              <w:rPr>
                <w:rFonts w:ascii="Arial" w:eastAsia="Arial" w:hAnsi="Arial"/>
              </w:rPr>
            </w:pPr>
          </w:p>
        </w:tc>
      </w:tr>
      <w:tr w:rsidR="00FC1013" w14:paraId="14D2A514" w14:textId="77777777">
        <w:trPr>
          <w:trHeight w:val="340"/>
        </w:trPr>
        <w:tc>
          <w:tcPr>
            <w:tcW w:w="1418" w:type="dxa"/>
            <w:tcBorders>
              <w:top w:val="dotted" w:sz="4" w:space="0" w:color="000000"/>
              <w:bottom w:val="dotted" w:sz="4" w:space="0" w:color="000000"/>
            </w:tcBorders>
          </w:tcPr>
          <w:p w14:paraId="4CB44463"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AB05A5D" w14:textId="77777777" w:rsidR="00FC1013" w:rsidRDefault="004C465B">
            <w:pPr>
              <w:rPr>
                <w:rFonts w:ascii="Arial" w:eastAsia="Arial" w:hAnsi="Arial"/>
              </w:rPr>
            </w:pPr>
            <w:r>
              <w:rPr>
                <w:rFonts w:eastAsia="Arial"/>
              </w:rPr>
              <w:t>Matt Moroz</w:t>
            </w:r>
          </w:p>
        </w:tc>
        <w:tc>
          <w:tcPr>
            <w:tcW w:w="3260" w:type="dxa"/>
            <w:tcBorders>
              <w:top w:val="dotted" w:sz="4" w:space="0" w:color="000000"/>
              <w:bottom w:val="dotted" w:sz="4" w:space="0" w:color="000000"/>
            </w:tcBorders>
          </w:tcPr>
          <w:p w14:paraId="1A8777CE" w14:textId="77777777" w:rsidR="00FC1013" w:rsidRDefault="004C465B">
            <w:pPr>
              <w:rPr>
                <w:rFonts w:ascii="Arial" w:eastAsia="Arial" w:hAnsi="Arial"/>
              </w:rPr>
            </w:pPr>
            <w:r>
              <w:rPr>
                <w:rFonts w:eastAsia="Arial"/>
              </w:rPr>
              <w:t>Snr Manager, HSES RioProjects</w:t>
            </w:r>
          </w:p>
        </w:tc>
        <w:tc>
          <w:tcPr>
            <w:tcW w:w="3071" w:type="dxa"/>
            <w:tcBorders>
              <w:top w:val="dotted" w:sz="4" w:space="0" w:color="000000"/>
              <w:bottom w:val="dotted" w:sz="4" w:space="0" w:color="000000"/>
            </w:tcBorders>
          </w:tcPr>
          <w:p w14:paraId="5A0BE164" w14:textId="77777777" w:rsidR="00FC1013" w:rsidRDefault="00FC1013">
            <w:pPr>
              <w:rPr>
                <w:rFonts w:ascii="Arial" w:eastAsia="Arial" w:hAnsi="Arial"/>
              </w:rPr>
            </w:pPr>
          </w:p>
        </w:tc>
      </w:tr>
      <w:tr w:rsidR="00FC1013" w14:paraId="52143E74" w14:textId="77777777">
        <w:trPr>
          <w:trHeight w:val="340"/>
        </w:trPr>
        <w:tc>
          <w:tcPr>
            <w:tcW w:w="1418" w:type="dxa"/>
            <w:tcBorders>
              <w:top w:val="dotted" w:sz="4" w:space="0" w:color="000000"/>
            </w:tcBorders>
          </w:tcPr>
          <w:p w14:paraId="7013AB62" w14:textId="77777777" w:rsidR="00FC1013" w:rsidRDefault="004C465B">
            <w:pPr>
              <w:rPr>
                <w:rFonts w:ascii="Arial" w:eastAsia="Arial" w:hAnsi="Arial"/>
              </w:rPr>
            </w:pPr>
            <w:r>
              <w:rPr>
                <w:rFonts w:eastAsia="Arial"/>
              </w:rPr>
              <w:t>Approved</w:t>
            </w:r>
          </w:p>
        </w:tc>
        <w:tc>
          <w:tcPr>
            <w:tcW w:w="1847" w:type="dxa"/>
            <w:tcBorders>
              <w:top w:val="dotted" w:sz="4" w:space="0" w:color="000000"/>
            </w:tcBorders>
          </w:tcPr>
          <w:p w14:paraId="3DA2B481" w14:textId="77777777" w:rsidR="00FC1013" w:rsidRDefault="004C465B">
            <w:pPr>
              <w:rPr>
                <w:rFonts w:ascii="Arial" w:eastAsia="Arial" w:hAnsi="Arial"/>
              </w:rPr>
            </w:pPr>
            <w:r>
              <w:rPr>
                <w:rFonts w:eastAsia="Arial"/>
              </w:rPr>
              <w:t>Greg Doyle</w:t>
            </w:r>
          </w:p>
        </w:tc>
        <w:tc>
          <w:tcPr>
            <w:tcW w:w="3260" w:type="dxa"/>
            <w:tcBorders>
              <w:top w:val="dotted" w:sz="4" w:space="0" w:color="000000"/>
            </w:tcBorders>
          </w:tcPr>
          <w:p w14:paraId="25F393E7" w14:textId="77777777" w:rsidR="00FC1013" w:rsidRDefault="004C465B">
            <w:pPr>
              <w:rPr>
                <w:rFonts w:ascii="Arial" w:eastAsia="Arial" w:hAnsi="Arial"/>
              </w:rPr>
            </w:pPr>
            <w:r>
              <w:rPr>
                <w:rFonts w:eastAsia="Arial"/>
              </w:rPr>
              <w:t>Vice President HSESC, SD&amp;T</w:t>
            </w:r>
          </w:p>
        </w:tc>
        <w:tc>
          <w:tcPr>
            <w:tcW w:w="3071" w:type="dxa"/>
            <w:tcBorders>
              <w:top w:val="dotted" w:sz="4" w:space="0" w:color="000000"/>
            </w:tcBorders>
          </w:tcPr>
          <w:p w14:paraId="0C7DD2FF" w14:textId="77777777" w:rsidR="00FC1013" w:rsidRDefault="00FC1013">
            <w:pPr>
              <w:rPr>
                <w:rFonts w:ascii="Arial" w:eastAsia="Arial" w:hAnsi="Arial"/>
              </w:rPr>
            </w:pPr>
          </w:p>
        </w:tc>
      </w:tr>
    </w:tbl>
    <w:p w14:paraId="6DACBC5C" w14:textId="77777777" w:rsidR="00FC1013" w:rsidRDefault="00FC1013"/>
    <w:p w14:paraId="16C2F58F" w14:textId="77777777" w:rsidR="00FC1013" w:rsidRPr="007B6B9B" w:rsidRDefault="004C465B">
      <w:pPr>
        <w:rPr>
          <w:rFonts w:asciiTheme="majorHAnsi" w:eastAsiaTheme="majorEastAsia" w:hAnsiTheme="majorHAnsi" w:cstheme="majorBidi"/>
          <w:b/>
          <w:szCs w:val="32"/>
        </w:rPr>
      </w:pPr>
      <w:r>
        <w:br w:type="page"/>
      </w: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14:paraId="7FF867E7" w14:textId="77777777" w:rsidR="00FC1013" w:rsidRDefault="00FC1013"/>
    <w:p w14:paraId="77B70838" w14:textId="77777777" w:rsidR="00FC1013" w:rsidRDefault="00FC1013"/>
    <w:p w14:paraId="43C33D8F" w14:textId="77777777" w:rsidR="00FC1013" w:rsidRDefault="00FC1013"/>
    <w:p w14:paraId="7DE44C64" w14:textId="472472E9" w:rsidR="00F92E88" w:rsidRPr="00F92E88" w:rsidRDefault="004C465B" w:rsidP="00F92E88">
      <w:r>
        <w:br w:type="page"/>
      </w:r>
    </w:p>
    <w:p w14:paraId="3F00B330" w14:textId="077DD352" w:rsidR="004C5CA9" w:rsidRDefault="00B03658" w:rsidP="000726E8">
      <w:pPr>
        <w:pStyle w:val="Heading1Numbered"/>
      </w:pPr>
      <w:bookmarkStart w:id="0" w:name="_Toc232534348"/>
      <w:r>
        <w:lastRenderedPageBreak/>
        <w:t>Heading</w:t>
      </w:r>
      <w:bookmarkEnd w:id="0"/>
    </w:p>
    <w:tbl>
      <w:tblPr>
        <w:tblStyle w:val="TableOption1"/>
        <w:tblW w:type="pct" w:w="5000"/>
      </w:tblPr>
      <w:tr>
        <w:tc>
          <w:tcPr>
            <w:shd w:val="clear" w:color="auto" w:fill="FFF2CC"/>
          </w:tcPr>
          <w:p>
            <w:pPr>
              <w:pStyle w:val="Instructions"/>
            </w:pPr>
            <w:r>
              <w:rPr>
                <w:b/>
                <w:bCs/>
                <w:color w:val="C55A11"/>
              </w:rPr>
              <w:t>INSTRUCTION: Read, action and delete this box before this procedure is issued. Delete the entire Section 0 before this document is submitted for review or approval. It must not appear in any approved version of this procedure.</w:t>
            </w:r>
          </w:p>
        </w:tc>
      </w:tr>
    </w:tbl>
    <w:p>
      <w:pPr>
        <w:pStyle w:val="Default"/>
      </w:pPr>
    </w:p>
    <w:p>
      <w:pPr>
        <w:pStyle w:val="Heading1Numbered"/>
      </w:pPr>
      <w:r>
        <w:t>0  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Heading2Numbered"/>
      </w:pPr>
      <w:r>
        <w:t>0.1  Purpose of This Template</w:t>
      </w:r>
    </w:p>
    <w:p>
      <w:pPr>
        <w:pStyle w:val="NormalNumberedtext"/>
      </w:pPr>
      <w:r>
        <w:t>This template supports the preparation of a project-specific Fitness for Work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Heading2Numbered"/>
      </w:pPr>
      <w:r>
        <w:t>0.2  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Heading2Numbered"/>
      </w:pPr>
      <w:r>
        <w:t>0.3  Pre-Issue Checklist</w:t>
      </w:r>
    </w:p>
    <w:p>
      <w:pPr>
        <w:pStyle w:val="NormalNumberedtext"/>
      </w:pPr>
      <w:r>
        <w:t>Before submitting this document for review or approval, confirm all items below are complete, then delete this checklist together with the rest of Section 0.</w:t>
      </w:r>
    </w:p>
    <w:tbl>
      <w:tblPr>
        <w:tblStyle w:val="TableOption2"/>
        <w:tblW w:type="pct" w:w="5000"/>
      </w:tblPr>
      <w:tr>
        <w:trPr>
          <w:tblHeader/>
        </w:trPr>
        <w:tc>
          <w:tcPr>
            <w:shd w:val="clear" w:color="auto" w:fill="1F3864"/>
          </w:tcPr>
          <w:p>
            <w:pPr>
              <w:pStyle w:val="TableContents"/>
            </w:pPr>
            <w:r>
              <w:rPr>
                <w:b/>
                <w:bCs/>
                <w:color w:val="FFFFFF"/>
              </w:rPr>
              <w:t>Check</w:t>
            </w:r>
          </w:p>
        </w:tc>
        <w:tc>
          <w:tcPr>
            <w:shd w:val="clear" w:color="auto" w:fill="1F3864"/>
          </w:tcPr>
          <w:p>
            <w:pPr>
              <w:pStyle w:val="TableContents"/>
            </w:pPr>
            <w:r>
              <w:rPr>
                <w:b/>
                <w:bCs/>
                <w:color w:val="FFFFFF"/>
              </w:rPr>
              <w:t>Complete?</w:t>
            </w:r>
          </w:p>
        </w:tc>
      </w:tr>
      <w:tr>
        <w:tc>
          <w:tcPr/>
          <w:p>
            <w:pPr>
              <w:pStyle w:val="TableContents"/>
            </w:pPr>
            <w:r>
              <w:t>Cover page is complete including document number, revision, date and signatories</w:t>
            </w:r>
          </w:p>
        </w:tc>
        <w:tc>
          <w:tcPr/>
          <w:p>
            <w:pPr>
              <w:pStyle w:val="TableContents"/>
            </w:pPr>
            <w:r>
              <w:t>☐</w:t>
            </w:r>
          </w:p>
        </w:tc>
      </w:tr>
      <w:tr>
        <w:tc>
          <w:tcPr/>
          <w:p>
            <w:pPr>
              <w:pStyle w:val="TableContents"/>
            </w:pPr>
            <w:r>
              <w:t>All [INSERT:] placeholder text has been replaced with project-specific information</w:t>
            </w:r>
          </w:p>
        </w:tc>
        <w:tc>
          <w:tcPr/>
          <w:p>
            <w:pPr>
              <w:pStyle w:val="TableContents"/>
            </w:pPr>
            <w:r>
              <w:t>☐</w:t>
            </w:r>
          </w:p>
        </w:tc>
      </w:tr>
      <w:tr>
        <w:tc>
          <w:tcPr/>
          <w:p>
            <w:pPr>
              <w:pStyle w:val="TableContents"/>
            </w:pPr>
            <w:r>
              <w:t>All instruction boxes have been read, actioned and deleted</w:t>
            </w:r>
          </w:p>
        </w:tc>
        <w:tc>
          <w:tcPr/>
          <w:p>
            <w:pPr>
              <w:pStyle w:val="TableContents"/>
            </w:pPr>
            <w:r>
              <w:t>☐</w:t>
            </w:r>
          </w:p>
        </w:tc>
      </w:tr>
      <w:tr>
        <w:tc>
          <w:tcPr/>
          <w:p>
            <w:pPr>
              <w:pStyle w:val="TableContents"/>
            </w:pPr>
            <w:r>
              <w:t>All role titles match the actual project organisational structure</w:t>
            </w:r>
          </w:p>
        </w:tc>
        <w:tc>
          <w:tcPr/>
          <w:p>
            <w:pPr>
              <w:pStyle w:val="TableContents"/>
            </w:pPr>
            <w:r>
              <w:t>☐</w:t>
            </w:r>
          </w:p>
        </w:tc>
      </w:tr>
      <w:tr>
        <w:tc>
          <w:tcPr/>
          <w:p>
            <w:pPr>
              <w:pStyle w:val="TableContents"/>
            </w:pPr>
            <w:r>
              <w:t>All system and register locations are confirmed and inserted</w:t>
            </w:r>
          </w:p>
        </w:tc>
        <w:tc>
          <w:tcPr/>
          <w:p>
            <w:pPr>
              <w:pStyle w:val="TableContents"/>
            </w:pPr>
            <w:r>
              <w:t>☐</w:t>
            </w:r>
          </w:p>
        </w:tc>
      </w:tr>
      <w:tr>
        <w:tc>
          <w:tcPr/>
          <w:p>
            <w:pPr>
              <w:pStyle w:val="TableContents"/>
            </w:pPr>
            <w:r>
              <w:t>All workshop and meeting dates are confirmed against the project programme</w:t>
            </w:r>
          </w:p>
        </w:tc>
        <w:tc>
          <w:tcPr/>
          <w:p>
            <w:pPr>
              <w:pStyle w:val="TableContents"/>
            </w:pPr>
            <w:r>
              <w:t>☐</w:t>
            </w:r>
          </w:p>
        </w:tc>
      </w:tr>
      <w:tr>
        <w:tc>
          <w:tcPr/>
          <w:p>
            <w:pPr>
              <w:pStyle w:val="TableContents"/>
            </w:pPr>
            <w:r>
              <w:t>Related procedures in the References section are issued or being issued concurrently</w:t>
            </w:r>
          </w:p>
        </w:tc>
        <w:tc>
          <w:tcPr/>
          <w:p>
            <w:pPr>
              <w:pStyle w:val="TableContents"/>
            </w:pPr>
            <w:r>
              <w:t>☐</w:t>
            </w:r>
          </w:p>
        </w:tc>
      </w:tr>
      <w:tr>
        <w:tc>
          <w:tcPr/>
          <w:p>
            <w:pPr>
              <w:pStyle w:val="TableContents"/>
            </w:pPr>
            <w:r>
              <w:t>Section 17 (Source Requirements Traceability) will be deleted before final issue</w:t>
            </w:r>
          </w:p>
        </w:tc>
        <w:tc>
          <w:tcPr/>
          <w:p>
            <w:pPr>
              <w:pStyle w:val="TableContents"/>
            </w:pPr>
            <w:r>
              <w:t>☐</w:t>
            </w:r>
          </w:p>
        </w:tc>
      </w:tr>
      <w:tr>
        <w:tc>
          <w:tcPr/>
          <w:p>
            <w:pPr>
              <w:pStyle w:val="TableContents"/>
            </w:pPr>
            <w:r>
              <w:t>Section 16 (Project Localisation Edits) has been populated with all changes made during preparation</w:t>
            </w:r>
          </w:p>
        </w:tc>
        <w:tc>
          <w:tcPr/>
          <w:p>
            <w:pPr>
              <w:pStyle w:val="TableContents"/>
            </w:pPr>
            <w:r>
              <w:t>☐</w:t>
            </w:r>
          </w:p>
        </w:tc>
      </w:tr>
      <w:tr>
        <w:tc>
          <w:tcPr/>
          <w:p>
            <w:pPr>
              <w:pStyle w:val="TableContents"/>
            </w:pPr>
            <w:r>
              <w:t>Section 0 has been deleted in its entirety</w:t>
            </w:r>
          </w:p>
        </w:tc>
        <w:tc>
          <w:tcPr/>
          <w:p>
            <w:pPr>
              <w:pStyle w:val="TableContents"/>
            </w:pPr>
            <w:r>
              <w:t>☐</w:t>
            </w:r>
          </w:p>
        </w:tc>
      </w:tr>
    </w:tbl>
    <w:p>
      <w:pPr>
        <w:pStyle w:val="Default"/>
      </w:pPr>
    </w:p>
    <w:p>
      <w:pPr>
        <w:pStyle w:val="Heading1Numbered"/>
      </w:pPr>
      <w:r>
        <w:t>1  Purpose and Scope</w:t>
      </w:r>
    </w:p>
    <w:p>
      <w:pPr>
        <w:pStyle w:val="NormalNumberedtext"/>
      </w:pPr>
      <w:r>
        <w:t>This section defines the purpose of this procedure, the project lifecycle phases within scope, and the obligations it establishes from project Execution through to Handover.</w:t>
      </w:r>
    </w:p>
    <w:p>
      <w:pPr>
        <w:pStyle w:val="Heading2Numbered"/>
      </w:pPr>
      <w:r>
        <w:t>1.1  Purpose of This Document</w:t>
      </w:r>
    </w:p>
    <w:p>
      <w:pPr>
        <w:pStyle w:val="NormalNumberedtext"/>
      </w:pPr>
      <w:r>
        <w:t>This section states the purpose of this procedure and the requirements it establishes for the project.</w:t>
      </w:r>
    </w:p>
    <w:p>
      <w:pPr>
        <w:pStyle w:val="NormalNumberedtext"/>
      </w:pPr>
      <w:r>
        <w:t>This procedure defines the requirements for ensuring all project personnel are physically, psychologically, and behaviourally fit to safely perform their duties throughout the project. In the owner-led model, RT sets the minimum fitness for work standard for the project and all contractors must meet or exceed it.</w:t>
      </w:r>
    </w:p>
    <w:p>
      <w:pPr>
        <w:pStyle w:val="Heading2Numbered"/>
      </w:pPr>
      <w:r>
        <w:t>1.2  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fitness for work from project Execution through to Handover.</w:t>
      </w:r>
    </w:p>
    <w:p>
      <w:pPr>
        <w:pStyle w:val="NormalNumberedtext"/>
      </w:pPr>
      <w:r>
        <w:rPr>
          <w:b/>
          <w:bCs/>
          <w:color w:val="0059D1"/>
        </w:rPr>
        <w:t>[INSERT: scope qualifications] — note any activities, phases, or locations excluded from this procedure's scope</w:t>
      </w:r>
    </w:p>
    <w:p>
      <w:pPr>
        <w:pStyle w:val="Heading1Numbered"/>
      </w:pPr>
      <w:r>
        <w:t>2  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tbl>
      <w:tblPr>
        <w:tblStyle w:val="TableOption2"/>
        <w:tblW w:type="pct" w:w="5000"/>
      </w:tblPr>
      <w:tr>
        <w:trPr>
          <w:tblHeader/>
        </w:trPr>
        <w:tc>
          <w:tcPr>
            <w:shd w:val="clear" w:color="auto" w:fill="1F3864"/>
          </w:tcPr>
          <w:p>
            <w:pPr>
              <w:pStyle w:val="TableContents"/>
            </w:pPr>
            <w:r>
              <w:rPr>
                <w:b/>
                <w:bCs/>
                <w:color w:val="FFFFFF"/>
              </w:rPr>
              <w:t>Responsibilities</w:t>
            </w:r>
          </w:p>
        </w:tc>
        <w:tc>
          <w:tcPr>
            <w:shd w:val="clear" w:color="auto" w:fill="1F3864"/>
          </w:tcPr>
          <w:p>
            <w:pPr>
              <w:pStyle w:val="TableContents"/>
            </w:pPr>
            <w:r>
              <w:rPr>
                <w:b/>
                <w:bCs/>
                <w:color w:val="FFFFFF"/>
              </w:rPr>
              <w:t>Company</w:t>
            </w:r>
          </w:p>
        </w:tc>
        <w:tc>
          <w:tcPr>
            <w:shd w:val="clear" w:color="auto" w:fill="1F3864"/>
          </w:tcPr>
          <w:p>
            <w:pPr>
              <w:pStyle w:val="TableContents"/>
            </w:pPr>
            <w:r>
              <w:rPr>
                <w:b/>
                <w:bCs/>
                <w:color w:val="FFFFFF"/>
              </w:rPr>
              <w:t>Contractor</w:t>
            </w:r>
          </w:p>
        </w:tc>
        <w:tc>
          <w:tcPr>
            <w:shd w:val="clear" w:color="auto" w:fill="1F3864"/>
          </w:tcPr>
          <w:p>
            <w:pPr>
              <w:pStyle w:val="TableContents"/>
            </w:pPr>
            <w:r>
              <w:rPr>
                <w:b/>
                <w:bCs/>
                <w:color w:val="FFFFFF"/>
              </w:rPr>
              <w:t>Section</w:t>
            </w:r>
          </w:p>
        </w:tc>
      </w:tr>
      <w:tr>
        <w:tc>
          <w:tcPr>
            <w:gridSpan w:val="4"/>
          </w:tcPr>
          <w:p>
            <w:pPr>
              <w:pStyle w:val="TableHeading"/>
            </w:pPr>
            <w:r>
              <w:t>Project Management</w:t>
            </w:r>
          </w:p>
        </w:tc>
      </w:tr>
      <w:tr>
        <w:tc>
          <w:tcPr/>
          <w:p>
            <w:pPr>
              <w:pStyle w:val="TableBulletPoints"/>
            </w:pPr>
            <w:r>
              <w:t>Holds overall accountability for project compliance with this procedure and approves this procedure and any material amendment.</w:t>
            </w:r>
          </w:p>
        </w:tc>
        <w:tc>
          <w:tcPr/>
          <w:p>
            <w:pPr>
              <w:pStyle w:val="TableContents"/>
            </w:pPr>
            <w:r>
              <w:rPr>
                <w:b/>
                <w:bCs/>
              </w:rPr>
              <w:t>✓</w:t>
            </w:r>
          </w:p>
        </w:tc>
        <w:tc>
          <w:tcPr/>
          <w:p>
            <w:pPr>
              <w:pStyle w:val="TableContents"/>
            </w:pPr>
          </w:p>
        </w:tc>
        <w:tc>
          <w:tcPr/>
          <w:p>
            <w:pPr>
              <w:pStyle w:val="TableContents"/>
            </w:pPr>
          </w:p>
        </w:tc>
      </w:tr>
      <w:tr>
        <w:tc>
          <w:tcPr/>
          <w:p>
            <w:pPr>
              <w:pStyle w:val="TableBulletPoints"/>
            </w:pPr>
            <w:r>
              <w:t>Accepts residual risk at the highest risk class level and authorises continuation where escalation is required.</w:t>
            </w:r>
          </w:p>
        </w:tc>
        <w:tc>
          <w:tcPr/>
          <w:p>
            <w:pPr>
              <w:pStyle w:val="TableContents"/>
            </w:pPr>
            <w:r>
              <w:rPr>
                <w:b/>
                <w:bCs/>
              </w:rPr>
              <w:t>✓</w:t>
            </w:r>
          </w:p>
        </w:tc>
        <w:tc>
          <w:tcPr/>
          <w:p>
            <w:pPr>
              <w:pStyle w:val="TableContents"/>
            </w:pP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HSE/CSP Management</w:t>
            </w:r>
          </w:p>
        </w:tc>
      </w:tr>
      <w:tr>
        <w:tc>
          <w:tcPr/>
          <w:p>
            <w:pPr>
              <w:pStyle w:val="TableBulletPoints"/>
            </w:pPr>
            <w:r>
              <w:t>Maintains and implements this procedure and confirms all activities meet its requirements before work proceeds.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and approves all required assessments, plans, and registers produced under this procedure.</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performance against this procedure at the agreed project HSESC performance meeting.</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performance data, identifies trends, and incorporates systemic findings into corrective action programmes.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Frontline Supervision</w:t>
            </w:r>
          </w:p>
        </w:tc>
      </w:tr>
      <w:tr>
        <w:tc>
          <w:tcPr/>
          <w:p>
            <w:pPr>
              <w:pStyle w:val="TableBulletPoints"/>
            </w:pPr>
            <w:r>
              <w:t>Ensures work crew compliance with this procedure before and during all relevant task executions.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Stops work when the requirements of this procedure cannot be met and notifies the HSESC Manager.</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Confirms all personnel under their supervision are trained and competent before commencing relevant activities.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All Project Personnel / Workers</w:t>
            </w:r>
          </w:p>
        </w:tc>
      </w:tr>
      <w:tr>
        <w:tc>
          <w:tcPr/>
          <w:p>
            <w:pPr>
              <w:pStyle w:val="TableBulletPoints"/>
            </w:pPr>
            <w:r>
              <w:t>Complies with the requirements of this procedure in all relevant work activities.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any non-compliance with this procedure immediately to their supervisor.</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bl>
    <w:p>
      <w:pPr>
        <w:pStyle w:val="Default"/>
      </w:pPr>
    </w:p>
    <w:p>
      <w:pPr>
        <w:pStyle w:val="Heading1Numbered"/>
      </w:pPr>
      <w:r>
        <w:t>3  Fitness for Work</w:t>
      </w:r>
    </w:p>
    <w:p>
      <w:pPr>
        <w:pStyle w:val="NormalNumberedtext"/>
      </w:pPr>
      <w:r>
        <w:t>This section defines the fitness for work requirements that apply to all personnel on the project, covering medical assessments, drug and alcohol controls, fatigue management, thermal stress, and return to work.</w:t>
      </w:r>
    </w:p>
    <w:p>
      <w:pPr>
        <w:pStyle w:val="Heading2Numbered"/>
      </w:pPr>
      <w:r>
        <w:t>3.1  Pre-placement Medical Assessments</w:t>
      </w:r>
    </w:p>
    <w:p>
      <w:pPr>
        <w:pStyle w:val="NormalNumberedtext"/>
      </w:pPr>
      <w:r>
        <w:t>This section defines the medical assessment categories, minimum health standards, and role-specific examination requirements that apply before mobilisation to site.</w:t>
      </w:r>
    </w:p>
    <w:p>
      <w:pPr>
        <w:pStyle w:val="NormalNumberedtext"/>
      </w:pPr>
      <w:r>
        <w:t>All personnel must complete a pre-placement medical assessment conducted by a licensed physician before mobilising to site. The assessment confirms that the individual is medically fit to perform the duties of the role to which they are assigned.</w:t>
      </w:r>
    </w:p>
    <w:p>
      <w:pPr>
        <w:pStyle w:val="NormalNumberedtext"/>
      </w:pPr>
      <w:r>
        <w:t>The project defines four medical assessment categories: pre-placement, periodic, return-to-work, and fitness-for-task. Minimum health standards for each category are documented by the project occupational health provider and reviewed in consultation with the project team before mobilisation. Assessments for job transfers, ERT personnel, and return to work following injury or illness are required in addition to the standard pre-placement assessment.</w:t>
      </w:r>
    </w:p>
    <w:p>
      <w:pPr>
        <w:pStyle w:val="NormalNumberedtext"/>
      </w:pPr>
      <w:r>
        <w:t>Roles requiring job-specific medical examinations are determined by job sensitivity and physical demands. Workers assigned to positions with heightened physical health demands receive health assessments appropriate to the specific risks of those positions. Medical confidentiality is maintained throughout the assessment and case management process, with individual health information disclosed only to those with a defined occupational health function.</w:t>
      </w:r>
    </w:p>
    <w:p>
      <w:pPr>
        <w:pStyle w:val="NormalNumberedtext"/>
      </w:pPr>
      <w:r>
        <w:t>The project occupational health provider and the minimum assessment standard for each role category are documented in the table below. The project team completes this table before mobilisation and reviews it when a new role category is introduced or when the occupational health provider changes:</w:t>
      </w:r>
    </w:p>
    <w:p>
      <w:pPr>
        <w:pStyle w:val="NormalNumberedtext"/>
      </w:pPr>
      <w:r>
        <w:t>Table: Medical Assessment Categories and Minimum Standards by Role</w:t>
      </w:r>
    </w:p>
    <w:tbl>
      <w:tblPr>
        <w:tblStyle w:val="TableOption2"/>
        <w:tblW w:type="pct" w:w="5000"/>
      </w:tblPr>
      <w:tr>
        <w:trPr>
          <w:tblHeader/>
        </w:trPr>
        <w:tc>
          <w:tcPr>
            <w:shd w:val="clear" w:color="auto" w:fill="1F3864"/>
          </w:tcPr>
          <w:p>
            <w:pPr>
              <w:pStyle w:val="TableContents"/>
            </w:pPr>
            <w:r>
              <w:rPr>
                <w:b/>
                <w:bCs/>
                <w:color w:val="FFFFFF"/>
              </w:rPr>
              <w:t>Role Category</w:t>
            </w:r>
          </w:p>
        </w:tc>
        <w:tc>
          <w:tcPr>
            <w:shd w:val="clear" w:color="auto" w:fill="1F3864"/>
          </w:tcPr>
          <w:p>
            <w:pPr>
              <w:pStyle w:val="TableContents"/>
            </w:pPr>
            <w:r>
              <w:rPr>
                <w:b/>
                <w:bCs/>
                <w:color w:val="FFFFFF"/>
              </w:rPr>
              <w:t>Assessment Type</w:t>
            </w:r>
          </w:p>
        </w:tc>
        <w:tc>
          <w:tcPr>
            <w:shd w:val="clear" w:color="auto" w:fill="1F3864"/>
          </w:tcPr>
          <w:p>
            <w:pPr>
              <w:pStyle w:val="TableContents"/>
            </w:pPr>
            <w:r>
              <w:rPr>
                <w:b/>
                <w:bCs/>
                <w:color w:val="FFFFFF"/>
              </w:rPr>
              <w:t>Minimum Standard</w:t>
            </w:r>
          </w:p>
        </w:tc>
        <w:tc>
          <w:tcPr>
            <w:shd w:val="clear" w:color="auto" w:fill="1F3864"/>
          </w:tcPr>
          <w:p>
            <w:pPr>
              <w:pStyle w:val="TableContents"/>
            </w:pPr>
            <w:r>
              <w:rPr>
                <w:b/>
                <w:bCs/>
                <w:color w:val="FFFFFF"/>
              </w:rPr>
              <w:t>Frequency</w:t>
            </w:r>
          </w:p>
        </w:tc>
        <w:tc>
          <w:tcPr>
            <w:shd w:val="clear" w:color="auto" w:fill="1F3864"/>
          </w:tcPr>
          <w:p>
            <w:pPr>
              <w:pStyle w:val="TableContents"/>
            </w:pPr>
            <w:r>
              <w:rPr>
                <w:b/>
                <w:bCs/>
                <w:color w:val="FFFFFF"/>
              </w:rPr>
              <w:t>Occupational Health Provider</w:t>
            </w:r>
          </w:p>
        </w:tc>
      </w:tr>
      <w:tr>
        <w:tc>
          <w:tcPr/>
          <w:p>
            <w:pPr>
              <w:pStyle w:val="TableContents"/>
            </w:pPr>
            <w:r>
              <w:t>Office-based</w:t>
            </w:r>
          </w:p>
        </w:tc>
        <w:tc>
          <w:tcPr/>
          <w:p>
            <w:pPr>
              <w:pStyle w:val="TableContents"/>
            </w:pPr>
            <w:r>
              <w:t>Pre-placement</w:t>
            </w:r>
          </w:p>
        </w:tc>
        <w:tc>
          <w:tcPr/>
          <w:p>
            <w:pPr>
              <w:pStyle w:val="TableContents"/>
            </w:pPr>
            <w:r>
              <w:t>General health declaration and GP clearance</w:t>
            </w:r>
          </w:p>
        </w:tc>
        <w:tc>
          <w:tcPr/>
          <w:p>
            <w:pPr>
              <w:pStyle w:val="TableContents"/>
            </w:pPr>
            <w:r>
              <w:t>Pre-placement; 2-yearly periodic</w:t>
            </w:r>
          </w:p>
        </w:tc>
        <w:tc>
          <w:tcPr/>
          <w:p>
            <w:pPr>
              <w:pStyle w:val="TableContents"/>
            </w:pPr>
            <w:r>
              <w:rPr>
                <w:b/>
                <w:bCs/>
                <w:color w:val="0059D1"/>
              </w:rPr>
              <w:t>[INSERT: provider name and clinic location]</w:t>
            </w:r>
          </w:p>
        </w:tc>
      </w:tr>
      <w:tr>
        <w:tc>
          <w:tcPr/>
          <w:p>
            <w:pPr>
              <w:pStyle w:val="TableContents"/>
            </w:pPr>
            <w:r>
              <w:t>Site-based non-operational</w:t>
            </w:r>
          </w:p>
        </w:tc>
        <w:tc>
          <w:tcPr/>
          <w:p>
            <w:pPr>
              <w:pStyle w:val="TableContents"/>
            </w:pPr>
            <w:r>
              <w:t>Pre-placement</w:t>
            </w:r>
          </w:p>
        </w:tc>
        <w:tc>
          <w:tcPr/>
          <w:p>
            <w:pPr>
              <w:pStyle w:val="TableContents"/>
            </w:pPr>
            <w:r>
              <w:t>Full medical by licensed physician including cardiovascular screen</w:t>
            </w:r>
          </w:p>
        </w:tc>
        <w:tc>
          <w:tcPr/>
          <w:p>
            <w:pPr>
              <w:pStyle w:val="TableContents"/>
            </w:pPr>
            <w:r>
              <w:t>Pre-placement; 2-yearly periodic</w:t>
            </w:r>
          </w:p>
        </w:tc>
        <w:tc>
          <w:tcPr/>
          <w:p>
            <w:pPr>
              <w:pStyle w:val="TableContents"/>
            </w:pPr>
            <w:r>
              <w:rPr>
                <w:b/>
                <w:bCs/>
                <w:color w:val="0059D1"/>
              </w:rPr>
              <w:t>[INSERT: provider name and clinic location]</w:t>
            </w:r>
          </w:p>
        </w:tc>
      </w:tr>
      <w:tr>
        <w:tc>
          <w:tcPr/>
          <w:p>
            <w:pPr>
              <w:pStyle w:val="TableContents"/>
            </w:pPr>
            <w:r>
              <w:t>HME Operator</w:t>
            </w:r>
          </w:p>
        </w:tc>
        <w:tc>
          <w:tcPr/>
          <w:p>
            <w:pPr>
              <w:pStyle w:val="TableContents"/>
            </w:pPr>
            <w:r>
              <w:t>Pre-placement + fitness-for-task</w:t>
            </w:r>
          </w:p>
        </w:tc>
        <w:tc>
          <w:tcPr/>
          <w:p>
            <w:pPr>
              <w:pStyle w:val="TableContents"/>
            </w:pPr>
            <w:r>
              <w:t>Full medical including vision, hearing, musculoskeletal and cardiovascular</w:t>
            </w:r>
          </w:p>
        </w:tc>
        <w:tc>
          <w:tcPr/>
          <w:p>
            <w:pPr>
              <w:pStyle w:val="TableContents"/>
            </w:pPr>
            <w:r>
              <w:t>Pre-placement; annual periodic</w:t>
            </w:r>
          </w:p>
        </w:tc>
        <w:tc>
          <w:tcPr/>
          <w:p>
            <w:pPr>
              <w:pStyle w:val="TableContents"/>
            </w:pPr>
            <w:r>
              <w:rPr>
                <w:b/>
                <w:bCs/>
                <w:color w:val="0059D1"/>
              </w:rPr>
              <w:t>[INSERT: provider name and clinic location]</w:t>
            </w:r>
          </w:p>
        </w:tc>
      </w:tr>
      <w:tr>
        <w:tc>
          <w:tcPr/>
          <w:p>
            <w:pPr>
              <w:pStyle w:val="TableContents"/>
            </w:pPr>
            <w:r>
              <w:t>ERT Member</w:t>
            </w:r>
          </w:p>
        </w:tc>
        <w:tc>
          <w:tcPr/>
          <w:p>
            <w:pPr>
              <w:pStyle w:val="TableContents"/>
            </w:pPr>
            <w:r>
              <w:t>Pre-placement + fitness-for-task</w:t>
            </w:r>
          </w:p>
        </w:tc>
        <w:tc>
          <w:tcPr/>
          <w:p>
            <w:pPr>
              <w:pStyle w:val="TableContents"/>
            </w:pPr>
            <w:r>
              <w:t>Full medical including fitness assessment to defined ERT standard</w:t>
            </w:r>
          </w:p>
        </w:tc>
        <w:tc>
          <w:tcPr/>
          <w:p>
            <w:pPr>
              <w:pStyle w:val="TableContents"/>
            </w:pPr>
            <w:r>
              <w:t>Pre-placement; annual periodic</w:t>
            </w:r>
          </w:p>
        </w:tc>
        <w:tc>
          <w:tcPr/>
          <w:p>
            <w:pPr>
              <w:pStyle w:val="TableContents"/>
            </w:pPr>
            <w:r>
              <w:rPr>
                <w:b/>
                <w:bCs/>
                <w:color w:val="0059D1"/>
              </w:rPr>
              <w:t>[INSERT: provider name and clinic location]</w:t>
            </w:r>
          </w:p>
        </w:tc>
      </w:tr>
      <w:tr>
        <w:tc>
          <w:tcPr/>
          <w:p>
            <w:pPr>
              <w:pStyle w:val="TableContents"/>
            </w:pPr>
            <w:r>
              <w:rPr>
                <w:b/>
                <w:bCs/>
                <w:color w:val="0059D1"/>
              </w:rPr>
              <w:t>[INSERT: additional role category]</w:t>
            </w:r>
          </w:p>
        </w:tc>
        <w:tc>
          <w:tcPr/>
          <w:p>
            <w:pPr>
              <w:pStyle w:val="TableContents"/>
            </w:pPr>
            <w:r>
              <w:rPr>
                <w:b/>
                <w:bCs/>
                <w:color w:val="0059D1"/>
              </w:rPr>
              <w:t>[INSERT: assessment type]</w:t>
            </w:r>
          </w:p>
        </w:tc>
        <w:tc>
          <w:tcPr/>
          <w:p>
            <w:pPr>
              <w:pStyle w:val="TableContents"/>
            </w:pPr>
            <w:r>
              <w:rPr>
                <w:b/>
                <w:bCs/>
                <w:color w:val="0059D1"/>
              </w:rPr>
              <w:t>[INSERT: minimum standard]</w:t>
            </w:r>
          </w:p>
        </w:tc>
        <w:tc>
          <w:tcPr/>
          <w:p>
            <w:pPr>
              <w:pStyle w:val="TableContents"/>
            </w:pPr>
            <w:r>
              <w:rPr>
                <w:b/>
                <w:bCs/>
                <w:color w:val="0059D1"/>
              </w:rPr>
              <w:t>[INSERT: frequency]</w:t>
            </w:r>
          </w:p>
        </w:tc>
        <w:tc>
          <w:tcPr/>
          <w:p>
            <w:pPr>
              <w:pStyle w:val="TableContents"/>
            </w:pPr>
            <w:r>
              <w:rPr>
                <w:b/>
                <w:bCs/>
                <w:color w:val="0059D1"/>
              </w:rPr>
              <w:t>[INSERT: provider]</w:t>
            </w:r>
          </w:p>
        </w:tc>
      </w:tr>
    </w:tbl>
    <w:p>
      <w:pPr>
        <w:pStyle w:val="Default"/>
      </w:pPr>
    </w:p>
    <w:p>
      <w:pPr>
        <w:pStyle w:val="NormalNumberedtext"/>
      </w:pPr>
      <w:r>
        <w:t>Applicable legislative requirements governing pre-placement medical assessments are documented in the Legal Requirements Procedure, refer RTPR-HSE-PRO-0001. The accountable role for the fitness for work programme is defined in the Organisational Resources Procedure, refer RTPR-HSE-PRO-0003. FFW awareness training requirements, including medical assessment obligations, are defined in the Training Procedure, refer RTPR-HSE-PRO-0004.</w:t>
      </w:r>
    </w:p>
    <w:p>
      <w:pPr>
        <w:pStyle w:val="Heading2Numbered"/>
      </w:pPr>
      <w:r>
        <w:t>3.2  Alcohol and Other Drug Requirements</w:t>
      </w:r>
    </w:p>
    <w:p>
      <w:pPr>
        <w:pStyle w:val="NormalNumberedtext"/>
      </w:pPr>
      <w:r>
        <w:t>This section defines the drug and alcohol testing programme, the substances covered, cut-off levels, pre-start testing requirements, and the process for managing non-negative results.</w:t>
      </w:r>
    </w:p>
    <w:p>
      <w:pPr>
        <w:pStyle w:val="NormalNumberedtext"/>
      </w:pPr>
      <w:r>
        <w:t>All personnel participate in the project drug and alcohol testing programme. The programme implements controls proportionate to the substance use risks identified for the project workforce and the local community context, and promotes a safe and healthy work environment for all personnel on site.</w:t>
      </w:r>
    </w:p>
    <w:p>
      <w:pPr>
        <w:pStyle w:val="NormalNumberedtext"/>
      </w:pPr>
      <w:r>
        <w:t>The substances covered by the testing programme are:</w:t>
      </w:r>
    </w:p>
    <w:p>
      <w:pPr>
        <w:pStyle w:val="NormalNumberedtext"/>
      </w:pPr>
      <w:r>
        <w:t>The following substance categories are included in the testing programme:</w:t>
      </w:r>
    </w:p>
    <w:p>
      <w:pPr>
        <w:pStyle w:val="NumberedBulletL1"/>
      </w:pPr>
      <w:r>
        <w:t>Alcohol</w:t>
      </w:r>
    </w:p>
    <w:p>
      <w:pPr>
        <w:pStyle w:val="NumberedBulletL1"/>
      </w:pPr>
      <w:r>
        <w:t>Cannabis, including synthetic cannabinoids</w:t>
      </w:r>
    </w:p>
    <w:p>
      <w:pPr>
        <w:pStyle w:val="NumberedBulletL1"/>
      </w:pPr>
      <w:r>
        <w:t>Opiate analgesics</w:t>
      </w:r>
    </w:p>
    <w:p>
      <w:pPr>
        <w:pStyle w:val="NumberedBulletL1"/>
      </w:pPr>
      <w:r>
        <w:t>Hallucinogens</w:t>
      </w:r>
    </w:p>
    <w:p>
      <w:pPr>
        <w:pStyle w:val="NumberedBulletL1"/>
      </w:pPr>
      <w:r>
        <w:t>Volatile substances</w:t>
      </w:r>
    </w:p>
    <w:p>
      <w:pPr>
        <w:pStyle w:val="NumberedBulletL1"/>
      </w:pPr>
      <w:r>
        <w:t>Stimulants</w:t>
      </w:r>
    </w:p>
    <w:p>
      <w:pPr>
        <w:pStyle w:val="NumberedBulletL1"/>
      </w:pPr>
      <w:r>
        <w:t>Impairing prescription or over-the-counter medications</w:t>
      </w:r>
    </w:p>
    <w:p>
      <w:pPr>
        <w:pStyle w:val="NormalNumberedtext"/>
      </w:pPr>
      <w:r>
        <w:t>Pre-start alcohol testing is conducted using an approved testing device before personnel commence work at any location on the project. Personnel must register a blood alcohol concentration of zero on an automatic test, or a negative result on a passive test, before starting work. A result that does not meet this threshold prevents the individual from commencing work pending further assessment and management.</w:t>
      </w:r>
    </w:p>
    <w:p>
      <w:pPr>
        <w:pStyle w:val="NormalNumberedtext"/>
      </w:pPr>
      <w:r>
        <w:t>A non-negative drug screen is followed by confirmatory testing before any disciplinary or administrative action is taken. Confirmatory testing uses GC-MS methodology. Immunoassay screening cut-off levels and GC-MS confirmatory cut-off levels are defined per AS4308. Confirmatory results are reviewed by trained personnel before any action proceeds.</w:t>
      </w:r>
    </w:p>
    <w:p>
      <w:pPr>
        <w:pStyle w:val="NormalNumberedtext"/>
      </w:pPr>
      <w:r>
        <w:t>The disciplinary process for confirmed positive results is defined in the project D&amp;A disciplinary framework. The testing schedule, including pre-placement testing, random testing frequency, and for-cause testing triggers, is documented below:</w:t>
      </w:r>
    </w:p>
    <w:p>
      <w:pPr>
        <w:pStyle w:val="NormalNumberedtext"/>
      </w:pPr>
      <w:r>
        <w:t>Table: Drug and Alcohol Testing Schedule</w:t>
      </w:r>
    </w:p>
    <w:tbl>
      <w:tblPr>
        <w:tblStyle w:val="TableOption2"/>
        <w:tblW w:type="pct" w:w="5000"/>
      </w:tblPr>
      <w:tr>
        <w:trPr>
          <w:tblHeader/>
        </w:trPr>
        <w:tc>
          <w:tcPr>
            <w:shd w:val="clear" w:color="auto" w:fill="1F3864"/>
          </w:tcPr>
          <w:p>
            <w:pPr>
              <w:pStyle w:val="TableContents"/>
            </w:pPr>
            <w:r>
              <w:rPr>
                <w:b/>
                <w:bCs/>
                <w:color w:val="FFFFFF"/>
              </w:rPr>
              <w:t>Testing Type</w:t>
            </w:r>
          </w:p>
        </w:tc>
        <w:tc>
          <w:tcPr>
            <w:shd w:val="clear" w:color="auto" w:fill="1F3864"/>
          </w:tcPr>
          <w:p>
            <w:pPr>
              <w:pStyle w:val="TableContents"/>
            </w:pPr>
            <w:r>
              <w:rPr>
                <w:b/>
                <w:bCs/>
                <w:color w:val="FFFFFF"/>
              </w:rPr>
              <w:t>Trigger</w:t>
            </w:r>
          </w:p>
        </w:tc>
        <w:tc>
          <w:tcPr>
            <w:shd w:val="clear" w:color="auto" w:fill="1F3864"/>
          </w:tcPr>
          <w:p>
            <w:pPr>
              <w:pStyle w:val="TableContents"/>
            </w:pPr>
            <w:r>
              <w:rPr>
                <w:b/>
                <w:bCs/>
                <w:color w:val="FFFFFF"/>
              </w:rPr>
              <w:t>Coverage</w:t>
            </w:r>
          </w:p>
        </w:tc>
        <w:tc>
          <w:tcPr>
            <w:shd w:val="clear" w:color="auto" w:fill="1F3864"/>
          </w:tcPr>
          <w:p>
            <w:pPr>
              <w:pStyle w:val="TableContents"/>
            </w:pPr>
            <w:r>
              <w:rPr>
                <w:b/>
                <w:bCs/>
                <w:color w:val="FFFFFF"/>
              </w:rPr>
              <w:t>Frequency</w:t>
            </w:r>
          </w:p>
        </w:tc>
      </w:tr>
      <w:tr>
        <w:tc>
          <w:tcPr/>
          <w:p>
            <w:pPr>
              <w:pStyle w:val="TableContents"/>
            </w:pPr>
            <w:r>
              <w:t>Pre-placement</w:t>
            </w:r>
          </w:p>
        </w:tc>
        <w:tc>
          <w:tcPr/>
          <w:p>
            <w:pPr>
              <w:pStyle w:val="TableContents"/>
            </w:pPr>
            <w:r>
              <w:t>Before first mobilisation to site</w:t>
            </w:r>
          </w:p>
        </w:tc>
        <w:tc>
          <w:tcPr/>
          <w:p>
            <w:pPr>
              <w:pStyle w:val="TableContents"/>
            </w:pPr>
            <w:r>
              <w:t>All personnel</w:t>
            </w:r>
          </w:p>
        </w:tc>
        <w:tc>
          <w:tcPr/>
          <w:p>
            <w:pPr>
              <w:pStyle w:val="TableContents"/>
            </w:pPr>
            <w:r>
              <w:t>Once per mobilisation</w:t>
            </w:r>
          </w:p>
        </w:tc>
      </w:tr>
      <w:tr>
        <w:tc>
          <w:tcPr/>
          <w:p>
            <w:pPr>
              <w:pStyle w:val="TableContents"/>
            </w:pPr>
            <w:r>
              <w:t>Random</w:t>
            </w:r>
          </w:p>
        </w:tc>
        <w:tc>
          <w:tcPr/>
          <w:p>
            <w:pPr>
              <w:pStyle w:val="TableContents"/>
            </w:pPr>
            <w:r>
              <w:t>Random selection, no advance notice</w:t>
            </w:r>
          </w:p>
        </w:tc>
        <w:tc>
          <w:tcPr/>
          <w:p>
            <w:pPr>
              <w:pStyle w:val="TableContents"/>
            </w:pPr>
            <w:r>
              <w:rPr>
                <w:b/>
                <w:bCs/>
                <w:color w:val="0059D1"/>
              </w:rPr>
              <w:t>[INSERT: % of workforce per quarter]</w:t>
            </w:r>
          </w:p>
        </w:tc>
        <w:tc>
          <w:tcPr/>
          <w:p>
            <w:pPr>
              <w:pStyle w:val="TableContents"/>
            </w:pPr>
            <w:r>
              <w:rPr>
                <w:b/>
                <w:bCs/>
                <w:color w:val="0059D1"/>
              </w:rPr>
              <w:t>[INSERT: quarterly frequency]</w:t>
            </w:r>
          </w:p>
        </w:tc>
      </w:tr>
      <w:tr>
        <w:tc>
          <w:tcPr/>
          <w:p>
            <w:pPr>
              <w:pStyle w:val="TableContents"/>
            </w:pPr>
            <w:r>
              <w:t>For-cause</w:t>
            </w:r>
          </w:p>
        </w:tc>
        <w:tc>
          <w:tcPr/>
          <w:p>
            <w:pPr>
              <w:pStyle w:val="TableContents"/>
            </w:pPr>
            <w:r>
              <w:rPr>
                <w:b/>
                <w:bCs/>
                <w:color w:val="0059D1"/>
              </w:rPr>
              <w:t>[INSERT: list for-cause triggers, e.g. post-incident, reasonable suspicion, post-standdown]</w:t>
            </w:r>
          </w:p>
        </w:tc>
        <w:tc>
          <w:tcPr/>
          <w:p>
            <w:pPr>
              <w:pStyle w:val="TableContents"/>
            </w:pPr>
            <w:r>
              <w:t>Individual(s) involved in trigger event</w:t>
            </w:r>
          </w:p>
        </w:tc>
        <w:tc>
          <w:tcPr/>
          <w:p>
            <w:pPr>
              <w:pStyle w:val="TableContents"/>
            </w:pPr>
            <w:r>
              <w:t>As triggered</w:t>
            </w:r>
          </w:p>
        </w:tc>
      </w:tr>
      <w:tr>
        <w:tc>
          <w:tcPr/>
          <w:p>
            <w:pPr>
              <w:pStyle w:val="TableContents"/>
            </w:pPr>
            <w:r>
              <w:t>Return-to-work</w:t>
            </w:r>
          </w:p>
        </w:tc>
        <w:tc>
          <w:tcPr/>
          <w:p>
            <w:pPr>
              <w:pStyle w:val="TableContents"/>
            </w:pPr>
            <w:r>
              <w:t>Following a confirmed positive result or agreed rehabilitation programme</w:t>
            </w:r>
          </w:p>
        </w:tc>
        <w:tc>
          <w:tcPr/>
          <w:p>
            <w:pPr>
              <w:pStyle w:val="TableContents"/>
            </w:pPr>
            <w:r>
              <w:t>Individual returning to site</w:t>
            </w:r>
          </w:p>
        </w:tc>
        <w:tc>
          <w:tcPr/>
          <w:p>
            <w:pPr>
              <w:pStyle w:val="TableContents"/>
            </w:pPr>
            <w:r>
              <w:t>Before return to duty</w:t>
            </w:r>
          </w:p>
        </w:tc>
      </w:tr>
      <w:tr>
        <w:tc>
          <w:tcPr/>
          <w:p>
            <w:pPr>
              <w:pStyle w:val="TableContents"/>
            </w:pPr>
            <w:r>
              <w:rPr>
                <w:b/>
                <w:bCs/>
                <w:color w:val="0059D1"/>
              </w:rPr>
              <w:t>[INSERT: additional testing type]</w:t>
            </w:r>
          </w:p>
        </w:tc>
        <w:tc>
          <w:tcPr/>
          <w:p>
            <w:pPr>
              <w:pStyle w:val="TableContents"/>
            </w:pPr>
            <w:r>
              <w:rPr>
                <w:b/>
                <w:bCs/>
                <w:color w:val="0059D1"/>
              </w:rPr>
              <w:t>[INSERT: trigger]</w:t>
            </w:r>
          </w:p>
        </w:tc>
        <w:tc>
          <w:tcPr/>
          <w:p>
            <w:pPr>
              <w:pStyle w:val="TableContents"/>
            </w:pPr>
            <w:r>
              <w:rPr>
                <w:b/>
                <w:bCs/>
                <w:color w:val="0059D1"/>
              </w:rPr>
              <w:t>[INSERT: coverage]</w:t>
            </w:r>
          </w:p>
        </w:tc>
        <w:tc>
          <w:tcPr/>
          <w:p>
            <w:pPr>
              <w:pStyle w:val="TableContents"/>
            </w:pPr>
            <w:r>
              <w:rPr>
                <w:b/>
                <w:bCs/>
                <w:color w:val="0059D1"/>
              </w:rPr>
              <w:t>[INSERT: frequency]</w:t>
            </w:r>
          </w:p>
        </w:tc>
      </w:tr>
    </w:tbl>
    <w:p>
      <w:pPr>
        <w:pStyle w:val="Default"/>
      </w:pPr>
    </w:p>
    <w:p>
      <w:pPr>
        <w:pStyle w:val="NormalNumberedtext"/>
      </w:pPr>
      <w:r>
        <w:t>FFW-related incidents involving drug or alcohol impairment are reported per project requirements, refer RTPR-HSE-PRO-0009. Drug and alcohol fitness for work requirements for drivers are addressed in the Vehicles Procedure, refer RTPR-HSE-PRO-0026. Applicable legislative requirements governing drug and alcohol testing are documented in the Legal Requirements Procedure, refer RTPR-HSE-PRO-0001.</w:t>
      </w:r>
    </w:p>
    <w:p>
      <w:pPr>
        <w:pStyle w:val="Heading2Numbered"/>
      </w:pPr>
      <w:r>
        <w:t>3.3  Fatigue Management</w:t>
      </w:r>
    </w:p>
    <w:p>
      <w:pPr>
        <w:pStyle w:val="NormalNumberedtext"/>
      </w:pPr>
      <w:r>
        <w:t>This section defines working hour limits, self-reporting requirements, fatigue risk assessment for scheduling decisions, and the criteria for standing down personnel.</w:t>
      </w:r>
    </w:p>
    <w:p>
      <w:pPr>
        <w:pStyle w:val="NormalNumberedtext"/>
      </w:pPr>
      <w:r>
        <w:t>Working hour arrangements comply with applicable national law and, where national requirements are less stringent, with Good International Industry Practice. This applies particularly to physically demanding and safety-critical roles. Applicable legislative requirements are documented in the Legal Requirements Procedure, refer RTPR-HSE-PRO-0001.</w:t>
      </w:r>
    </w:p>
    <w:p>
      <w:pPr>
        <w:pStyle w:val="NormalNumberedtext"/>
      </w:pPr>
      <w:r>
        <w:t>The following working hour limits apply to all personnel on the project:</w:t>
      </w:r>
    </w:p>
    <w:p>
      <w:pPr>
        <w:pStyle w:val="NormalNumberedtext"/>
      </w:pPr>
      <w:r>
        <w:t>Working hour limits are defined as follows:</w:t>
      </w:r>
    </w:p>
    <w:p>
      <w:pPr>
        <w:pStyle w:val="NumberedBulletL1"/>
      </w:pPr>
      <w:r>
        <w:t>Normal working hours must not exceed 12 hours per day.</w:t>
      </w:r>
    </w:p>
    <w:p>
      <w:pPr>
        <w:pStyle w:val="NumberedBulletL1"/>
      </w:pPr>
      <w:r>
        <w:t>Work beyond 12 hours, up to a maximum of 14 hours per day, requires prior written approval from a designated Contractor manager before the extended hours commence.</w:t>
      </w:r>
    </w:p>
    <w:p>
      <w:pPr>
        <w:pStyle w:val="NumberedBulletL1"/>
      </w:pPr>
      <w:r>
        <w:t>A minimum continuous 10-hour break is required between the end of one shift and the commencement of the next. Travel time is excluded from this 10-hour rest period.</w:t>
      </w:r>
    </w:p>
    <w:p>
      <w:pPr>
        <w:pStyle w:val="NumberedBulletL1"/>
      </w:pPr>
      <w:r>
        <w:rPr>
          <w:color w:val="C55A11"/>
        </w:rPr>
        <w:t>Cumulative shift limits and maximum days worked before a mandatory rest day are defined in the project roster and FIFO schedule, refer [INSERT: roster document reference].</w:t>
      </w:r>
    </w:p>
    <w:p>
      <w:pPr>
        <w:pStyle w:val="NormalNumberedtext"/>
      </w:pPr>
      <w:r>
        <w:t>Personnel are required to self-report fatigue impairment to their supervisor before commencing or continuing work. A supervisor receiving a fatigue self-report assesses the individual using the project fatigue assessment criteria and, where the criteria are met, stands the individual down from safety-critical or physically demanding duties until the required rest has been obtained. No adverse action is taken against a person who self-reports fatigue in good faith.</w:t>
      </w:r>
    </w:p>
    <w:p>
      <w:pPr>
        <w:pStyle w:val="NormalNumberedtext"/>
      </w:pPr>
      <w:r>
        <w:t>The project applies a fatigue risk assessment process to all scheduling decisions involving FIFO rosters, extended travel days, and night work. The assessment process and the acceptable fatigue risk threshold for this project are defined below:</w:t>
      </w:r>
    </w:p>
    <w:p>
      <w:pPr>
        <w:pStyle w:val="NormalNumberedtext"/>
      </w:pPr>
      <w:r>
        <w:t>Table: Fatigue Risk Assessment Thresholds and Controls</w:t>
      </w:r>
    </w:p>
    <w:tbl>
      <w:tblPr>
        <w:tblStyle w:val="TableOption2"/>
        <w:tblW w:type="pct" w:w="5000"/>
      </w:tblPr>
      <w:tr>
        <w:trPr>
          <w:tblHeader/>
        </w:trPr>
        <w:tc>
          <w:tcPr>
            <w:shd w:val="clear" w:color="auto" w:fill="1F3864"/>
          </w:tcPr>
          <w:p>
            <w:pPr>
              <w:pStyle w:val="TableContents"/>
            </w:pPr>
            <w:r>
              <w:rPr>
                <w:b/>
                <w:bCs/>
                <w:color w:val="FFFFFF"/>
              </w:rPr>
              <w:t>Scheduling Scenario</w:t>
            </w:r>
          </w:p>
        </w:tc>
        <w:tc>
          <w:tcPr>
            <w:shd w:val="clear" w:color="auto" w:fill="1F3864"/>
          </w:tcPr>
          <w:p>
            <w:pPr>
              <w:pStyle w:val="TableContents"/>
            </w:pPr>
            <w:r>
              <w:rPr>
                <w:b/>
                <w:bCs/>
                <w:color w:val="FFFFFF"/>
              </w:rPr>
              <w:t>Fatigue Risk Scoring Approach</w:t>
            </w:r>
          </w:p>
        </w:tc>
        <w:tc>
          <w:tcPr>
            <w:shd w:val="clear" w:color="auto" w:fill="1F3864"/>
          </w:tcPr>
          <w:p>
            <w:pPr>
              <w:pStyle w:val="TableContents"/>
            </w:pPr>
            <w:r>
              <w:rPr>
                <w:b/>
                <w:bCs/>
                <w:color w:val="FFFFFF"/>
              </w:rPr>
              <w:t>Acceptable Risk Threshold</w:t>
            </w:r>
          </w:p>
        </w:tc>
        <w:tc>
          <w:tcPr>
            <w:shd w:val="clear" w:color="auto" w:fill="1F3864"/>
          </w:tcPr>
          <w:p>
            <w:pPr>
              <w:pStyle w:val="TableContents"/>
            </w:pPr>
            <w:r>
              <w:rPr>
                <w:b/>
                <w:bCs/>
                <w:color w:val="FFFFFF"/>
              </w:rPr>
              <w:t>Controls Required Above Threshold</w:t>
            </w:r>
          </w:p>
        </w:tc>
      </w:tr>
      <w:tr>
        <w:tc>
          <w:tcPr/>
          <w:p>
            <w:pPr>
              <w:pStyle w:val="TableContents"/>
            </w:pPr>
            <w:r>
              <w:t>FIFO roster — standard swing</w:t>
            </w:r>
          </w:p>
        </w:tc>
        <w:tc>
          <w:tcPr/>
          <w:p>
            <w:pPr>
              <w:pStyle w:val="TableContents"/>
            </w:pPr>
            <w:r>
              <w:rPr>
                <w:b/>
                <w:bCs/>
                <w:color w:val="0059D1"/>
              </w:rPr>
              <w:t>[INSERT: scoring tool or method, e.g. FAID, Bio-Mathematical Model, structured checklist]</w:t>
            </w:r>
          </w:p>
        </w:tc>
        <w:tc>
          <w:tcPr/>
          <w:p>
            <w:pPr>
              <w:pStyle w:val="TableContents"/>
            </w:pPr>
            <w:r>
              <w:rPr>
                <w:b/>
                <w:bCs/>
                <w:color w:val="0059D1"/>
              </w:rPr>
              <w:t>[INSERT: acceptable score or band]</w:t>
            </w:r>
          </w:p>
        </w:tc>
        <w:tc>
          <w:tcPr/>
          <w:p>
            <w:pPr>
              <w:pStyle w:val="TableContents"/>
            </w:pPr>
            <w:r>
              <w:rPr>
                <w:b/>
                <w:bCs/>
                <w:color w:val="0059D1"/>
              </w:rPr>
              <w:t>[INSERT: controls, e.g. roster adjustment, additional supervision, mandatory rest day]</w:t>
            </w:r>
          </w:p>
        </w:tc>
      </w:tr>
      <w:tr>
        <w:tc>
          <w:tcPr/>
          <w:p>
            <w:pPr>
              <w:pStyle w:val="TableContents"/>
            </w:pPr>
            <w:r>
              <w:t>Extended travel day (&gt;4 hours transit)</w:t>
            </w:r>
          </w:p>
        </w:tc>
        <w:tc>
          <w:tcPr/>
          <w:p>
            <w:pPr>
              <w:pStyle w:val="TableContents"/>
            </w:pPr>
            <w:r>
              <w:rPr>
                <w:b/>
                <w:bCs/>
                <w:color w:val="0059D1"/>
              </w:rPr>
              <w:t>[INSERT: scoring approach for travel days]</w:t>
            </w:r>
          </w:p>
        </w:tc>
        <w:tc>
          <w:tcPr/>
          <w:p>
            <w:pPr>
              <w:pStyle w:val="TableContents"/>
            </w:pPr>
            <w:r>
              <w:rPr>
                <w:b/>
                <w:bCs/>
                <w:color w:val="0059D1"/>
              </w:rPr>
              <w:t>[INSERT: threshold]</w:t>
            </w:r>
          </w:p>
        </w:tc>
        <w:tc>
          <w:tcPr/>
          <w:p>
            <w:pPr>
              <w:pStyle w:val="TableContents"/>
            </w:pPr>
            <w:r>
              <w:rPr>
                <w:b/>
                <w:bCs/>
                <w:color w:val="0059D1"/>
              </w:rPr>
              <w:t>[INSERT: controls, e.g. delayed shift start, reduced hours on arrival day]</w:t>
            </w:r>
          </w:p>
        </w:tc>
      </w:tr>
      <w:tr>
        <w:tc>
          <w:tcPr/>
          <w:p>
            <w:pPr>
              <w:pStyle w:val="TableContents"/>
            </w:pPr>
            <w:r>
              <w:t>Night work — first night of swing</w:t>
            </w:r>
          </w:p>
        </w:tc>
        <w:tc>
          <w:tcPr/>
          <w:p>
            <w:pPr>
              <w:pStyle w:val="TableContents"/>
            </w:pPr>
            <w:r>
              <w:rPr>
                <w:b/>
                <w:bCs/>
                <w:color w:val="0059D1"/>
              </w:rPr>
              <w:t>[INSERT: scoring approach]</w:t>
            </w:r>
          </w:p>
        </w:tc>
        <w:tc>
          <w:tcPr/>
          <w:p>
            <w:pPr>
              <w:pStyle w:val="TableContents"/>
            </w:pPr>
            <w:r>
              <w:rPr>
                <w:b/>
                <w:bCs/>
                <w:color w:val="0059D1"/>
              </w:rPr>
              <w:t>[INSERT: threshold]</w:t>
            </w:r>
          </w:p>
        </w:tc>
        <w:tc>
          <w:tcPr/>
          <w:p>
            <w:pPr>
              <w:pStyle w:val="TableContents"/>
            </w:pPr>
            <w:r>
              <w:rPr>
                <w:b/>
                <w:bCs/>
                <w:color w:val="0059D1"/>
              </w:rPr>
              <w:t>[INSERT: controls]</w:t>
            </w:r>
          </w:p>
        </w:tc>
      </w:tr>
      <w:tr>
        <w:tc>
          <w:tcPr/>
          <w:p>
            <w:pPr>
              <w:pStyle w:val="TableContents"/>
            </w:pPr>
            <w:r>
              <w:rPr>
                <w:b/>
                <w:bCs/>
                <w:color w:val="0059D1"/>
              </w:rPr>
              <w:t>[INSERT: additional scenario]</w:t>
            </w:r>
          </w:p>
        </w:tc>
        <w:tc>
          <w:tcPr/>
          <w:p>
            <w:pPr>
              <w:pStyle w:val="TableContents"/>
            </w:pPr>
            <w:r>
              <w:rPr>
                <w:b/>
                <w:bCs/>
                <w:color w:val="0059D1"/>
              </w:rPr>
              <w:t>[INSERT: approach]</w:t>
            </w:r>
          </w:p>
        </w:tc>
        <w:tc>
          <w:tcPr/>
          <w:p>
            <w:pPr>
              <w:pStyle w:val="TableContents"/>
            </w:pPr>
            <w:r>
              <w:rPr>
                <w:b/>
                <w:bCs/>
                <w:color w:val="0059D1"/>
              </w:rPr>
              <w:t>[INSERT: threshold]</w:t>
            </w:r>
          </w:p>
        </w:tc>
        <w:tc>
          <w:tcPr/>
          <w:p>
            <w:pPr>
              <w:pStyle w:val="TableContents"/>
            </w:pPr>
            <w:r>
              <w:rPr>
                <w:b/>
                <w:bCs/>
                <w:color w:val="0059D1"/>
              </w:rPr>
              <w:t>[INSERT: controls]</w:t>
            </w:r>
          </w:p>
        </w:tc>
      </w:tr>
    </w:tbl>
    <w:p>
      <w:pPr>
        <w:pStyle w:val="Default"/>
      </w:pPr>
    </w:p>
    <w:p>
      <w:pPr>
        <w:pStyle w:val="NormalNumberedtext"/>
      </w:pPr>
      <w:r>
        <w:t>Fatigue monitoring is conducted as an ongoing supervisory responsibility throughout each shift. Supervisors apply the project fatigue indicator checklist to identify signs of impairment during work. Personnel displaying indicators of fatigue impairment are stood down from work pending rest, without prejudice, and the event is recorded in the project monitoring system. Fatigue-related incidents are reported per project requirements, refer RTPR-HSE-PRO-0009.</w:t>
      </w:r>
    </w:p>
    <w:p>
      <w:pPr>
        <w:pStyle w:val="Heading2Numbered"/>
      </w:pPr>
      <w:r>
        <w:t>3.4  Thermal Stress Management</w:t>
      </w:r>
    </w:p>
    <w:p>
      <w:pPr>
        <w:pStyle w:val="NormalNumberedtext"/>
      </w:pPr>
      <w:r>
        <w:t>This section defines heat stress risk controls, acclimatisation requirements, WBGT thresholds, work-rest schedules, and hydration testing requirements for the project.</w:t>
      </w:r>
    </w:p>
    <w:p>
      <w:pPr>
        <w:pStyle w:val="NormalNumberedtext"/>
      </w:pPr>
      <w:r>
        <w:t>Heat stress risk is identified and assessed for all outdoor work and hot process environments on the project. Engineering, administrative, and PPE controls are implemented to maintain core body temperature within safe limits. Heat stress recognition training requirements are defined in the Training Procedure, refer RTPR-HSE-PRO-0004.</w:t>
      </w:r>
    </w:p>
    <w:p>
      <w:pPr>
        <w:pStyle w:val="NormalNumberedtext"/>
      </w:pPr>
      <w:r>
        <w:t>The project defines site-specific wet bulb globe temperature thresholds and corresponding work-rest schedules for each season. These thresholds and schedules are documented in the table below, validated by the project occupational health provider before the first high-temperature period of each year, and reviewed following any heat-related illness event:</w:t>
      </w:r>
    </w:p>
    <w:p>
      <w:pPr>
        <w:pStyle w:val="NormalNumberedtext"/>
      </w:pPr>
      <w:r>
        <w:t>Table: WBGT Thresholds and Work-Rest Schedules</w:t>
      </w:r>
    </w:p>
    <w:tbl>
      <w:tblPr>
        <w:tblStyle w:val="TableOption2"/>
        <w:tblW w:type="pct" w:w="5000"/>
      </w:tblPr>
      <w:tr>
        <w:trPr>
          <w:tblHeader/>
        </w:trPr>
        <w:tc>
          <w:tcPr>
            <w:shd w:val="clear" w:color="auto" w:fill="1F3864"/>
          </w:tcPr>
          <w:p>
            <w:pPr>
              <w:pStyle w:val="TableContents"/>
            </w:pPr>
            <w:r>
              <w:rPr>
                <w:b/>
                <w:bCs/>
                <w:color w:val="FFFFFF"/>
              </w:rPr>
              <w:t>WBGT Range (°C)</w:t>
            </w:r>
          </w:p>
        </w:tc>
        <w:tc>
          <w:tcPr>
            <w:shd w:val="clear" w:color="auto" w:fill="1F3864"/>
          </w:tcPr>
          <w:p>
            <w:pPr>
              <w:pStyle w:val="TableContents"/>
            </w:pPr>
            <w:r>
              <w:rPr>
                <w:b/>
                <w:bCs/>
                <w:color w:val="FFFFFF"/>
              </w:rPr>
              <w:t>Risk Level</w:t>
            </w:r>
          </w:p>
        </w:tc>
        <w:tc>
          <w:tcPr>
            <w:shd w:val="clear" w:color="auto" w:fill="1F3864"/>
          </w:tcPr>
          <w:p>
            <w:pPr>
              <w:pStyle w:val="TableContents"/>
            </w:pPr>
            <w:r>
              <w:rPr>
                <w:b/>
                <w:bCs/>
                <w:color w:val="FFFFFF"/>
              </w:rPr>
              <w:t>Work-Rest Schedule</w:t>
            </w:r>
          </w:p>
        </w:tc>
        <w:tc>
          <w:tcPr>
            <w:shd w:val="clear" w:color="auto" w:fill="1F3864"/>
          </w:tcPr>
          <w:p>
            <w:pPr>
              <w:pStyle w:val="TableContents"/>
            </w:pPr>
            <w:r>
              <w:rPr>
                <w:b/>
                <w:bCs/>
                <w:color w:val="FFFFFF"/>
              </w:rPr>
              <w:t>Additional Controls Required</w:t>
            </w:r>
          </w:p>
        </w:tc>
        <w:tc>
          <w:tcPr>
            <w:shd w:val="clear" w:color="auto" w:fill="1F3864"/>
          </w:tcPr>
          <w:p>
            <w:pPr>
              <w:pStyle w:val="TableContents"/>
            </w:pPr>
            <w:r>
              <w:rPr>
                <w:b/>
                <w:bCs/>
                <w:color w:val="FFFFFF"/>
              </w:rPr>
              <w:t>Season Applicability</w:t>
            </w:r>
          </w:p>
        </w:tc>
      </w:tr>
      <w:tr>
        <w:tc>
          <w:tcPr/>
          <w:p>
            <w:pPr>
              <w:pStyle w:val="TableContents"/>
            </w:pPr>
            <w:r>
              <w:rPr>
                <w:b/>
                <w:bCs/>
                <w:color w:val="0059D1"/>
              </w:rPr>
              <w:t>[INSERT: lower bound] to [INSERT: upper bound]</w:t>
            </w:r>
          </w:p>
        </w:tc>
        <w:tc>
          <w:tcPr/>
          <w:p>
            <w:pPr>
              <w:pStyle w:val="TableContents"/>
            </w:pPr>
            <w:r>
              <w:t>Low</w:t>
            </w:r>
          </w:p>
        </w:tc>
        <w:tc>
          <w:tcPr/>
          <w:p>
            <w:pPr>
              <w:pStyle w:val="TableContents"/>
            </w:pPr>
            <w:r>
              <w:rPr>
                <w:b/>
                <w:bCs/>
                <w:color w:val="0059D1"/>
              </w:rPr>
              <w:t>[INSERT: e.g. continuous work with normal hydration schedule]</w:t>
            </w:r>
          </w:p>
        </w:tc>
        <w:tc>
          <w:tcPr/>
          <w:p>
            <w:pPr>
              <w:pStyle w:val="TableContents"/>
            </w:pPr>
            <w:r>
              <w:rPr>
                <w:b/>
                <w:bCs/>
                <w:color w:val="0059D1"/>
              </w:rPr>
              <w:t>[INSERT: controls]</w:t>
            </w:r>
          </w:p>
        </w:tc>
        <w:tc>
          <w:tcPr/>
          <w:p>
            <w:pPr>
              <w:pStyle w:val="TableContents"/>
            </w:pPr>
            <w:r>
              <w:rPr>
                <w:b/>
                <w:bCs/>
                <w:color w:val="0059D1"/>
              </w:rPr>
              <w:t>[INSERT: season]</w:t>
            </w:r>
          </w:p>
        </w:tc>
      </w:tr>
      <w:tr>
        <w:tc>
          <w:tcPr/>
          <w:p>
            <w:pPr>
              <w:pStyle w:val="TableContents"/>
            </w:pPr>
            <w:r>
              <w:rPr>
                <w:b/>
                <w:bCs/>
                <w:color w:val="0059D1"/>
              </w:rPr>
              <w:t>[INSERT: lower bound] to [INSERT: upper bound]</w:t>
            </w:r>
          </w:p>
        </w:tc>
        <w:tc>
          <w:tcPr/>
          <w:p>
            <w:pPr>
              <w:pStyle w:val="TableContents"/>
            </w:pPr>
            <w:r>
              <w:t>Moderate</w:t>
            </w:r>
          </w:p>
        </w:tc>
        <w:tc>
          <w:tcPr/>
          <w:p>
            <w:pPr>
              <w:pStyle w:val="TableContents"/>
            </w:pPr>
            <w:r>
              <w:rPr>
                <w:b/>
                <w:bCs/>
                <w:color w:val="0059D1"/>
              </w:rPr>
              <w:t>[INSERT: e.g. 45 min work / 15 min rest in shade]</w:t>
            </w:r>
          </w:p>
        </w:tc>
        <w:tc>
          <w:tcPr/>
          <w:p>
            <w:pPr>
              <w:pStyle w:val="TableContents"/>
            </w:pPr>
            <w:r>
              <w:rPr>
                <w:b/>
                <w:bCs/>
                <w:color w:val="0059D1"/>
              </w:rPr>
              <w:t>[INSERT: controls]</w:t>
            </w:r>
          </w:p>
        </w:tc>
        <w:tc>
          <w:tcPr/>
          <w:p>
            <w:pPr>
              <w:pStyle w:val="TableContents"/>
            </w:pPr>
            <w:r>
              <w:rPr>
                <w:b/>
                <w:bCs/>
                <w:color w:val="0059D1"/>
              </w:rPr>
              <w:t>[INSERT: season]</w:t>
            </w:r>
          </w:p>
        </w:tc>
      </w:tr>
      <w:tr>
        <w:tc>
          <w:tcPr/>
          <w:p>
            <w:pPr>
              <w:pStyle w:val="TableContents"/>
            </w:pPr>
            <w:r>
              <w:rPr>
                <w:b/>
                <w:bCs/>
                <w:color w:val="0059D1"/>
              </w:rPr>
              <w:t>[INSERT: lower bound] to [INSERT: upper bound]</w:t>
            </w:r>
          </w:p>
        </w:tc>
        <w:tc>
          <w:tcPr/>
          <w:p>
            <w:pPr>
              <w:pStyle w:val="TableContents"/>
            </w:pPr>
            <w:r>
              <w:t>High</w:t>
            </w:r>
          </w:p>
        </w:tc>
        <w:tc>
          <w:tcPr/>
          <w:p>
            <w:pPr>
              <w:pStyle w:val="TableContents"/>
            </w:pPr>
            <w:r>
              <w:rPr>
                <w:b/>
                <w:bCs/>
                <w:color w:val="0059D1"/>
              </w:rPr>
              <w:t>[INSERT: e.g. 30 min work / 30 min rest in shade]</w:t>
            </w:r>
          </w:p>
        </w:tc>
        <w:tc>
          <w:tcPr/>
          <w:p>
            <w:pPr>
              <w:pStyle w:val="TableContents"/>
            </w:pPr>
            <w:r>
              <w:rPr>
                <w:b/>
                <w:bCs/>
                <w:color w:val="0059D1"/>
              </w:rPr>
              <w:t>[INSERT: controls including buddy system activation]</w:t>
            </w:r>
          </w:p>
        </w:tc>
        <w:tc>
          <w:tcPr/>
          <w:p>
            <w:pPr>
              <w:pStyle w:val="TableContents"/>
            </w:pPr>
            <w:r>
              <w:rPr>
                <w:b/>
                <w:bCs/>
                <w:color w:val="0059D1"/>
              </w:rPr>
              <w:t>[INSERT: season]</w:t>
            </w:r>
          </w:p>
        </w:tc>
      </w:tr>
      <w:tr>
        <w:tc>
          <w:tcPr/>
          <w:p>
            <w:pPr>
              <w:pStyle w:val="TableContents"/>
            </w:pPr>
            <w:r>
              <w:t>Above [INSERT: threshold]</w:t>
            </w:r>
          </w:p>
        </w:tc>
        <w:tc>
          <w:tcPr/>
          <w:p>
            <w:pPr>
              <w:pStyle w:val="TableContents"/>
            </w:pPr>
            <w:r>
              <w:t>Extreme</w:t>
            </w:r>
          </w:p>
        </w:tc>
        <w:tc>
          <w:tcPr/>
          <w:p>
            <w:pPr>
              <w:pStyle w:val="TableContents"/>
            </w:pPr>
            <w:r>
              <w:rPr>
                <w:b/>
                <w:bCs/>
                <w:color w:val="0059D1"/>
              </w:rPr>
              <w:t>[INSERT: e.g. suspend outdoor work or apply engineering controls]</w:t>
            </w:r>
          </w:p>
        </w:tc>
        <w:tc>
          <w:tcPr/>
          <w:p>
            <w:pPr>
              <w:pStyle w:val="TableContents"/>
            </w:pPr>
            <w:r>
              <w:rPr>
                <w:b/>
                <w:bCs/>
                <w:color w:val="0059D1"/>
              </w:rPr>
              <w:t>[INSERT: controls including mandatory supervisor approval to continue]</w:t>
            </w:r>
          </w:p>
        </w:tc>
        <w:tc>
          <w:tcPr/>
          <w:p>
            <w:pPr>
              <w:pStyle w:val="TableContents"/>
            </w:pPr>
            <w:r>
              <w:rPr>
                <w:b/>
                <w:bCs/>
                <w:color w:val="0059D1"/>
              </w:rPr>
              <w:t>[INSERT: season]</w:t>
            </w:r>
          </w:p>
        </w:tc>
      </w:tr>
    </w:tbl>
    <w:p>
      <w:pPr>
        <w:pStyle w:val="Default"/>
      </w:pPr>
    </w:p>
    <w:p>
      <w:pPr>
        <w:pStyle w:val="NormalNumberedtext"/>
      </w:pPr>
      <w:r>
        <w:t>All new workers and personnel returning from extended leave or illness of more than seven days complete a structured acclimatisation programme before working full shifts in hot conditions. The acclimatisation programme duration, phased exposure schedule, and assessment criteria for this project are defined below:</w:t>
      </w:r>
    </w:p>
    <w:p>
      <w:pPr>
        <w:pStyle w:val="NormalNumberedtext"/>
      </w:pPr>
      <w:r>
        <w:t>Table: Acclimatisation Programme Requirements</w:t>
      </w:r>
    </w:p>
    <w:tbl>
      <w:tblPr>
        <w:tblStyle w:val="TableOption2"/>
        <w:tblW w:type="pct" w:w="5000"/>
      </w:tblPr>
      <w:tr>
        <w:trPr>
          <w:tblHeader/>
        </w:trPr>
        <w:tc>
          <w:tcPr>
            <w:shd w:val="clear" w:color="auto" w:fill="1F3864"/>
          </w:tcPr>
          <w:p>
            <w:pPr>
              <w:pStyle w:val="TableContents"/>
            </w:pPr>
            <w:r>
              <w:rPr>
                <w:b/>
                <w:bCs/>
                <w:color w:val="FFFFFF"/>
              </w:rPr>
              <w:t>Personnel Category</w:t>
            </w:r>
          </w:p>
        </w:tc>
        <w:tc>
          <w:tcPr>
            <w:shd w:val="clear" w:color="auto" w:fill="1F3864"/>
          </w:tcPr>
          <w:p>
            <w:pPr>
              <w:pStyle w:val="TableContents"/>
            </w:pPr>
            <w:r>
              <w:rPr>
                <w:b/>
                <w:bCs/>
                <w:color w:val="FFFFFF"/>
              </w:rPr>
              <w:t>Programme Duration (Days)</w:t>
            </w:r>
          </w:p>
        </w:tc>
        <w:tc>
          <w:tcPr>
            <w:shd w:val="clear" w:color="auto" w:fill="1F3864"/>
          </w:tcPr>
          <w:p>
            <w:pPr>
              <w:pStyle w:val="TableContents"/>
            </w:pPr>
            <w:r>
              <w:rPr>
                <w:b/>
                <w:bCs/>
                <w:color w:val="FFFFFF"/>
              </w:rPr>
              <w:t>Daily Exposure Limit</w:t>
            </w:r>
          </w:p>
        </w:tc>
        <w:tc>
          <w:tcPr>
            <w:shd w:val="clear" w:color="auto" w:fill="1F3864"/>
          </w:tcPr>
          <w:p>
            <w:pPr>
              <w:pStyle w:val="TableContents"/>
            </w:pPr>
            <w:r>
              <w:rPr>
                <w:b/>
                <w:bCs/>
                <w:color w:val="FFFFFF"/>
              </w:rPr>
              <w:t>Supervision Requirement</w:t>
            </w:r>
          </w:p>
        </w:tc>
        <w:tc>
          <w:tcPr>
            <w:shd w:val="clear" w:color="auto" w:fill="1F3864"/>
          </w:tcPr>
          <w:p>
            <w:pPr>
              <w:pStyle w:val="TableContents"/>
            </w:pPr>
            <w:r>
              <w:rPr>
                <w:b/>
                <w:bCs/>
                <w:color w:val="FFFFFF"/>
              </w:rPr>
              <w:t>Clearance Criteria</w:t>
            </w:r>
          </w:p>
        </w:tc>
      </w:tr>
      <w:tr>
        <w:tc>
          <w:tcPr/>
          <w:p>
            <w:pPr>
              <w:pStyle w:val="TableContents"/>
            </w:pPr>
            <w:r>
              <w:t>New to site — no prior hot work experience</w:t>
            </w:r>
          </w:p>
        </w:tc>
        <w:tc>
          <w:tcPr/>
          <w:p>
            <w:pPr>
              <w:pStyle w:val="TableContents"/>
            </w:pPr>
            <w:r>
              <w:rPr>
                <w:b/>
                <w:bCs/>
                <w:color w:val="0059D1"/>
              </w:rPr>
              <w:t>[INSERT: e.g. 10 days]</w:t>
            </w:r>
          </w:p>
        </w:tc>
        <w:tc>
          <w:tcPr/>
          <w:p>
            <w:pPr>
              <w:pStyle w:val="TableContents"/>
            </w:pPr>
            <w:r>
              <w:rPr>
                <w:b/>
                <w:bCs/>
                <w:color w:val="0059D1"/>
              </w:rPr>
              <w:t>[INSERT: e.g. Day 1-3: 50% of shift; Day 4-7: 75%; Day 8-10: full shift]</w:t>
            </w:r>
          </w:p>
        </w:tc>
        <w:tc>
          <w:tcPr/>
          <w:p>
            <w:pPr>
              <w:pStyle w:val="TableContents"/>
            </w:pPr>
            <w:r>
              <w:t>Buddy system for full programme duration; supervisor check-in every 2 hours</w:t>
            </w:r>
          </w:p>
        </w:tc>
        <w:tc>
          <w:tcPr/>
          <w:p>
            <w:pPr>
              <w:pStyle w:val="TableContents"/>
            </w:pPr>
            <w:r>
              <w:rPr>
                <w:b/>
                <w:bCs/>
                <w:color w:val="0059D1"/>
              </w:rPr>
              <w:t>[INSERT: assessment criteria confirmed by occupational health provider]</w:t>
            </w:r>
          </w:p>
        </w:tc>
      </w:tr>
      <w:tr>
        <w:tc>
          <w:tcPr/>
          <w:p>
            <w:pPr>
              <w:pStyle w:val="TableContents"/>
            </w:pPr>
            <w:r>
              <w:t>Returning from leave or illness — greater than 14 days absent</w:t>
            </w:r>
          </w:p>
        </w:tc>
        <w:tc>
          <w:tcPr/>
          <w:p>
            <w:pPr>
              <w:pStyle w:val="TableContents"/>
            </w:pPr>
            <w:r>
              <w:rPr>
                <w:b/>
                <w:bCs/>
                <w:color w:val="0059D1"/>
              </w:rPr>
              <w:t>[INSERT: e.g. 5 days]</w:t>
            </w:r>
          </w:p>
        </w:tc>
        <w:tc>
          <w:tcPr/>
          <w:p>
            <w:pPr>
              <w:pStyle w:val="TableContents"/>
            </w:pPr>
            <w:r>
              <w:rPr>
                <w:b/>
                <w:bCs/>
                <w:color w:val="0059D1"/>
              </w:rPr>
              <w:t>[INSERT: phased schedule]</w:t>
            </w:r>
          </w:p>
        </w:tc>
        <w:tc>
          <w:tcPr/>
          <w:p>
            <w:pPr>
              <w:pStyle w:val="TableContents"/>
            </w:pPr>
            <w:r>
              <w:t>Buddy system for first 3 days</w:t>
            </w:r>
          </w:p>
        </w:tc>
        <w:tc>
          <w:tcPr/>
          <w:p>
            <w:pPr>
              <w:pStyle w:val="TableContents"/>
            </w:pPr>
            <w:r>
              <w:rPr>
                <w:b/>
                <w:bCs/>
                <w:color w:val="0059D1"/>
              </w:rPr>
              <w:t>[INSERT: clearance criteria]</w:t>
            </w:r>
          </w:p>
        </w:tc>
      </w:tr>
      <w:tr>
        <w:tc>
          <w:tcPr/>
          <w:p>
            <w:pPr>
              <w:pStyle w:val="TableContents"/>
            </w:pPr>
            <w:r>
              <w:t>Returning from illness — heat-related</w:t>
            </w:r>
          </w:p>
        </w:tc>
        <w:tc>
          <w:tcPr/>
          <w:p>
            <w:pPr>
              <w:pStyle w:val="TableContents"/>
            </w:pPr>
            <w:r>
              <w:rPr>
                <w:b/>
                <w:bCs/>
                <w:color w:val="0059D1"/>
              </w:rPr>
              <w:t>[INSERT: e.g. 10 days minimum, medical clearance required]</w:t>
            </w:r>
          </w:p>
        </w:tc>
        <w:tc>
          <w:tcPr/>
          <w:p>
            <w:pPr>
              <w:pStyle w:val="TableContents"/>
            </w:pPr>
            <w:r>
              <w:rPr>
                <w:b/>
                <w:bCs/>
                <w:color w:val="0059D1"/>
              </w:rPr>
              <w:t>[INSERT: phased schedule]</w:t>
            </w:r>
          </w:p>
        </w:tc>
        <w:tc>
          <w:tcPr/>
          <w:p>
            <w:pPr>
              <w:pStyle w:val="TableContents"/>
            </w:pPr>
            <w:r>
              <w:t>Active supervision for full programme</w:t>
            </w:r>
          </w:p>
        </w:tc>
        <w:tc>
          <w:tcPr/>
          <w:p>
            <w:pPr>
              <w:pStyle w:val="TableContents"/>
            </w:pPr>
            <w:r>
              <w:rPr>
                <w:b/>
                <w:bCs/>
                <w:color w:val="0059D1"/>
              </w:rPr>
              <w:t>[INSERT: medical clearance criteria]</w:t>
            </w:r>
          </w:p>
        </w:tc>
      </w:tr>
      <w:tr>
        <w:tc>
          <w:tcPr/>
          <w:p>
            <w:pPr>
              <w:pStyle w:val="TableContents"/>
            </w:pPr>
            <w:r>
              <w:rPr>
                <w:b/>
                <w:bCs/>
                <w:color w:val="0059D1"/>
              </w:rPr>
              <w:t>[INSERT: additional category]</w:t>
            </w:r>
          </w:p>
        </w:tc>
        <w:tc>
          <w:tcPr/>
          <w:p>
            <w:pPr>
              <w:pStyle w:val="TableContents"/>
            </w:pPr>
            <w:r>
              <w:rPr>
                <w:b/>
                <w:bCs/>
                <w:color w:val="0059D1"/>
              </w:rPr>
              <w:t>[INSERT: duration]</w:t>
            </w:r>
          </w:p>
        </w:tc>
        <w:tc>
          <w:tcPr/>
          <w:p>
            <w:pPr>
              <w:pStyle w:val="TableContents"/>
            </w:pPr>
            <w:r>
              <w:rPr>
                <w:b/>
                <w:bCs/>
                <w:color w:val="0059D1"/>
              </w:rPr>
              <w:t>[INSERT: exposure limit]</w:t>
            </w:r>
          </w:p>
        </w:tc>
        <w:tc>
          <w:tcPr/>
          <w:p>
            <w:pPr>
              <w:pStyle w:val="TableContents"/>
            </w:pPr>
            <w:r>
              <w:rPr>
                <w:b/>
                <w:bCs/>
                <w:color w:val="0059D1"/>
              </w:rPr>
              <w:t>[INSERT: supervision]</w:t>
            </w:r>
          </w:p>
        </w:tc>
        <w:tc>
          <w:tcPr/>
          <w:p>
            <w:pPr>
              <w:pStyle w:val="TableContents"/>
            </w:pPr>
            <w:r>
              <w:rPr>
                <w:b/>
                <w:bCs/>
                <w:color w:val="0059D1"/>
              </w:rPr>
              <w:t>[INSERT: clearance criteria]</w:t>
            </w:r>
          </w:p>
        </w:tc>
      </w:tr>
    </w:tbl>
    <w:p>
      <w:pPr>
        <w:pStyle w:val="Default"/>
      </w:pPr>
    </w:p>
    <w:p>
      <w:pPr>
        <w:pStyle w:val="NormalNumberedtext"/>
      </w:pPr>
      <w:r>
        <w:t>Active supervision and a buddy system are implemented for all personnel during the acclimatisation period. Supervisors conduct visual checks at defined intervals and personnel are instructed to report symptoms of heat stress to their buddy or supervisor immediately.</w:t>
      </w:r>
    </w:p>
    <w:p>
      <w:pPr>
        <w:pStyle w:val="NormalNumberedtext"/>
      </w:pPr>
      <w:r>
        <w:t>Hydration is monitored using Urine Specific Gravity testing conducted per Company standards. USG test results are recorded and reported to the HSESC Manager as a project leading indicator per the Monitoring Procedure, refer RTPR-HSE-PRO-0042. Personnel recording a USG result above the acceptable threshold are stood down from outdoor work until hydration is restored and a subsequent test confirms an acceptable result.</w:t>
      </w:r>
    </w:p>
    <w:p>
      <w:pPr>
        <w:pStyle w:val="Heading2Numbered"/>
      </w:pPr>
      <w:r>
        <w:t>3.5  Return to Work and Case Management</w:t>
      </w:r>
    </w:p>
    <w:p>
      <w:pPr>
        <w:pStyle w:val="NormalNumberedtext"/>
      </w:pPr>
      <w:r>
        <w:t>This section defines the return to work process, medical clearance requirements, work modification options, case management obligations, and project owner agreement requirements.</w:t>
      </w:r>
    </w:p>
    <w:p>
      <w:pPr>
        <w:pStyle w:val="NormalNumberedtext"/>
      </w:pPr>
      <w:r>
        <w:t>The return to work process applies to all personnel returning to the project following injury or illness, regardless of whether the injury or illness was work-related. Return-to-work decisions are based on medical clearance and documented work restrictions, not on operational convenience or contractor scheduling preferences.</w:t>
      </w:r>
    </w:p>
    <w:p>
      <w:pPr>
        <w:pStyle w:val="NormalNumberedtext"/>
      </w:pPr>
      <w:r>
        <w:t>No contractor personnel return to work on the project following an injury or illness without prior agreement from the project owner representative. This requirement ensures consistency of injury classification and case management across all contractor organisations working on the project.</w:t>
      </w:r>
    </w:p>
    <w:p>
      <w:pPr>
        <w:pStyle w:val="NormalNumberedtext"/>
      </w:pPr>
      <w:r>
        <w:t>The case management process for injured personnel includes the following requirements:</w:t>
      </w:r>
    </w:p>
    <w:p>
      <w:pPr>
        <w:pStyle w:val="NormalNumberedtext"/>
      </w:pPr>
      <w:r>
        <w:t>Case management for each injured or ill person must address:</w:t>
      </w:r>
    </w:p>
    <w:p>
      <w:pPr>
        <w:pStyle w:val="NumberedBulletL1"/>
      </w:pPr>
      <w:r>
        <w:t>Medical clearance documentation from a licensed treating physician, including a statement of work restrictions or accommodations applicable at the time of return.</w:t>
      </w:r>
    </w:p>
    <w:p>
      <w:pPr>
        <w:pStyle w:val="NumberedBulletL1"/>
      </w:pPr>
      <w:r>
        <w:t>A modified duties plan that enables the injured person to return to meaningful work within their documented restrictions, developed in consultation with the treating physician and the individual.</w:t>
      </w:r>
    </w:p>
    <w:p>
      <w:pPr>
        <w:pStyle w:val="NumberedBulletL1"/>
      </w:pPr>
      <w:r>
        <w:t>Regular review of the case at defined intervals to confirm alignment with recovery progress and Company requirements, and to update the modified duties plan as restrictions change.</w:t>
      </w:r>
    </w:p>
    <w:p>
      <w:pPr>
        <w:pStyle w:val="NumberedBulletL1"/>
      </w:pPr>
      <w:r>
        <w:rPr>
          <w:color w:val="C55A11"/>
        </w:rPr>
        <w:t>Case review intervals are set at a minimum of weekly for the first four weeks of a modified duties arrangement, then fortnightly until full duties are restored, unless the treating physician specifies a different schedule.</w:t>
      </w:r>
    </w:p>
    <w:p>
      <w:pPr>
        <w:pStyle w:val="NumberedBulletL1"/>
      </w:pPr>
      <w:r>
        <w:t>Documentation of each case review, including any changes to restrictions, duties, or rehabilitation access, stored in the project case management record system.</w:t>
      </w:r>
    </w:p>
    <w:p>
      <w:pPr>
        <w:pStyle w:val="NumberedBulletL1"/>
      </w:pPr>
      <w:r>
        <w:t>Access to rehabilitation services appropriate to the nature of the injury, arranged in consultation with the occupational health provider and the individual.</w:t>
      </w:r>
    </w:p>
    <w:p>
      <w:pPr>
        <w:pStyle w:val="NormalNumberedtext"/>
      </w:pPr>
      <w:r>
        <w:t>Injured workers receive appropriate medical treatment and rehabilitation services throughout their recovery. The project demonstrates active care for injured personnel through consistent case management, regular communication with the individual, and timely access to specialist or rehabilitation services where required.</w:t>
      </w:r>
    </w:p>
    <w:p>
      <w:pPr>
        <w:pStyle w:val="NormalNumberedtext"/>
      </w:pPr>
      <w:r>
        <w:t>Return to work following a fitness for work-related incident is managed in accordance with the Incident Management Procedure, refer RTPR-HSE-PRO-0009. The accountable role for case management oversight is defined in the Organisational Resources Procedure, refer RTPR-HSE-PRO-0003. FFW requirements for drivers returning to driving duties following injury or illness are addressed in the Vehicles Procedure, refer RTPR-HSE-PRO-0026.</w:t>
      </w:r>
    </w:p>
    <w:p>
      <w:pPr>
        <w:pStyle w:val="Heading1Numbered"/>
      </w:pPr>
      <w:r>
        <w:t>4  Definitions and Acronyms</w:t>
      </w:r>
    </w:p>
    <w:p>
      <w:pPr>
        <w:pStyle w:val="NormalNumberedtext"/>
      </w:pPr>
      <w:r>
        <w:t>The following terms are used throughout this procedure. Where a term is also used in other project HSESC procedures, the definition below applies consistently across the system.</w:t>
      </w:r>
    </w:p>
    <w:tbl>
      <w:tblPr>
        <w:tblStyle w:val="TableOption2"/>
        <w:tblW w:type="pct" w:w="5000"/>
      </w:tblPr>
      <w:tr>
        <w:trPr>
          <w:tblHeader/>
        </w:trPr>
        <w:tc>
          <w:tcPr>
            <w:shd w:val="clear" w:color="auto" w:fill="1F3864"/>
          </w:tcPr>
          <w:p>
            <w:pPr>
              <w:pStyle w:val="TableContents"/>
            </w:pPr>
            <w:r>
              <w:rPr>
                <w:b/>
                <w:bCs/>
                <w:color w:val="FFFFFF"/>
              </w:rPr>
              <w:t>Term</w:t>
            </w:r>
          </w:p>
        </w:tc>
        <w:tc>
          <w:tcPr>
            <w:shd w:val="clear" w:color="auto" w:fill="1F3864"/>
          </w:tcPr>
          <w:p>
            <w:pPr>
              <w:pStyle w:val="TableContents"/>
            </w:pPr>
            <w:r>
              <w:rPr>
                <w:b/>
                <w:bCs/>
                <w:color w:val="FFFFFF"/>
              </w:rPr>
              <w:t>Definition</w:t>
            </w:r>
          </w:p>
        </w:tc>
      </w:tr>
      <w:tr>
        <w:tc>
          <w:tcPr/>
          <w:p>
            <w:pPr>
              <w:pStyle w:val="TableContents"/>
            </w:pPr>
            <w:r>
              <w:t>FFW</w:t>
            </w:r>
          </w:p>
        </w:tc>
        <w:tc>
          <w:tcPr/>
          <w:p>
            <w:pPr>
              <w:pStyle w:val="TableContents"/>
            </w:pPr>
            <w:r>
              <w:t>Fitness for Work — the state in which a worker is physically, physiologically, and psychologically capable of performing their assigned duties without undue risk to their own health and safety or that of others.</w:t>
            </w:r>
          </w:p>
        </w:tc>
      </w:tr>
      <w:tr>
        <w:tc>
          <w:tcPr/>
          <w:p>
            <w:pPr>
              <w:pStyle w:val="TableContents"/>
            </w:pPr>
            <w:r>
              <w:t>HSE</w:t>
            </w:r>
          </w:p>
        </w:tc>
        <w:tc>
          <w:tcPr/>
          <w:p>
            <w:pPr>
              <w:pStyle w:val="TableContents"/>
            </w:pPr>
            <w:r>
              <w:t>Health, Safety and Environment — the integrated management discipline covering occupational health, workplace safety, and environmental protection obligations.</w:t>
            </w:r>
          </w:p>
        </w:tc>
      </w:tr>
      <w:tr>
        <w:tc>
          <w:tcPr/>
          <w:p>
            <w:pPr>
              <w:pStyle w:val="TableContents"/>
            </w:pPr>
            <w:r>
              <w:t>HSESC</w:t>
            </w:r>
          </w:p>
        </w:tc>
        <w:tc>
          <w:tcPr/>
          <w:p>
            <w:pPr>
              <w:pStyle w:val="TableContents"/>
            </w:pPr>
            <w:r>
              <w:t>Health, Safety, Environment, Security and Community — the broader management framework encompassing HSE together with security and community engagement obligations applicable to Rio Tinto owner-led projects.</w:t>
            </w:r>
          </w:p>
        </w:tc>
      </w:tr>
      <w:tr>
        <w:tc>
          <w:tcPr/>
          <w:p>
            <w:pPr>
              <w:pStyle w:val="TableContents"/>
            </w:pPr>
            <w:r>
              <w:t>PRO</w:t>
            </w:r>
          </w:p>
        </w:tc>
        <w:tc>
          <w:tcPr/>
          <w:p>
            <w:pPr>
              <w:pStyle w:val="TableContents"/>
            </w:pPr>
            <w:r>
              <w:t>Procedure — a controlled management system document that prescribes mandatory steps, responsibilities, and controls required to achieve a specified outcome.</w:t>
            </w:r>
          </w:p>
        </w:tc>
      </w:tr>
      <w:tr>
        <w:tc>
          <w:tcPr/>
          <w:p>
            <w:pPr>
              <w:pStyle w:val="TableContents"/>
            </w:pPr>
            <w:r>
              <w:t>RT</w:t>
            </w:r>
          </w:p>
        </w:tc>
        <w:tc>
          <w:tcPr/>
          <w:p>
            <w:pPr>
              <w:pStyle w:val="TableContents"/>
            </w:pPr>
            <w:r>
              <w:t>Rio Tinto — the parent organisation whose standards, frameworks, and requirements flow down to owner-led project management systems.</w:t>
            </w:r>
          </w:p>
        </w:tc>
      </w:tr>
      <w:tr>
        <w:tc>
          <w:tcPr/>
          <w:p>
            <w:pPr>
              <w:pStyle w:val="TableContents"/>
            </w:pPr>
            <w:r>
              <w:t>RTPR</w:t>
            </w:r>
          </w:p>
        </w:tc>
        <w:tc>
          <w:tcPr/>
          <w:p>
            <w:pPr>
              <w:pStyle w:val="TableContents"/>
            </w:pPr>
            <w:r>
              <w:t>Rio Tinto Project Requirements — the document series prefix denoting project-level HSE and safety management system controlled documents applicable to Rio Tinto owner-led projects.</w:t>
            </w:r>
          </w:p>
        </w:tc>
      </w:tr>
      <w:tr>
        <w:tc>
          <w:tcPr/>
          <w:p>
            <w:pPr>
              <w:pStyle w:val="TableContents"/>
            </w:pPr>
            <w:r>
              <w:t>USG</w:t>
            </w:r>
          </w:p>
        </w:tc>
        <w:tc>
          <w:tcPr/>
          <w:p>
            <w:pPr>
              <w:pStyle w:val="TableContents"/>
            </w:pPr>
            <w:r>
              <w:t>Urine Specimen Group — the categorisation applied to urine-based alcohol and drug screening samples collected as part of a fitness for work monitoring programme, used as a leading indicator of impairment risk.</w:t>
            </w:r>
          </w:p>
        </w:tc>
      </w:tr>
      <w:tr>
        <w:tc>
          <w:tcPr/>
          <w:p>
            <w:pPr>
              <w:pStyle w:val="TableContents"/>
            </w:pPr>
            <w:r>
              <w:t>BAC</w:t>
            </w:r>
          </w:p>
        </w:tc>
        <w:tc>
          <w:tcPr/>
          <w:p>
            <w:pPr>
              <w:pStyle w:val="TableContents"/>
            </w:pPr>
            <w:r>
              <w:t>Blood Alcohol Concentration — the measure of alcohol present in the bloodstream, expressed as a percentage, used as the primary indicator for alcohol impairment testing under a fitness for work programme.</w:t>
            </w:r>
          </w:p>
        </w:tc>
      </w:tr>
      <w:tr>
        <w:tc>
          <w:tcPr/>
          <w:p>
            <w:pPr>
              <w:pStyle w:val="TableContents"/>
            </w:pPr>
            <w:r>
              <w:t>EAP</w:t>
            </w:r>
          </w:p>
        </w:tc>
        <w:tc>
          <w:tcPr/>
          <w:p>
            <w:pPr>
              <w:pStyle w:val="TableContents"/>
            </w:pPr>
            <w:r>
              <w:t>Employee Assistance Programme — a confidential support service providing workers with access to counselling and referral resources for personal, psychological, or substance-related issues that may affect fitness for work.</w:t>
            </w:r>
          </w:p>
        </w:tc>
      </w:tr>
      <w:tr>
        <w:tc>
          <w:tcPr/>
          <w:p>
            <w:pPr>
              <w:pStyle w:val="TableContents"/>
            </w:pPr>
            <w:r>
              <w:t>MRO</w:t>
            </w:r>
          </w:p>
        </w:tc>
        <w:tc>
          <w:tcPr/>
          <w:p>
            <w:pPr>
              <w:pStyle w:val="TableContents"/>
            </w:pPr>
            <w:r>
              <w:t>Medical Review Officer — a licensed physician responsible for receiving and reviewing laboratory results from drug and alcohol testing and providing a final determination on test outcomes under a fitness for work programme.</w:t>
            </w:r>
          </w:p>
        </w:tc>
      </w:tr>
      <w:tr>
        <w:tc>
          <w:tcPr/>
          <w:p>
            <w:pPr>
              <w:pStyle w:val="TableContents"/>
            </w:pPr>
            <w:r>
              <w:t>OHS</w:t>
            </w:r>
          </w:p>
        </w:tc>
        <w:tc>
          <w:tcPr/>
          <w:p>
            <w:pPr>
              <w:pStyle w:val="TableContents"/>
            </w:pPr>
            <w:r>
              <w:t>Occupational Health and Safety — the field of practice and associated legislative framework concerned with the prevention of work-related injury, illness, and disease.</w:t>
            </w:r>
          </w:p>
        </w:tc>
      </w:tr>
      <w:tr>
        <w:tc>
          <w:tcPr/>
          <w:p>
            <w:pPr>
              <w:pStyle w:val="TableContents"/>
            </w:pPr>
            <w:r>
              <w:t>PPE</w:t>
            </w:r>
          </w:p>
        </w:tc>
        <w:tc>
          <w:tcPr/>
          <w:p>
            <w:pPr>
              <w:pStyle w:val="TableContents"/>
            </w:pPr>
            <w:r>
              <w:t>Personal Protective Equipment — equipment worn by workers to minimise exposure to hazards that could cause injury or illness, relevant to fitness for work where medical conditions may affect the safe use of PPE.</w:t>
            </w:r>
          </w:p>
        </w:tc>
      </w:tr>
      <w:tr>
        <w:tc>
          <w:tcPr/>
          <w:p>
            <w:pPr>
              <w:pStyle w:val="TableContents"/>
            </w:pPr>
            <w:r>
              <w:t>SMS</w:t>
            </w:r>
          </w:p>
        </w:tc>
        <w:tc>
          <w:tcPr/>
          <w:p>
            <w:pPr>
              <w:pStyle w:val="TableContents"/>
            </w:pPr>
            <w:r>
              <w:t>Safety Management System — the structured framework of policies, procedures, standards, and controls through which an organisation manages health and safety risks across its operations.</w:t>
            </w:r>
          </w:p>
        </w:tc>
      </w:tr>
      <w:tr>
        <w:tc>
          <w:tcPr/>
          <w:p>
            <w:pPr>
              <w:pStyle w:val="TableContents"/>
            </w:pPr>
            <w:r>
              <w:t>KPI</w:t>
            </w:r>
          </w:p>
        </w:tc>
        <w:tc>
          <w:tcPr/>
          <w:p>
            <w:pPr>
              <w:pStyle w:val="TableContents"/>
            </w:pPr>
            <w:r>
              <w:t>Key Performance Indicator — a measurable value used to evaluate the effectiveness of a process or programme, including leading and lagging indicators applied to the fitness for work programme.</w:t>
            </w:r>
          </w:p>
        </w:tc>
      </w:tr>
      <w:tr>
        <w:tc>
          <w:tcPr/>
          <w:p>
            <w:pPr>
              <w:pStyle w:val="TableContents"/>
            </w:pPr>
            <w:r>
              <w:t>WHS</w:t>
            </w:r>
          </w:p>
        </w:tc>
        <w:tc>
          <w:tcPr/>
          <w:p>
            <w:pPr>
              <w:pStyle w:val="TableContents"/>
            </w:pPr>
            <w:r>
              <w:t>Work Health and Safety — the legislative and regulatory framework governing the health and safety of persons at work, as enacted in applicable jurisdictions and referenced through legal requirements applicable to fitness for work.</w:t>
            </w:r>
          </w:p>
        </w:tc>
      </w:tr>
      <w:tr>
        <w:tc>
          <w:tcPr/>
          <w:p>
            <w:pPr>
              <w:pStyle w:val="TableContents"/>
            </w:pPr>
            <w:r>
              <w:rPr>
                <w:b/>
                <w:bCs/>
                <w:color w:val="0059D1"/>
              </w:rPr>
              <w:t>[INSERT: add project-specific terms]</w:t>
            </w:r>
          </w:p>
        </w:tc>
        <w:tc>
          <w:tcPr/>
          <w:p>
            <w:pPr>
              <w:pStyle w:val="TableContents"/>
            </w:pPr>
            <w:r>
              <w:rPr>
                <w:b/>
                <w:bCs/>
                <w:color w:val="0059D1"/>
              </w:rPr>
              <w:t>[INSERT: definition]</w:t>
            </w:r>
          </w:p>
        </w:tc>
      </w:tr>
    </w:tbl>
    <w:p>
      <w:pPr>
        <w:pStyle w:val="Default"/>
      </w:pPr>
    </w:p>
    <w:p>
      <w:pPr>
        <w:pStyle w:val="Heading1Numbered"/>
      </w:pPr>
      <w:r>
        <w:t>5  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tbl>
      <w:tblPr>
        <w:tblStyle w:val="TableOption2"/>
        <w:tblW w:type="pct" w:w="5000"/>
      </w:tblPr>
      <w:tr>
        <w:trPr>
          <w:tblHeader/>
        </w:trPr>
        <w:tc>
          <w:tcPr>
            <w:shd w:val="clear" w:color="auto" w:fill="1F3864"/>
          </w:tcPr>
          <w:p>
            <w:pPr>
              <w:pStyle w:val="TableContents"/>
            </w:pPr>
            <w:r>
              <w:rPr>
                <w:b/>
                <w:bCs/>
                <w:color w:val="FFFFFF"/>
              </w:rPr>
              <w:t>Document</w:t>
            </w:r>
          </w:p>
        </w:tc>
        <w:tc>
          <w:tcPr>
            <w:shd w:val="clear" w:color="auto" w:fill="1F3864"/>
          </w:tcPr>
          <w:p>
            <w:pPr>
              <w:pStyle w:val="TableContents"/>
            </w:pPr>
            <w:r>
              <w:rPr>
                <w:b/>
                <w:bCs/>
                <w:color w:val="FFFFFF"/>
              </w:rPr>
              <w:t>Reference</w:t>
            </w:r>
          </w:p>
        </w:tc>
        <w:tc>
          <w:tcPr>
            <w:shd w:val="clear" w:color="auto" w:fill="1F3864"/>
          </w:tcPr>
          <w:p>
            <w:pPr>
              <w:pStyle w:val="TableContents"/>
            </w:pPr>
            <w:r>
              <w:rPr>
                <w:b/>
                <w:bCs/>
                <w:color w:val="FFFFFF"/>
              </w:rPr>
              <w:t>Type</w:t>
            </w:r>
          </w:p>
        </w:tc>
      </w:tr>
      <w:tr>
        <w:tc>
          <w:tcPr/>
          <w:p>
            <w:pPr>
              <w:pStyle w:val="TableContents"/>
            </w:pPr>
            <w:r>
              <w:t>Rio Tinto Risk Management Standard</w:t>
            </w:r>
          </w:p>
        </w:tc>
        <w:tc>
          <w:tcPr/>
          <w:p>
            <w:pPr>
              <w:pStyle w:val="TableContents"/>
            </w:pPr>
            <w:r>
              <w:t>RT Risk Management Standard</w:t>
            </w:r>
          </w:p>
        </w:tc>
        <w:tc>
          <w:tcPr/>
          <w:p>
            <w:pPr>
              <w:pStyle w:val="TableContents"/>
            </w:pPr>
            <w:r>
              <w:t>External RT</w:t>
            </w:r>
          </w:p>
        </w:tc>
      </w:tr>
      <w:tr>
        <w:tc>
          <w:tcPr/>
          <w:p>
            <w:pPr>
              <w:pStyle w:val="TableContents"/>
            </w:pPr>
            <w:r>
              <w:t>Rio Tinto Risk Management Standard — Appendix C, Section C-1</w:t>
            </w:r>
          </w:p>
        </w:tc>
        <w:tc>
          <w:tcPr/>
          <w:p>
            <w:pPr>
              <w:pStyle w:val="TableContents"/>
            </w:pPr>
            <w:r>
              <w:t>RT Risk Management Standard Appendix C C-1</w:t>
            </w:r>
          </w:p>
        </w:tc>
        <w:tc>
          <w:tcPr/>
          <w:p>
            <w:pPr>
              <w:pStyle w:val="TableContents"/>
            </w:pPr>
            <w:r>
              <w:t>External RT</w:t>
            </w:r>
          </w:p>
        </w:tc>
      </w:tr>
      <w:tr>
        <w:tc>
          <w:tcPr/>
          <w:p>
            <w:pPr>
              <w:pStyle w:val="TableContents"/>
            </w:pPr>
            <w:r>
              <w:t>Legal Requirements Procedure</w:t>
            </w:r>
          </w:p>
        </w:tc>
        <w:tc>
          <w:tcPr/>
          <w:p>
            <w:pPr>
              <w:pStyle w:val="TableContents"/>
            </w:pPr>
            <w:r>
              <w:t>RTPR-HSE-PRO-0001</w:t>
            </w:r>
          </w:p>
        </w:tc>
        <w:tc>
          <w:tcPr/>
          <w:p>
            <w:pPr>
              <w:pStyle w:val="TableContents"/>
            </w:pPr>
            <w:r>
              <w:t>Internal procedure</w:t>
            </w:r>
          </w:p>
        </w:tc>
      </w:tr>
      <w:tr>
        <w:tc>
          <w:tcPr/>
          <w:p>
            <w:pPr>
              <w:pStyle w:val="TableContents"/>
            </w:pPr>
            <w:r>
              <w:t>Organisational Resources Procedure</w:t>
            </w:r>
          </w:p>
        </w:tc>
        <w:tc>
          <w:tcPr/>
          <w:p>
            <w:pPr>
              <w:pStyle w:val="TableContents"/>
            </w:pPr>
            <w:r>
              <w:t>RTPR-HSE-PRO-0003</w:t>
            </w:r>
          </w:p>
        </w:tc>
        <w:tc>
          <w:tcPr/>
          <w:p>
            <w:pPr>
              <w:pStyle w:val="TableContents"/>
            </w:pPr>
            <w:r>
              <w:t>Internal procedure</w:t>
            </w:r>
          </w:p>
        </w:tc>
      </w:tr>
      <w:tr>
        <w:tc>
          <w:tcPr/>
          <w:p>
            <w:pPr>
              <w:pStyle w:val="TableContents"/>
            </w:pPr>
            <w:r>
              <w:t>Training Procedure</w:t>
            </w:r>
          </w:p>
        </w:tc>
        <w:tc>
          <w:tcPr/>
          <w:p>
            <w:pPr>
              <w:pStyle w:val="TableContents"/>
            </w:pPr>
            <w:r>
              <w:t>RTPR-HSE-PRO-0004</w:t>
            </w:r>
          </w:p>
        </w:tc>
        <w:tc>
          <w:tcPr/>
          <w:p>
            <w:pPr>
              <w:pStyle w:val="TableContents"/>
            </w:pPr>
            <w:r>
              <w:t>Internal procedure</w:t>
            </w:r>
          </w:p>
        </w:tc>
      </w:tr>
      <w:tr>
        <w:tc>
          <w:tcPr/>
          <w:p>
            <w:pPr>
              <w:pStyle w:val="TableContents"/>
            </w:pPr>
            <w:r>
              <w:t>Incident Management Procedure</w:t>
            </w:r>
          </w:p>
        </w:tc>
        <w:tc>
          <w:tcPr/>
          <w:p>
            <w:pPr>
              <w:pStyle w:val="TableContents"/>
            </w:pPr>
            <w:r>
              <w:t>RTPR-HSE-PRO-0009</w:t>
            </w:r>
          </w:p>
        </w:tc>
        <w:tc>
          <w:tcPr/>
          <w:p>
            <w:pPr>
              <w:pStyle w:val="TableContents"/>
            </w:pPr>
            <w:r>
              <w:t>Internal procedure</w:t>
            </w:r>
          </w:p>
        </w:tc>
      </w:tr>
      <w:tr>
        <w:tc>
          <w:tcPr/>
          <w:p>
            <w:pPr>
              <w:pStyle w:val="TableContents"/>
            </w:pPr>
            <w:r>
              <w:t>Vehicles Procedure</w:t>
            </w:r>
          </w:p>
        </w:tc>
        <w:tc>
          <w:tcPr/>
          <w:p>
            <w:pPr>
              <w:pStyle w:val="TableContents"/>
            </w:pPr>
            <w:r>
              <w:t>RTPR-HSE-PRO-0026</w:t>
            </w:r>
          </w:p>
        </w:tc>
        <w:tc>
          <w:tcPr/>
          <w:p>
            <w:pPr>
              <w:pStyle w:val="TableContents"/>
            </w:pPr>
            <w:r>
              <w:t>Internal procedure</w:t>
            </w:r>
          </w:p>
        </w:tc>
      </w:tr>
      <w:tr>
        <w:tc>
          <w:tcPr/>
          <w:p>
            <w:pPr>
              <w:pStyle w:val="TableContents"/>
            </w:pPr>
            <w:r>
              <w:t>Monitoring Procedure</w:t>
            </w:r>
          </w:p>
        </w:tc>
        <w:tc>
          <w:tcPr/>
          <w:p>
            <w:pPr>
              <w:pStyle w:val="TableContents"/>
            </w:pPr>
            <w:r>
              <w:t>RTPR-HSE-PRO-0042</w:t>
            </w:r>
          </w:p>
        </w:tc>
        <w:tc>
          <w:tcPr/>
          <w:p>
            <w:pPr>
              <w:pStyle w:val="TableContents"/>
            </w:pPr>
            <w:r>
              <w:t>Internal procedure</w:t>
            </w:r>
          </w:p>
        </w:tc>
      </w:tr>
      <w:tr>
        <w:tc>
          <w:tcPr/>
          <w:p>
            <w:pPr>
              <w:pStyle w:val="TableContents"/>
            </w:pPr>
            <w:r>
              <w:t>Rio Tinto Alcohol and Drug Standard</w:t>
            </w:r>
          </w:p>
        </w:tc>
        <w:tc>
          <w:tcPr/>
          <w:p>
            <w:pPr>
              <w:pStyle w:val="TableContents"/>
            </w:pPr>
            <w:r>
              <w:t>RT Alcohol and Drug Standard</w:t>
            </w:r>
          </w:p>
        </w:tc>
        <w:tc>
          <w:tcPr/>
          <w:p>
            <w:pPr>
              <w:pStyle w:val="TableContents"/>
            </w:pPr>
            <w:r>
              <w:t>External RT</w:t>
            </w:r>
          </w:p>
        </w:tc>
      </w:tr>
      <w:tr>
        <w:tc>
          <w:tcPr/>
          <w:p>
            <w:pPr>
              <w:pStyle w:val="TableContents"/>
            </w:pPr>
            <w:r>
              <w:t>Rio Tinto Health Standard</w:t>
            </w:r>
          </w:p>
        </w:tc>
        <w:tc>
          <w:tcPr/>
          <w:p>
            <w:pPr>
              <w:pStyle w:val="TableContents"/>
            </w:pPr>
            <w:r>
              <w:t>RT Health Standard</w:t>
            </w:r>
          </w:p>
        </w:tc>
        <w:tc>
          <w:tcPr/>
          <w:p>
            <w:pPr>
              <w:pStyle w:val="TableContents"/>
            </w:pPr>
            <w:r>
              <w:t>External RT</w:t>
            </w:r>
          </w:p>
        </w:tc>
      </w:tr>
      <w:tr>
        <w:tc>
          <w:tcPr/>
          <w:p>
            <w:pPr>
              <w:pStyle w:val="TableContents"/>
            </w:pPr>
            <w:r>
              <w:t>Rio Tinto Fatigue and Shift Work Standard</w:t>
            </w:r>
          </w:p>
        </w:tc>
        <w:tc>
          <w:tcPr/>
          <w:p>
            <w:pPr>
              <w:pStyle w:val="TableContents"/>
            </w:pPr>
            <w:r>
              <w:t>RT Fatigue and Shift Work Standard</w:t>
            </w:r>
          </w:p>
        </w:tc>
        <w:tc>
          <w:tcPr/>
          <w:p>
            <w:pPr>
              <w:pStyle w:val="TableContents"/>
            </w:pPr>
            <w:r>
              <w:t>External RT</w:t>
            </w:r>
          </w:p>
        </w:tc>
      </w:tr>
      <w:tr>
        <w:tc>
          <w:tcPr/>
          <w:p>
            <w:pPr>
              <w:pStyle w:val="TableContents"/>
            </w:pPr>
            <w:r>
              <w:t>Rio Tinto Human Performance Framework</w:t>
            </w:r>
          </w:p>
        </w:tc>
        <w:tc>
          <w:tcPr/>
          <w:p>
            <w:pPr>
              <w:pStyle w:val="TableContents"/>
            </w:pPr>
            <w:r>
              <w:t>RT Human Performance Framework</w:t>
            </w:r>
          </w:p>
        </w:tc>
        <w:tc>
          <w:tcPr/>
          <w:p>
            <w:pPr>
              <w:pStyle w:val="TableContents"/>
            </w:pPr>
            <w:r>
              <w:t>External RT</w:t>
            </w:r>
          </w:p>
        </w:tc>
      </w:tr>
      <w:tr>
        <w:tc>
          <w:tcPr/>
          <w:p>
            <w:pPr>
              <w:pStyle w:val="TableContents"/>
            </w:pPr>
            <w:r>
              <w:t>ISO 45001 — Occupational Health and Safety Management Systems — Requirements with Guidance for Use</w:t>
            </w:r>
          </w:p>
        </w:tc>
        <w:tc>
          <w:tcPr/>
          <w:p>
            <w:pPr>
              <w:pStyle w:val="TableContents"/>
            </w:pPr>
            <w:r>
              <w:t>ISO 45001:2018</w:t>
            </w:r>
          </w:p>
        </w:tc>
        <w:tc>
          <w:tcPr/>
          <w:p>
            <w:pPr>
              <w:pStyle w:val="TableContents"/>
            </w:pPr>
            <w:r>
              <w:t>External framework</w:t>
            </w:r>
          </w:p>
        </w:tc>
      </w:tr>
      <w:tr>
        <w:tc>
          <w:tcPr/>
          <w:p>
            <w:pPr>
              <w:pStyle w:val="TableContents"/>
            </w:pPr>
            <w:r>
              <w:t>AS/NZS 4308 — Procedures for Specimen Collection and the Detection and Quantitation of Drugs of Abuse in Urine</w:t>
            </w:r>
          </w:p>
        </w:tc>
        <w:tc>
          <w:tcPr/>
          <w:p>
            <w:pPr>
              <w:pStyle w:val="TableContents"/>
            </w:pPr>
            <w:r>
              <w:t>AS/NZS 4308:2008</w:t>
            </w:r>
          </w:p>
        </w:tc>
        <w:tc>
          <w:tcPr/>
          <w:p>
            <w:pPr>
              <w:pStyle w:val="TableContents"/>
            </w:pPr>
            <w:r>
              <w:t>External framework</w:t>
            </w:r>
          </w:p>
        </w:tc>
      </w:tr>
      <w:tr>
        <w:tc>
          <w:tcPr/>
          <w:p>
            <w:pPr>
              <w:pStyle w:val="TableContents"/>
            </w:pPr>
            <w:r>
              <w:t>AS 3547 — Breath Alcohol Testing Devices for Personal Use</w:t>
            </w:r>
          </w:p>
        </w:tc>
        <w:tc>
          <w:tcPr/>
          <w:p>
            <w:pPr>
              <w:pStyle w:val="TableContents"/>
            </w:pPr>
            <w:r>
              <w:t>AS 3547:1997</w:t>
            </w:r>
          </w:p>
        </w:tc>
        <w:tc>
          <w:tcPr/>
          <w:p>
            <w:pPr>
              <w:pStyle w:val="TableContents"/>
            </w:pPr>
            <w:r>
              <w:t>External framework</w:t>
            </w:r>
          </w:p>
        </w:tc>
      </w:tr>
      <w:tr>
        <w:tc>
          <w:tcPr/>
          <w:p>
            <w:pPr>
              <w:pStyle w:val="TableContents"/>
            </w:pPr>
            <w:r>
              <w:rPr>
                <w:b/>
                <w:bCs/>
                <w:color w:val="0059D1"/>
              </w:rPr>
              <w:t>[INSERT: further referenced document, where applicable]</w:t>
            </w:r>
          </w:p>
        </w:tc>
        <w:tc>
          <w:tcPr/>
          <w:p>
            <w:pPr>
              <w:pStyle w:val="TableContents"/>
            </w:pPr>
            <w:r>
              <w:rPr>
                <w:b/>
                <w:bCs/>
                <w:color w:val="0059D1"/>
              </w:rPr>
              <w:t>[INSERT: reference]</w:t>
            </w:r>
          </w:p>
        </w:tc>
        <w:tc>
          <w:tcPr/>
          <w:p>
            <w:pPr>
              <w:pStyle w:val="TableContents"/>
            </w:pPr>
            <w:r>
              <w:rPr>
                <w:b/>
                <w:bCs/>
                <w:color w:val="0059D1"/>
              </w:rPr>
              <w:t>[INSERT: type]</w:t>
            </w:r>
          </w:p>
        </w:tc>
      </w:tr>
    </w:tbl>
    <w:p>
      <w:pPr>
        <w:pStyle w:val="Default"/>
      </w:pPr>
    </w:p>
    <w:p>
      <w:pPr>
        <w:pStyle w:val="Heading1Numbered"/>
      </w:pPr>
      <w:r>
        <w:t>6  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new content additions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content removal</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tbl>
      <w:tblPr>
        <w:tblStyle w:val="TableOption1"/>
        <w:tblW w:type="pct" w:w="5000"/>
      </w:tblPr>
      <w:tr>
        <w:tc>
          <w:tcPr>
            <w:shd w:val="clear" w:color="auto" w:fill="FCE4D6"/>
          </w:tcPr>
          <w:p>
            <w:pPr>
              <w:pStyle w:val="Instructions"/>
            </w:pPr>
            <w:r>
              <w:rPr>
                <w:b/>
                <w:bCs/>
                <w:color w:val="C55A11"/>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Default"/>
      </w:pPr>
    </w:p>
    <w:p>
      <w:pPr>
        <w:pStyle w:val="Heading1Numbered"/>
      </w:pPr>
      <w:r>
        <w:t>7  Source Requirements Traceability (DELETE BEFORE ISSUE)</w:t>
      </w:r>
    </w:p>
    <w:p>
      <w:pPr>
        <w:pStyle w:val="Heading2Numbered"/>
      </w:pPr>
      <w:r>
        <w:t>7.1  Requirements Addressed in This Procedure</w:t>
      </w:r>
    </w:p>
    <w:tbl>
      <w:tblPr>
        <w:tblStyle w:val="TableOption2"/>
        <w:tblW w:type="pct" w:w="5000"/>
      </w:tblPr>
      <w:tr>
        <w:trPr>
          <w:tblHeader/>
        </w:trPr>
        <w:tc>
          <w:tcPr>
            <w:shd w:val="clear" w:color="auto" w:fill="1F3864"/>
          </w:tcPr>
          <w:p>
            <w:pPr>
              <w:pStyle w:val="TableContents"/>
            </w:pPr>
            <w:r>
              <w:rPr>
                <w:b/>
                <w:bCs/>
                <w:color w:val="FFFFFF"/>
              </w:rPr>
              <w:t>Section</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Requirement</w:t>
            </w:r>
          </w:p>
        </w:tc>
        <w:tc>
          <w:tcPr>
            <w:shd w:val="clear" w:color="auto" w:fill="1F3864"/>
          </w:tcPr>
          <w:p>
            <w:pPr>
              <w:pStyle w:val="TableContents"/>
            </w:pPr>
            <w:r>
              <w:rPr>
                <w:b/>
                <w:bCs/>
                <w:color w:val="FFFFFF"/>
              </w:rPr>
              <w:t>Status</w:t>
            </w:r>
          </w:p>
        </w:tc>
      </w:tr>
      <w:tr>
        <w:tc>
          <w:tcPr/>
          <w:p>
            <w:pPr>
              <w:pStyle w:val="TableContents"/>
            </w:pPr>
            <w:r>
              <w:rPr>
                <w:b/>
                <w:bCs/>
                <w:color w:val="0059D1"/>
              </w:rPr>
              <w:t>[INSERT: section]</w:t>
            </w:r>
          </w:p>
        </w:tc>
        <w:tc>
          <w:tcPr/>
          <w:p>
            <w:pPr>
              <w:pStyle w:val="TableContents"/>
            </w:pPr>
            <w:r>
              <w:t>Appendix C C-2 §69.1</w:t>
            </w:r>
          </w:p>
        </w:tc>
        <w:tc>
          <w:tcPr/>
          <w:p>
            <w:pPr>
              <w:pStyle w:val="TableContents"/>
            </w:pPr>
            <w:r>
              <w:t>Requires pre-placement medical assessment by a licensed physician for all personnel before mobilisation, with job-specific examinations for sensitive roles and assessments for transfers, ERT, and return to work.</w:t>
            </w:r>
          </w:p>
        </w:tc>
        <w:tc>
          <w:tcPr/>
          <w:p>
            <w:pPr>
              <w:pStyle w:val="TableContents"/>
            </w:pPr>
            <w:r>
              <w:t>Full</w:t>
            </w:r>
          </w:p>
        </w:tc>
      </w:tr>
      <w:tr>
        <w:tc>
          <w:tcPr/>
          <w:p>
            <w:pPr>
              <w:pStyle w:val="TableContents"/>
            </w:pPr>
            <w:r>
              <w:rPr>
                <w:b/>
                <w:bCs/>
                <w:color w:val="0059D1"/>
              </w:rPr>
              <w:t>[INSERT: section]</w:t>
            </w:r>
          </w:p>
        </w:tc>
        <w:tc>
          <w:tcPr/>
          <w:p>
            <w:pPr>
              <w:pStyle w:val="TableContents"/>
            </w:pPr>
            <w:r>
              <w:t>Appendix C C-2 §69.2</w:t>
            </w:r>
          </w:p>
        </w:tc>
        <w:tc>
          <w:tcPr/>
          <w:p>
            <w:pPr>
              <w:pStyle w:val="TableContents"/>
            </w:pPr>
            <w:r>
              <w:t>Requires a drug and alcohol testing programme covering defined substances, with pre-start BAC testing, confirmatory testing for non-negative screens, cut-off levels per AS4308, and a defined disciplinary process.</w:t>
            </w:r>
          </w:p>
        </w:tc>
        <w:tc>
          <w:tcPr/>
          <w:p>
            <w:pPr>
              <w:pStyle w:val="TableContents"/>
            </w:pPr>
            <w:r>
              <w:t>Full</w:t>
            </w:r>
          </w:p>
        </w:tc>
      </w:tr>
      <w:tr>
        <w:tc>
          <w:tcPr/>
          <w:p>
            <w:pPr>
              <w:pStyle w:val="TableContents"/>
            </w:pPr>
            <w:r>
              <w:rPr>
                <w:b/>
                <w:bCs/>
                <w:color w:val="0059D1"/>
              </w:rPr>
              <w:t>[INSERT: section]</w:t>
            </w:r>
          </w:p>
        </w:tc>
        <w:tc>
          <w:tcPr/>
          <w:p>
            <w:pPr>
              <w:pStyle w:val="TableContents"/>
            </w:pPr>
            <w:r>
              <w:t>Appendix C C-2 §69.2.0.2</w:t>
            </w:r>
          </w:p>
        </w:tc>
        <w:tc>
          <w:tcPr/>
          <w:p>
            <w:pPr>
              <w:pStyle w:val="TableContents"/>
            </w:pPr>
            <w:r>
              <w:t>Requires all personnel to register zero BAC on an automatic test or a negative result on a passive test before starting work, using an approved testing device.</w:t>
            </w:r>
          </w:p>
        </w:tc>
        <w:tc>
          <w:tcPr/>
          <w:p>
            <w:pPr>
              <w:pStyle w:val="TableContents"/>
            </w:pPr>
            <w:r>
              <w:t>Full</w:t>
            </w:r>
          </w:p>
        </w:tc>
      </w:tr>
      <w:tr>
        <w:tc>
          <w:tcPr/>
          <w:p>
            <w:pPr>
              <w:pStyle w:val="TableContents"/>
            </w:pPr>
            <w:r>
              <w:rPr>
                <w:b/>
                <w:bCs/>
                <w:color w:val="0059D1"/>
              </w:rPr>
              <w:t>[INSERT: section]</w:t>
            </w:r>
          </w:p>
        </w:tc>
        <w:tc>
          <w:tcPr/>
          <w:p>
            <w:pPr>
              <w:pStyle w:val="TableContents"/>
            </w:pPr>
            <w:r>
              <w:t>Appendix C C-2 §69.2.0.4</w:t>
            </w:r>
          </w:p>
        </w:tc>
        <w:tc>
          <w:tcPr/>
          <w:p>
            <w:pPr>
              <w:pStyle w:val="TableContents"/>
            </w:pPr>
            <w:r>
              <w:t>Requires that a non-negative drug screen is followed by confirmatory testing reviewed by trained personnel before any disciplinary or administrative action is taken.</w:t>
            </w:r>
          </w:p>
        </w:tc>
        <w:tc>
          <w:tcPr/>
          <w:p>
            <w:pPr>
              <w:pStyle w:val="TableContents"/>
            </w:pPr>
            <w:r>
              <w:t>Full</w:t>
            </w:r>
          </w:p>
        </w:tc>
      </w:tr>
      <w:tr>
        <w:tc>
          <w:tcPr/>
          <w:p>
            <w:pPr>
              <w:pStyle w:val="TableContents"/>
            </w:pPr>
            <w:r>
              <w:rPr>
                <w:b/>
                <w:bCs/>
                <w:color w:val="0059D1"/>
              </w:rPr>
              <w:t>[INSERT: section]</w:t>
            </w:r>
          </w:p>
        </w:tc>
        <w:tc>
          <w:tcPr/>
          <w:p>
            <w:pPr>
              <w:pStyle w:val="TableContents"/>
            </w:pPr>
            <w:r>
              <w:t>Appendix C C-2 §69.2.1</w:t>
            </w:r>
          </w:p>
        </w:tc>
        <w:tc>
          <w:tcPr/>
          <w:p>
            <w:pPr>
              <w:pStyle w:val="TableContents"/>
            </w:pPr>
            <w:r>
              <w:t>Defines the substances covered by the drug and alcohol testing programme including alcohol, cannabis, opiates, hallucinogens, volatile substances, stimulants, and impairing medications.</w:t>
            </w:r>
          </w:p>
        </w:tc>
        <w:tc>
          <w:tcPr/>
          <w:p>
            <w:pPr>
              <w:pStyle w:val="TableContents"/>
            </w:pPr>
            <w:r>
              <w:t>Full</w:t>
            </w:r>
          </w:p>
        </w:tc>
      </w:tr>
      <w:tr>
        <w:tc>
          <w:tcPr/>
          <w:p>
            <w:pPr>
              <w:pStyle w:val="TableContents"/>
            </w:pPr>
            <w:r>
              <w:rPr>
                <w:b/>
                <w:bCs/>
                <w:color w:val="0059D1"/>
              </w:rPr>
              <w:t>[INSERT: section]</w:t>
            </w:r>
          </w:p>
        </w:tc>
        <w:tc>
          <w:tcPr/>
          <w:p>
            <w:pPr>
              <w:pStyle w:val="TableContents"/>
            </w:pPr>
            <w:r>
              <w:t>Appendix C C-2 §69.3</w:t>
            </w:r>
          </w:p>
        </w:tc>
        <w:tc>
          <w:tcPr/>
          <w:p>
            <w:pPr>
              <w:pStyle w:val="TableContents"/>
            </w:pPr>
            <w:r>
              <w:t>Requires acclimatisation periods, heat stress recognition training, buddy system or active supervision, and USG hydration testing reported as a project leading indicator.</w:t>
            </w:r>
          </w:p>
        </w:tc>
        <w:tc>
          <w:tcPr/>
          <w:p>
            <w:pPr>
              <w:pStyle w:val="TableContents"/>
            </w:pPr>
            <w:r>
              <w:t>Full</w:t>
            </w:r>
          </w:p>
        </w:tc>
      </w:tr>
      <w:tr>
        <w:tc>
          <w:tcPr/>
          <w:p>
            <w:pPr>
              <w:pStyle w:val="TableContents"/>
            </w:pPr>
            <w:r>
              <w:rPr>
                <w:b/>
                <w:bCs/>
                <w:color w:val="0059D1"/>
              </w:rPr>
              <w:t>[INSERT: section]</w:t>
            </w:r>
          </w:p>
        </w:tc>
        <w:tc>
          <w:tcPr/>
          <w:p>
            <w:pPr>
              <w:pStyle w:val="TableContents"/>
            </w:pPr>
            <w:r>
              <w:t>Appendix C C-2 §69.4</w:t>
            </w:r>
          </w:p>
        </w:tc>
        <w:tc>
          <w:tcPr/>
          <w:p>
            <w:pPr>
              <w:pStyle w:val="TableContents"/>
            </w:pPr>
            <w:r>
              <w:t>Defines working hour limits of 12 hours normal and 14 hours maximum with prior manager approval, a mandatory 10-hour continuous break between shifts excluding transport time, and self-reporting requirements for fatigue.</w:t>
            </w:r>
          </w:p>
        </w:tc>
        <w:tc>
          <w:tcPr/>
          <w:p>
            <w:pPr>
              <w:pStyle w:val="TableContents"/>
            </w:pPr>
            <w:r>
              <w:t>Full</w:t>
            </w:r>
          </w:p>
        </w:tc>
      </w:tr>
      <w:tr>
        <w:tc>
          <w:tcPr/>
          <w:p>
            <w:pPr>
              <w:pStyle w:val="TableContents"/>
            </w:pPr>
            <w:r>
              <w:rPr>
                <w:b/>
                <w:bCs/>
                <w:color w:val="0059D1"/>
              </w:rPr>
              <w:t>[INSERT: section]</w:t>
            </w:r>
          </w:p>
        </w:tc>
        <w:tc>
          <w:tcPr/>
          <w:p>
            <w:pPr>
              <w:pStyle w:val="TableContents"/>
            </w:pPr>
            <w:r>
              <w:t>Appendix C C-2 §69.4.3</w:t>
            </w:r>
          </w:p>
        </w:tc>
        <w:tc>
          <w:tcPr/>
          <w:p>
            <w:pPr>
              <w:pStyle w:val="TableContents"/>
            </w:pPr>
            <w:r>
              <w:t>Specifies that normal working hours must not exceed 12 hours per day, work beyond 12 hours up to 14 hours requires designated Contractor manager approval, and a minimum 10-hour break is required between shifts excluding travel.</w:t>
            </w:r>
          </w:p>
        </w:tc>
        <w:tc>
          <w:tcPr/>
          <w:p>
            <w:pPr>
              <w:pStyle w:val="TableContents"/>
            </w:pPr>
            <w:r>
              <w:t>Full</w:t>
            </w:r>
          </w:p>
        </w:tc>
      </w:tr>
      <w:tr>
        <w:tc>
          <w:tcPr/>
          <w:p>
            <w:pPr>
              <w:pStyle w:val="TableContents"/>
            </w:pPr>
            <w:r>
              <w:rPr>
                <w:b/>
                <w:bCs/>
                <w:color w:val="0059D1"/>
              </w:rPr>
              <w:t>[INSERT: section]</w:t>
            </w:r>
          </w:p>
        </w:tc>
        <w:tc>
          <w:tcPr/>
          <w:p>
            <w:pPr>
              <w:pStyle w:val="TableContents"/>
            </w:pPr>
            <w:r>
              <w:t>Appendix C C-1 §39.9</w:t>
            </w:r>
          </w:p>
        </w:tc>
        <w:tc>
          <w:tcPr/>
          <w:p>
            <w:pPr>
              <w:pStyle w:val="TableContents"/>
            </w:pPr>
            <w:r>
              <w:t>Requires a defined return-to-work process including medical clearance, work modification, rehabilitation access, case management, and project owner agreement before contractor personnel return following injury or illness.</w:t>
            </w:r>
          </w:p>
        </w:tc>
        <w:tc>
          <w:tcPr/>
          <w:p>
            <w:pPr>
              <w:pStyle w:val="TableContents"/>
            </w:pPr>
            <w:r>
              <w:t>Full</w:t>
            </w:r>
          </w:p>
        </w:tc>
      </w:tr>
      <w:tr>
        <w:tc>
          <w:tcPr/>
          <w:p>
            <w:pPr>
              <w:pStyle w:val="TableContents"/>
            </w:pPr>
            <w:r>
              <w:rPr>
                <w:b/>
                <w:bCs/>
                <w:color w:val="0059D1"/>
              </w:rPr>
              <w:t>[INSERT: section]</w:t>
            </w:r>
          </w:p>
        </w:tc>
        <w:tc>
          <w:tcPr/>
          <w:p>
            <w:pPr>
              <w:pStyle w:val="TableContents"/>
            </w:pPr>
            <w:r>
              <w:t>Appendix C C-1 §39.9.2</w:t>
            </w:r>
          </w:p>
        </w:tc>
        <w:tc>
          <w:tcPr/>
          <w:p>
            <w:pPr>
              <w:pStyle w:val="TableContents"/>
            </w:pPr>
            <w:r>
              <w:t>Requires case management including documented work restrictions, modified duties to support return to meaningful work, and regular review aligned with Company requirements.</w:t>
            </w:r>
          </w:p>
        </w:tc>
        <w:tc>
          <w:tcPr/>
          <w:p>
            <w:pPr>
              <w:pStyle w:val="TableContents"/>
            </w:pPr>
            <w:r>
              <w:t>Full</w:t>
            </w:r>
          </w:p>
        </w:tc>
      </w:tr>
      <w:tr>
        <w:tc>
          <w:tcPr/>
          <w:p>
            <w:pPr>
              <w:pStyle w:val="TableContents"/>
            </w:pPr>
            <w:r>
              <w:rPr>
                <w:b/>
                <w:bCs/>
                <w:color w:val="0059D1"/>
              </w:rPr>
              <w:t>[INSERT: section]</w:t>
            </w:r>
          </w:p>
        </w:tc>
        <w:tc>
          <w:tcPr/>
          <w:p>
            <w:pPr>
              <w:pStyle w:val="TableContents"/>
            </w:pPr>
            <w:r>
              <w:t>IFC PS2 §24 and GN§82</w:t>
            </w:r>
          </w:p>
        </w:tc>
        <w:tc>
          <w:tcPr/>
          <w:p>
            <w:pPr>
              <w:pStyle w:val="TableContents"/>
            </w:pPr>
            <w:r>
              <w:t>Requires health assessments appropriate to the specific risks of positions with heightened physical demands and maintenance of medical confidentiality throughout.</w:t>
            </w:r>
          </w:p>
        </w:tc>
        <w:tc>
          <w:tcPr/>
          <w:p>
            <w:pPr>
              <w:pStyle w:val="TableContents"/>
            </w:pPr>
            <w:r>
              <w:t>Full</w:t>
            </w:r>
          </w:p>
        </w:tc>
      </w:tr>
      <w:tr>
        <w:tc>
          <w:tcPr/>
          <w:p>
            <w:pPr>
              <w:pStyle w:val="TableContents"/>
            </w:pPr>
            <w:r>
              <w:rPr>
                <w:b/>
                <w:bCs/>
                <w:color w:val="0059D1"/>
              </w:rPr>
              <w:t>[INSERT: section]</w:t>
            </w:r>
          </w:p>
        </w:tc>
        <w:tc>
          <w:tcPr/>
          <w:p>
            <w:pPr>
              <w:pStyle w:val="TableContents"/>
            </w:pPr>
            <w:r>
              <w:t>IFC PS2 §23</w:t>
            </w:r>
          </w:p>
        </w:tc>
        <w:tc>
          <w:tcPr/>
          <w:p>
            <w:pPr>
              <w:pStyle w:val="TableContents"/>
            </w:pPr>
            <w:r>
              <w:t>Requires promotion of a safe and healthy work environment and implementation of controls proportionate to identified substance use risks in the workforce and local community context.</w:t>
            </w:r>
          </w:p>
        </w:tc>
        <w:tc>
          <w:tcPr/>
          <w:p>
            <w:pPr>
              <w:pStyle w:val="TableContents"/>
            </w:pPr>
            <w:r>
              <w:t>Full</w:t>
            </w:r>
          </w:p>
        </w:tc>
      </w:tr>
      <w:tr>
        <w:tc>
          <w:tcPr/>
          <w:p>
            <w:pPr>
              <w:pStyle w:val="TableContents"/>
            </w:pPr>
            <w:r>
              <w:rPr>
                <w:b/>
                <w:bCs/>
                <w:color w:val="0059D1"/>
              </w:rPr>
              <w:t>[INSERT: section]</w:t>
            </w:r>
          </w:p>
        </w:tc>
        <w:tc>
          <w:tcPr/>
          <w:p>
            <w:pPr>
              <w:pStyle w:val="TableContents"/>
            </w:pPr>
            <w:r>
              <w:t>IFC PS2 §11</w:t>
            </w:r>
          </w:p>
        </w:tc>
        <w:tc>
          <w:tcPr/>
          <w:p>
            <w:pPr>
              <w:pStyle w:val="TableContents"/>
            </w:pPr>
            <w:r>
              <w:t>Requires working hour arrangements to comply with applicable national law and, where more stringent, with Good International Industry Practice, particularly for physically demanding or safety-critical roles.</w:t>
            </w:r>
          </w:p>
        </w:tc>
        <w:tc>
          <w:tcPr/>
          <w:p>
            <w:pPr>
              <w:pStyle w:val="TableContents"/>
            </w:pPr>
            <w:r>
              <w:t>Full</w:t>
            </w:r>
          </w:p>
        </w:tc>
      </w:tr>
      <w:tr>
        <w:tc>
          <w:tcPr/>
          <w:p>
            <w:pPr>
              <w:pStyle w:val="TableContents"/>
            </w:pPr>
            <w:r>
              <w:rPr>
                <w:b/>
                <w:bCs/>
                <w:color w:val="0059D1"/>
              </w:rPr>
              <w:t>[INSERT: section]</w:t>
            </w:r>
          </w:p>
        </w:tc>
        <w:tc>
          <w:tcPr/>
          <w:p>
            <w:pPr>
              <w:pStyle w:val="TableContents"/>
            </w:pPr>
            <w:r>
              <w:t>IFC PS2 §24</w:t>
            </w:r>
          </w:p>
        </w:tc>
        <w:tc>
          <w:tcPr/>
          <w:p>
            <w:pPr>
              <w:pStyle w:val="TableContents"/>
            </w:pPr>
            <w:r>
              <w:t>Requires that injured workers receive appropriate medical treatment and rehabilitation, are treated with demonstrated care, and that return-to-work decisions are based on medical clearance rather than operational convenience.</w:t>
            </w:r>
          </w:p>
        </w:tc>
        <w:tc>
          <w:tcPr/>
          <w:p>
            <w:pPr>
              <w:pStyle w:val="TableContents"/>
            </w:pPr>
            <w:r>
              <w:t>Full</w:t>
            </w:r>
          </w:p>
        </w:tc>
      </w:tr>
      <w:tr>
        <w:tc>
          <w:tcPr/>
          <w:p>
            <w:pPr>
              <w:pStyle w:val="TableContents"/>
            </w:pPr>
            <w:r>
              <w:rPr>
                <w:b/>
                <w:bCs/>
                <w:color w:val="0059D1"/>
              </w:rPr>
              <w:t>[INSERT: section]</w:t>
            </w:r>
          </w:p>
        </w:tc>
        <w:tc>
          <w:tcPr/>
          <w:p>
            <w:pPr>
              <w:pStyle w:val="TableContents"/>
            </w:pPr>
            <w:r>
              <w:t>IFC EHS Guidelines §2.3</w:t>
            </w:r>
          </w:p>
        </w:tc>
        <w:tc>
          <w:tcPr/>
          <w:p>
            <w:pPr>
              <w:pStyle w:val="TableContents"/>
            </w:pPr>
            <w:r>
              <w:t>Requires identification and assessment of heat stress risk for outdoor and hot process work and implementation of engineering, administrative, and PPE controls to maintain safe core body temperature.</w:t>
            </w:r>
          </w:p>
        </w:tc>
        <w:tc>
          <w:tcPr/>
          <w:p>
            <w:pPr>
              <w:pStyle w:val="TableContents"/>
            </w:pPr>
            <w:r>
              <w:t>Full</w:t>
            </w:r>
          </w:p>
        </w:tc>
      </w:tr>
    </w:tbl>
    <w:p>
      <w:pPr>
        <w:pStyle w:val="Default"/>
      </w:pPr>
    </w:p>
    <w:p>
      <w:pPr>
        <w:pStyle w:val="Heading2Numbered"/>
      </w:pPr>
      <w:r>
        <w:t>7.2  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tbl>
      <w:tblPr>
        <w:tblStyle w:val="TableOption2"/>
        <w:tblW w:type="pct" w:w="5000"/>
      </w:tblPr>
      <w:tr>
        <w:trPr>
          <w:tblHeader/>
        </w:trPr>
        <w:tc>
          <w:tcPr>
            <w:shd w:val="clear" w:color="auto" w:fill="1F3864"/>
          </w:tcPr>
          <w:p>
            <w:pPr>
              <w:pStyle w:val="TableContents"/>
            </w:pPr>
            <w:r>
              <w:rPr>
                <w:b/>
                <w:bCs/>
                <w:color w:val="FFFFFF"/>
              </w:rPr>
              <w:t>Requirement Not Covered</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Justification</w:t>
            </w:r>
          </w:p>
        </w:tc>
      </w:tr>
      <w:tr>
        <w:tc>
          <w:tcPr/>
          <w:p>
            <w:pPr>
              <w:pStyle w:val="TableContents"/>
            </w:pPr>
            <w:r>
              <w:rPr>
                <w:b/>
                <w:bCs/>
                <w:color w:val="0059D1"/>
              </w:rPr>
              <w:t>[INSERT: description of requirement not covered]</w:t>
            </w:r>
          </w:p>
        </w:tc>
        <w:tc>
          <w:tcPr/>
          <w:p>
            <w:pPr>
              <w:pStyle w:val="TableContents"/>
            </w:pPr>
            <w:r>
              <w:rPr>
                <w:b/>
                <w:bCs/>
                <w:color w:val="0059D1"/>
              </w:rPr>
              <w:t>[INSERT: source and clause]</w:t>
            </w:r>
          </w:p>
        </w:tc>
        <w:tc>
          <w:tcPr/>
          <w:p>
            <w:pPr>
              <w:pStyle w:val="TableContents"/>
            </w:pPr>
            <w:r>
              <w:rPr>
                <w:b/>
                <w:bCs/>
                <w:color w:val="0059D1"/>
              </w:rPr>
              <w:t>[INSERT: specific written justification]</w:t>
            </w:r>
          </w:p>
        </w:tc>
      </w:tr>
    </w:tbl>
    <w:p>
      <w:pPr>
        <w:pStyle w:val="Defaul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