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Confined Spaces</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Confined Spaces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applies to all work involving entry into or work near confined spaces across the owner-led project. A confined space is defined as an enclosed or partially enclosed space that: is not designed for continuous human occupancy; has restricted means of entry or exit; and contains or may develop one or more of: unsafe oxygen levels; hazardous contaminants; flammable or explosive atmospheres; or engulfment risks.</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confined spaces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Classification and Register</w:t>
      </w:r>
    </w:p>
    <w:p>
      <w:pPr>
        <w:pStyle w:val="NormalNumberedtext"/>
      </w:pPr>
      <w:r>
        <w:t>This section defines the criteria for identifying and classifying confined spaces on the project and the requirements for maintaining the Confined Space Register throughout all project phases.</w:t>
      </w:r>
    </w:p>
    <w:p>
      <w:pPr>
        <w:pStyle w:val="Heading2Numbered"/>
      </w:pPr>
      <w:r>
        <w:t>3.1  Confined Space Identification and Classification</w:t>
      </w:r>
    </w:p>
    <w:p>
      <w:pPr>
        <w:pStyle w:val="NormalNumberedtext"/>
      </w:pPr>
      <w:r>
        <w:t>A competent person identifies and classifies all confined spaces before work commences in any area of the project site.</w:t>
      </w:r>
    </w:p>
    <w:p>
      <w:pPr>
        <w:pStyle w:val="NormalNumberedtext"/>
      </w:pPr>
      <w:r>
        <w:t>The HSE Manager ensures a systematic survey of all project work areas is completed before mobilisation to identify every space that meets the confined space definition. Each identified space is assessed and classified by a competent person using the criteria defined in RT C5 Confined Space Standard.</w:t>
      </w:r>
    </w:p>
    <w:tbl>
      <w:tblPr>
        <w:tblStyle w:val="TableOption1"/>
        <w:tblW w:type="pct" w:w="5000"/>
      </w:tblPr>
      <w:tr>
        <w:tc>
          <w:tcPr>
            <w:shd w:val="clear" w:color="auto" w:fill="FFF2CC"/>
          </w:tcPr>
          <w:p>
            <w:pPr>
              <w:pStyle w:val="Instructions"/>
            </w:pPr>
            <w:r>
              <w:rPr>
                <w:b/>
                <w:bCs/>
                <w:color w:val="C55A11"/>
              </w:rPr>
              <w:t>PROJECT COMPLETION — Pre-mobilisation deliverable: Identify and survey all confined spaces on this project site before work commences. Populate the Confined Space Register (RTPR-HSE-REG-0009). This survey must be completed and the register approved before any work activities begin in areas containing confined spaces.</w:t>
            </w:r>
          </w:p>
        </w:tc>
      </w:tr>
    </w:tbl>
    <w:p>
      <w:pPr>
        <w:pStyle w:val="Default"/>
      </w:pPr>
    </w:p>
    <w:p>
      <w:pPr>
        <w:pStyle w:val="NormalNumberedtext"/>
      </w:pPr>
      <w:r>
        <w:t>A confined space is defined as an enclosed or partially enclosed space that is not designed or intended for continuous human occupancy, has restricted means of entry or exit, and is, or is reasonably likely to become, a risk to health and safety from one or more of the following hazards:</w:t>
      </w:r>
    </w:p>
    <w:p>
      <w:pPr>
        <w:pStyle w:val="NormalNumberedtext"/>
      </w:pPr>
      <w:r>
        <w:t>Confined space hazard categories addressed in the classification assessment include:</w:t>
      </w:r>
    </w:p>
    <w:p>
      <w:pPr>
        <w:pStyle w:val="NumberedBulletL1"/>
      </w:pPr>
      <w:r>
        <w:t>An atmosphere that contains harmful levels of a contaminant, has an oxygen content below 19.5% or above 23.5%, or has a concentration of flammable gas, vapour or mist at or above 10% of the lower explosive limit.</w:t>
      </w:r>
    </w:p>
    <w:p>
      <w:pPr>
        <w:pStyle w:val="NumberedBulletL1"/>
      </w:pPr>
      <w:r>
        <w:t>Conditions that could cause engulfment, entrapment, or drowning.</w:t>
      </w:r>
    </w:p>
    <w:p>
      <w:pPr>
        <w:pStyle w:val="NumberedBulletL1"/>
      </w:pPr>
      <w:r>
        <w:t>Conditions that could cause a person to lose consciousness or become incapacitated.</w:t>
      </w:r>
    </w:p>
    <w:p>
      <w:pPr>
        <w:pStyle w:val="NumberedBulletL1"/>
      </w:pPr>
      <w:r>
        <w:rPr>
          <w:color w:val="C55A11"/>
        </w:rPr>
        <w:t>Thermal hazards where the ambient temperature within the space could cause heat stress or hypothermia without mechanical ventilation.</w:t>
      </w:r>
    </w:p>
    <w:p>
      <w:pPr>
        <w:pStyle w:val="NormalNumberedtext"/>
      </w:pPr>
      <w:r>
        <w:t>Confined space classification is reviewed and updated by a competent person whenever physical conditions, process conditions, or the activities within the space change in a manner that could alter the hazard profile. A record of each review is attached to the relevant entry in the Confined Space Register (RTPR-HSE-REG-0009).</w:t>
      </w:r>
    </w:p>
    <w:p>
      <w:pPr>
        <w:pStyle w:val="NormalNumberedtext"/>
      </w:pPr>
      <w:r>
        <w:t>The confined space entry programme on this project addresses hazard identification, entry authorisation, and emergency response, consistent with IFC EHS General Guidelines §2.8 and RT C5 Confined Space Standard requirements. The programme is managed through this procedure and the associated permit and register systems.</w:t>
      </w:r>
    </w:p>
    <w:tbl>
      <w:tblPr>
        <w:tblStyle w:val="TableOption1"/>
        <w:tblW w:type="pct" w:w="5000"/>
      </w:tblPr>
      <w:tr>
        <w:tc>
          <w:tcPr>
            <w:shd w:val="clear" w:color="auto" w:fill="FFF2CC"/>
          </w:tcPr>
          <w:p>
            <w:pPr>
              <w:pStyle w:val="Instructions"/>
            </w:pPr>
            <w:r>
              <w:rPr>
                <w:b/>
                <w:bCs/>
                <w:color w:val="C55A11"/>
              </w:rPr>
              <w:t>PROJECT COMPLETION — Elimination first: A documented process must be in place to identify and minimise the need for confined space entry before any entry permit is raised. Elimination of the need to enter must be the first control assessed and recorded in the risk assessment prior to permit issue. Refer RTPR-HSE-PRO-0002 for the risk assessment process.</w:t>
            </w:r>
          </w:p>
        </w:tc>
      </w:tr>
    </w:tbl>
    <w:p>
      <w:pPr>
        <w:pStyle w:val="Default"/>
      </w:pPr>
    </w:p>
    <w:p>
      <w:pPr>
        <w:pStyle w:val="Heading2Numbered"/>
      </w:pPr>
      <w:r>
        <w:t>3.2  Confined Space Register</w:t>
      </w:r>
    </w:p>
    <w:p>
      <w:pPr>
        <w:pStyle w:val="NormalNumberedtext"/>
      </w:pPr>
      <w:r>
        <w:t>The HSE Manager maintains the Confined Space Register (RTPR-HSE-REG-0009) as a live project document from pre-mobilisation through to project close-out.</w:t>
      </w:r>
    </w:p>
    <w:p>
      <w:pPr>
        <w:pStyle w:val="NormalNumberedtext"/>
      </w:pPr>
      <w:r>
        <w:t>The Confined Space Register (RTPR-HSE-REG-0009) records all identified confined spaces on the project. Each entry is completed by a competent person at the time of classification and updated whenever conditions change.</w:t>
      </w:r>
    </w:p>
    <w:p>
      <w:pPr>
        <w:pStyle w:val="NormalNumberedtext"/>
      </w:pPr>
      <w:r>
        <w:t>Table: Confined Space Register — Minimum Required Fields (RTPR-HSE-REG-0009)</w:t>
      </w:r>
    </w:p>
    <w:tbl>
      <w:tblPr>
        <w:tblStyle w:val="TableOption2"/>
        <w:tblW w:type="pct" w:w="5000"/>
      </w:tblPr>
      <w:tr>
        <w:trPr>
          <w:tblHeader/>
        </w:trPr>
        <w:tc>
          <w:tcPr>
            <w:shd w:val="clear" w:color="auto" w:fill="1F3864"/>
          </w:tcPr>
          <w:p>
            <w:pPr>
              <w:pStyle w:val="TableContents"/>
            </w:pPr>
            <w:r>
              <w:rPr>
                <w:b/>
                <w:bCs/>
                <w:color w:val="FFFFFF"/>
              </w:rPr>
              <w:t>Field</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Example / Default</w:t>
            </w:r>
          </w:p>
        </w:tc>
      </w:tr>
      <w:tr>
        <w:tc>
          <w:tcPr/>
          <w:p>
            <w:pPr>
              <w:pStyle w:val="TableContents"/>
            </w:pPr>
            <w:r>
              <w:t>Unique Identifier</w:t>
            </w:r>
          </w:p>
        </w:tc>
        <w:tc>
          <w:tcPr/>
          <w:p>
            <w:pPr>
              <w:pStyle w:val="TableContents"/>
            </w:pPr>
            <w:r>
              <w:t>Alphanumeric identifier assigned at classification</w:t>
            </w:r>
          </w:p>
        </w:tc>
        <w:tc>
          <w:tcPr/>
          <w:p>
            <w:pPr>
              <w:pStyle w:val="TableContents"/>
            </w:pPr>
            <w:r>
              <w:rPr>
                <w:b/>
                <w:bCs/>
                <w:color w:val="0059D1"/>
              </w:rPr>
              <w:t>[INSERT: project space ID format, e.g. CS-001]</w:t>
            </w:r>
          </w:p>
        </w:tc>
      </w:tr>
      <w:tr>
        <w:tc>
          <w:tcPr/>
          <w:p>
            <w:pPr>
              <w:pStyle w:val="TableContents"/>
            </w:pPr>
            <w:r>
              <w:t>Location Description</w:t>
            </w:r>
          </w:p>
        </w:tc>
        <w:tc>
          <w:tcPr/>
          <w:p>
            <w:pPr>
              <w:pStyle w:val="TableContents"/>
            </w:pPr>
            <w:r>
              <w:t>Physical location sufficient to locate the space without ambiguity</w:t>
            </w:r>
          </w:p>
        </w:tc>
        <w:tc>
          <w:tcPr/>
          <w:p>
            <w:pPr>
              <w:pStyle w:val="TableContents"/>
            </w:pPr>
            <w:r>
              <w:rPr>
                <w:b/>
                <w:bCs/>
                <w:color w:val="0059D1"/>
              </w:rPr>
              <w:t>[INSERT: location naming convention for this project]</w:t>
            </w:r>
          </w:p>
        </w:tc>
      </w:tr>
      <w:tr>
        <w:tc>
          <w:tcPr/>
          <w:p>
            <w:pPr>
              <w:pStyle w:val="TableContents"/>
            </w:pPr>
            <w:r>
              <w:t>Classification</w:t>
            </w:r>
          </w:p>
        </w:tc>
        <w:tc>
          <w:tcPr/>
          <w:p>
            <w:pPr>
              <w:pStyle w:val="TableContents"/>
            </w:pPr>
            <w:r>
              <w:t>Class recorded per RT C5 criteria (e.g. Permit-Required / Non-Permit-Required)</w:t>
            </w:r>
          </w:p>
        </w:tc>
        <w:tc>
          <w:tcPr/>
          <w:p>
            <w:pPr>
              <w:pStyle w:val="TableContents"/>
            </w:pPr>
            <w:r>
              <w:t>Permit-Required</w:t>
            </w:r>
          </w:p>
        </w:tc>
      </w:tr>
      <w:tr>
        <w:tc>
          <w:tcPr/>
          <w:p>
            <w:pPr>
              <w:pStyle w:val="TableContents"/>
            </w:pPr>
            <w:r>
              <w:t>Identified Hazards</w:t>
            </w:r>
          </w:p>
        </w:tc>
        <w:tc>
          <w:tcPr/>
          <w:p>
            <w:pPr>
              <w:pStyle w:val="TableContents"/>
            </w:pPr>
            <w:r>
              <w:t>All physical, chemical, and environmental hazards relevant to the space</w:t>
            </w:r>
          </w:p>
        </w:tc>
        <w:tc>
          <w:tcPr/>
          <w:p>
            <w:pPr>
              <w:pStyle w:val="TableContents"/>
            </w:pPr>
            <w:r>
              <w:rPr>
                <w:b/>
                <w:bCs/>
                <w:color w:val="0059D1"/>
              </w:rPr>
              <w:t>[INSERT: list hazards identified during survey]</w:t>
            </w:r>
          </w:p>
        </w:tc>
      </w:tr>
      <w:tr>
        <w:tc>
          <w:tcPr/>
          <w:p>
            <w:pPr>
              <w:pStyle w:val="TableContents"/>
            </w:pPr>
            <w:r>
              <w:t>Isolation Requirements</w:t>
            </w:r>
          </w:p>
        </w:tc>
        <w:tc>
          <w:tcPr/>
          <w:p>
            <w:pPr>
              <w:pStyle w:val="TableContents"/>
            </w:pPr>
            <w:r>
              <w:t>Energy sources requiring isolation before entry, with reference to isolation schedule</w:t>
            </w:r>
          </w:p>
        </w:tc>
        <w:tc>
          <w:tcPr/>
          <w:p>
            <w:pPr>
              <w:pStyle w:val="TableContents"/>
            </w:pPr>
            <w:r>
              <w:t>Refer RTPR-HSE-PRO-0024</w:t>
            </w:r>
          </w:p>
        </w:tc>
      </w:tr>
      <w:tr>
        <w:tc>
          <w:tcPr/>
          <w:p>
            <w:pPr>
              <w:pStyle w:val="TableContents"/>
            </w:pPr>
            <w:r>
              <w:t>Rescue Plan Reference</w:t>
            </w:r>
          </w:p>
        </w:tc>
        <w:tc>
          <w:tcPr/>
          <w:p>
            <w:pPr>
              <w:pStyle w:val="TableContents"/>
            </w:pPr>
            <w:r>
              <w:t>Document reference for the task and location-specific rescue plan</w:t>
            </w:r>
          </w:p>
        </w:tc>
        <w:tc>
          <w:tcPr/>
          <w:p>
            <w:pPr>
              <w:pStyle w:val="TableContents"/>
            </w:pPr>
            <w:r>
              <w:rPr>
                <w:b/>
                <w:bCs/>
                <w:color w:val="0059D1"/>
              </w:rPr>
              <w:t>[INSERT: rescue plan document reference]</w:t>
            </w:r>
          </w:p>
        </w:tc>
      </w:tr>
      <w:tr>
        <w:tc>
          <w:tcPr/>
          <w:p>
            <w:pPr>
              <w:pStyle w:val="TableContents"/>
            </w:pPr>
            <w:r>
              <w:t>Access Status</w:t>
            </w:r>
          </w:p>
        </w:tc>
        <w:tc>
          <w:tcPr/>
          <w:p>
            <w:pPr>
              <w:pStyle w:val="TableContents"/>
            </w:pPr>
            <w:r>
              <w:t>Current status: Locked / Secured / Authorised Entry Only</w:t>
            </w:r>
          </w:p>
        </w:tc>
        <w:tc>
          <w:tcPr/>
          <w:p>
            <w:pPr>
              <w:pStyle w:val="TableContents"/>
            </w:pPr>
            <w:r>
              <w:t>Locked — Entry by permit only</w:t>
            </w:r>
          </w:p>
        </w:tc>
      </w:tr>
      <w:tr>
        <w:tc>
          <w:tcPr/>
          <w:p>
            <w:pPr>
              <w:pStyle w:val="TableContents"/>
            </w:pPr>
            <w:r>
              <w:t>Classification Review Date</w:t>
            </w:r>
          </w:p>
        </w:tc>
        <w:tc>
          <w:tcPr/>
          <w:p>
            <w:pPr>
              <w:pStyle w:val="TableContents"/>
            </w:pPr>
            <w:r>
              <w:t>Date of last classification review and trigger for next review</w:t>
            </w:r>
          </w:p>
        </w:tc>
        <w:tc>
          <w:tcPr/>
          <w:p>
            <w:pPr>
              <w:pStyle w:val="TableContents"/>
            </w:pPr>
            <w:r>
              <w:rPr>
                <w:b/>
                <w:bCs/>
                <w:color w:val="0059D1"/>
              </w:rPr>
              <w:t>[INSERT: review frequency, e.g. quarterly or on condition change]</w:t>
            </w:r>
          </w:p>
        </w:tc>
      </w:tr>
    </w:tbl>
    <w:p>
      <w:pPr>
        <w:pStyle w:val="Default"/>
      </w:pPr>
    </w:p>
    <w:p>
      <w:pPr>
        <w:pStyle w:val="NormalNumberedtext"/>
      </w:pPr>
      <w:r>
        <w:t>Every confined space identified on the project is locked or secured to prevent unauthorised entry at all times when a valid entry permit is not in force. A durable sign is fixed at each entry point stating that a confined space entry permit is required before entry. Signage is inspected and maintained throughout the project.</w:t>
      </w:r>
    </w:p>
    <w:tbl>
      <w:tblPr>
        <w:tblStyle w:val="TableOption1"/>
        <w:tblW w:type="pct" w:w="5000"/>
      </w:tblPr>
      <w:tr>
        <w:tc>
          <w:tcPr>
            <w:shd w:val="clear" w:color="auto" w:fill="FFF2CC"/>
          </w:tcPr>
          <w:p>
            <w:pPr>
              <w:pStyle w:val="Instructions"/>
            </w:pPr>
            <w:r>
              <w:rPr>
                <w:b/>
                <w:bCs/>
                <w:color w:val="C55A11"/>
              </w:rPr>
              <w:t>PROJECT COMPLETION — Signage requirement: Permanent signage must be installed at each entry point of all identified confined spaces stating that a confined space entry permit is required prior to entry. Signage must be maintained in legible condition throughout the project and replaced immediately if damaged or removed.</w:t>
            </w:r>
          </w:p>
        </w:tc>
      </w:tr>
    </w:tbl>
    <w:p>
      <w:pPr>
        <w:pStyle w:val="Default"/>
      </w:pPr>
    </w:p>
    <w:p>
      <w:pPr>
        <w:pStyle w:val="Heading1Numbered"/>
      </w:pPr>
      <w:r>
        <w:t>4  Safe Atmosphere Definition</w:t>
      </w:r>
    </w:p>
    <w:p>
      <w:pPr>
        <w:pStyle w:val="NormalNumberedtext"/>
      </w:pPr>
      <w:r>
        <w:t>This section defines the atmospheric parameters that must be achieved and maintained before and during any confined space entry on this project.</w:t>
      </w:r>
    </w:p>
    <w:p>
      <w:pPr>
        <w:pStyle w:val="Heading2Numbered"/>
      </w:pPr>
      <w:r>
        <w:t>4.1  Minimum Safe Atmosphere Parameters</w:t>
      </w:r>
    </w:p>
    <w:p>
      <w:pPr>
        <w:pStyle w:val="NormalNumberedtext"/>
      </w:pPr>
      <w:r>
        <w:t>The HSE Manager defines project safe atmosphere parameters before the first entry permit is issued, applying the more stringent of RT C5 and applicable local legislative requirements.</w:t>
      </w:r>
    </w:p>
    <w:p>
      <w:pPr>
        <w:pStyle w:val="NormalNumberedtext"/>
      </w:pPr>
      <w:r>
        <w:t>Safe atmosphere parameters for this project are derived from RT C5 Confined Space Standard and IFC EHS General Guidelines §2.8. Where local legislative requirements are more stringent than the values in those standards, the more stringent limit applies. The applicable standard for each parameter is confirmed and recorded in the table below before the first entry permit is issued.</w:t>
      </w:r>
    </w:p>
    <w:tbl>
      <w:tblPr>
        <w:tblStyle w:val="TableOption1"/>
        <w:tblW w:type="pct" w:w="5000"/>
      </w:tblPr>
      <w:tr>
        <w:tc>
          <w:tcPr>
            <w:shd w:val="clear" w:color="auto" w:fill="FFF2CC"/>
          </w:tcPr>
          <w:p>
            <w:pPr>
              <w:pStyle w:val="Instructions"/>
            </w:pPr>
            <w:r>
              <w:rPr>
                <w:b/>
                <w:bCs/>
                <w:color w:val="C55A11"/>
              </w:rPr>
              <w:t>PROJECT COMPLETION — Safe atmosphere parameters: Define the safe atmosphere parameters for this project in the table below. The procedure provides minimum thresholds. Confirm whether local legislation requires more stringent limits and insert the applicable standard in the 'Project Applicable Standard' column. This table is a pre-mobilisation deliverable.</w:t>
            </w:r>
          </w:p>
        </w:tc>
      </w:tr>
    </w:tbl>
    <w:p>
      <w:pPr>
        <w:pStyle w:val="Default"/>
      </w:pPr>
    </w:p>
    <w:p>
      <w:pPr>
        <w:pStyle w:val="NormalNumberedtext"/>
      </w:pPr>
      <w:r>
        <w:t>Table: Safe Atmosphere Parameters for Confined Space Entry</w:t>
      </w:r>
    </w:p>
    <w:tbl>
      <w:tblPr>
        <w:tblStyle w:val="TableOption2"/>
        <w:tblW w:type="pct" w:w="5000"/>
      </w:tblPr>
      <w:tr>
        <w:trPr>
          <w:tblHeader/>
        </w:trPr>
        <w:tc>
          <w:tcPr>
            <w:shd w:val="clear" w:color="auto" w:fill="1F3864"/>
          </w:tcPr>
          <w:p>
            <w:pPr>
              <w:pStyle w:val="TableContents"/>
            </w:pPr>
            <w:r>
              <w:rPr>
                <w:b/>
                <w:bCs/>
                <w:color w:val="FFFFFF"/>
              </w:rPr>
              <w:t>Parameter</w:t>
            </w:r>
          </w:p>
        </w:tc>
        <w:tc>
          <w:tcPr>
            <w:shd w:val="clear" w:color="auto" w:fill="1F3864"/>
          </w:tcPr>
          <w:p>
            <w:pPr>
              <w:pStyle w:val="TableContents"/>
            </w:pPr>
            <w:r>
              <w:rPr>
                <w:b/>
                <w:bCs/>
                <w:color w:val="FFFFFF"/>
              </w:rPr>
              <w:t>Minimum Threshold (IFC / RT C5)</w:t>
            </w:r>
          </w:p>
        </w:tc>
        <w:tc>
          <w:tcPr>
            <w:shd w:val="clear" w:color="auto" w:fill="1F3864"/>
          </w:tcPr>
          <w:p>
            <w:pPr>
              <w:pStyle w:val="TableContents"/>
            </w:pPr>
            <w:r>
              <w:rPr>
                <w:b/>
                <w:bCs/>
                <w:color w:val="FFFFFF"/>
              </w:rPr>
              <w:t>Project Applicable Standard</w:t>
            </w:r>
          </w:p>
        </w:tc>
        <w:tc>
          <w:tcPr>
            <w:shd w:val="clear" w:color="auto" w:fill="1F3864"/>
          </w:tcPr>
          <w:p>
            <w:pPr>
              <w:pStyle w:val="TableContents"/>
            </w:pPr>
            <w:r>
              <w:rPr>
                <w:b/>
                <w:bCs/>
                <w:color w:val="FFFFFF"/>
              </w:rPr>
              <w:t>Action if Threshold Exceeded</w:t>
            </w:r>
          </w:p>
        </w:tc>
      </w:tr>
      <w:tr>
        <w:tc>
          <w:tcPr/>
          <w:p>
            <w:pPr>
              <w:pStyle w:val="TableContents"/>
            </w:pPr>
            <w:r>
              <w:t>Oxygen content — lower limit</w:t>
            </w:r>
          </w:p>
        </w:tc>
        <w:tc>
          <w:tcPr/>
          <w:p>
            <w:pPr>
              <w:pStyle w:val="TableContents"/>
            </w:pPr>
            <w:r>
              <w:t>19.5% v/v</w:t>
            </w:r>
          </w:p>
        </w:tc>
        <w:tc>
          <w:tcPr/>
          <w:p>
            <w:pPr>
              <w:pStyle w:val="TableContents"/>
            </w:pPr>
            <w:r>
              <w:rPr>
                <w:b/>
                <w:bCs/>
                <w:color w:val="0059D1"/>
              </w:rPr>
              <w:t>[INSERT: confirm or enter more stringent local legislative limit]</w:t>
            </w:r>
          </w:p>
        </w:tc>
        <w:tc>
          <w:tcPr/>
          <w:p>
            <w:pPr>
              <w:pStyle w:val="TableContents"/>
            </w:pPr>
            <w:r>
              <w:t>Evacuate space immediately. Ventilate. Re-test before re-entry.</w:t>
            </w:r>
          </w:p>
        </w:tc>
      </w:tr>
      <w:tr>
        <w:tc>
          <w:tcPr/>
          <w:p>
            <w:pPr>
              <w:pStyle w:val="TableContents"/>
            </w:pPr>
            <w:r>
              <w:t>Oxygen content — upper limit</w:t>
            </w:r>
          </w:p>
        </w:tc>
        <w:tc>
          <w:tcPr/>
          <w:p>
            <w:pPr>
              <w:pStyle w:val="TableContents"/>
            </w:pPr>
            <w:r>
              <w:t>23.5% v/v</w:t>
            </w:r>
          </w:p>
        </w:tc>
        <w:tc>
          <w:tcPr/>
          <w:p>
            <w:pPr>
              <w:pStyle w:val="TableContents"/>
            </w:pPr>
            <w:r>
              <w:rPr>
                <w:b/>
                <w:bCs/>
                <w:color w:val="0059D1"/>
              </w:rPr>
              <w:t>[INSERT: confirm or enter more stringent local legislative limit]</w:t>
            </w:r>
          </w:p>
        </w:tc>
        <w:tc>
          <w:tcPr/>
          <w:p>
            <w:pPr>
              <w:pStyle w:val="TableContents"/>
            </w:pPr>
            <w:r>
              <w:t>Evacuate space immediately. Identify enrichment source. Do not re-enter until resolved.</w:t>
            </w:r>
          </w:p>
        </w:tc>
      </w:tr>
      <w:tr>
        <w:tc>
          <w:tcPr/>
          <w:p>
            <w:pPr>
              <w:pStyle w:val="TableContents"/>
            </w:pPr>
            <w:r>
              <w:t>Flammable gas / vapour / mist</w:t>
            </w:r>
          </w:p>
        </w:tc>
        <w:tc>
          <w:tcPr/>
          <w:p>
            <w:pPr>
              <w:pStyle w:val="TableContents"/>
            </w:pPr>
            <w:r>
              <w:t>Below 10% of LEL before entry; continuous monitoring during entry</w:t>
            </w:r>
          </w:p>
        </w:tc>
        <w:tc>
          <w:tcPr/>
          <w:p>
            <w:pPr>
              <w:pStyle w:val="TableContents"/>
            </w:pPr>
            <w:r>
              <w:rPr>
                <w:b/>
                <w:bCs/>
                <w:color w:val="0059D1"/>
              </w:rPr>
              <w:t>[INSERT: confirm or enter more stringent local legislative limit]</w:t>
            </w:r>
          </w:p>
        </w:tc>
        <w:tc>
          <w:tcPr/>
          <w:p>
            <w:pPr>
              <w:pStyle w:val="TableContents"/>
            </w:pPr>
            <w:r>
              <w:t>Evacuate immediately. Ventilate. Re-test. Do not introduce ignition sources.</w:t>
            </w:r>
          </w:p>
        </w:tc>
      </w:tr>
      <w:tr>
        <w:tc>
          <w:tcPr/>
          <w:p>
            <w:pPr>
              <w:pStyle w:val="TableContents"/>
            </w:pPr>
            <w:r>
              <w:t>Toxic contaminants</w:t>
            </w:r>
          </w:p>
        </w:tc>
        <w:tc>
          <w:tcPr/>
          <w:p>
            <w:pPr>
              <w:pStyle w:val="TableContents"/>
            </w:pPr>
            <w:r>
              <w:t>Below applicable occupational exposure limits (OEL/TWA) for all substances present</w:t>
            </w:r>
          </w:p>
        </w:tc>
        <w:tc>
          <w:tcPr/>
          <w:p>
            <w:pPr>
              <w:pStyle w:val="TableContents"/>
            </w:pPr>
            <w:r>
              <w:rPr>
                <w:b/>
                <w:bCs/>
                <w:color w:val="0059D1"/>
              </w:rPr>
              <w:t>[INSERT: list substance-specific OELs applicable to this project]</w:t>
            </w:r>
          </w:p>
        </w:tc>
        <w:tc>
          <w:tcPr/>
          <w:p>
            <w:pPr>
              <w:pStyle w:val="TableContents"/>
            </w:pPr>
            <w:r>
              <w:t>Evacuate. Identify source. Apply RPE per RTPR-HSE-PRO-0027. Re-test before re-entry.</w:t>
            </w:r>
          </w:p>
        </w:tc>
      </w:tr>
      <w:tr>
        <w:tc>
          <w:tcPr/>
          <w:p>
            <w:pPr>
              <w:pStyle w:val="TableContents"/>
            </w:pPr>
            <w:r>
              <w:t>0</w:t>
            </w:r>
          </w:p>
        </w:tc>
        <w:tc>
          <w:tcPr/>
          <w:p>
            <w:pPr>
              <w:pStyle w:val="TableContents"/>
            </w:pPr>
            <w:r>
              <w:t>1</w:t>
            </w:r>
          </w:p>
        </w:tc>
        <w:tc>
          <w:tcPr/>
          <w:p>
            <w:pPr>
              <w:pStyle w:val="TableContents"/>
            </w:pPr>
            <w:r>
              <w:t>2</w:t>
            </w:r>
          </w:p>
        </w:tc>
        <w:tc>
          <w:tcPr/>
          <w:p>
            <w:pPr>
              <w:pStyle w:val="TableContents"/>
            </w:pPr>
            <w:r>
              <w:t>3</w:t>
            </w:r>
          </w:p>
        </w:tc>
      </w:tr>
    </w:tbl>
    <w:p>
      <w:pPr>
        <w:pStyle w:val="Default"/>
      </w:pPr>
    </w:p>
    <w:p>
      <w:pPr>
        <w:pStyle w:val="NormalNumberedtext"/>
      </w:pPr>
      <w:r>
        <w:t>The parameters in the table above represent the minimum criteria for entry authorisation. No entry commences unless all atmospheric test results meet the safe atmosphere parameters defined for this project. Responsibility for reviewing and confirming these parameters rests with the HSE Manager before the first entry permit is issued.</w:t>
      </w:r>
    </w:p>
    <w:p>
      <w:pPr>
        <w:pStyle w:val="Heading1Numbered"/>
      </w:pPr>
      <w:r>
        <w:t>5  Permit to Work — Confined Space Entry</w:t>
      </w:r>
    </w:p>
    <w:p>
      <w:pPr>
        <w:pStyle w:val="NormalNumberedtext"/>
      </w:pPr>
      <w:r>
        <w:t>This section defines the confined space entry permit requirements, minimum permit content, and the role responsibilities that apply to every entry on this project.</w:t>
      </w:r>
    </w:p>
    <w:p>
      <w:pPr>
        <w:pStyle w:val="Heading2Numbered"/>
      </w:pPr>
      <w:r>
        <w:t>5.1  Entry Permit Requirement</w:t>
      </w:r>
    </w:p>
    <w:p>
      <w:pPr>
        <w:pStyle w:val="NormalNumberedtext"/>
      </w:pPr>
      <w:r>
        <w:t>A Confined Space Entry Permit must be raised and issued before any person enters a confined space on this project.</w:t>
      </w:r>
    </w:p>
    <w:p>
      <w:pPr>
        <w:pStyle w:val="NormalNumberedtext"/>
      </w:pPr>
      <w:r>
        <w:t>Raise a permit via the site PTW system before commencing work; refer RTPR-HSE-PRO-0021 for the PTW process. A task-specific risk assessment is completed before each permit is issued, consistent with the risk assessment process defined in RTPR-HSE-PRO-0002.</w:t>
      </w:r>
    </w:p>
    <w:p>
      <w:pPr>
        <w:pStyle w:val="NormalNumberedtext"/>
      </w:pPr>
      <w:r>
        <w:t>The Permit Officer confirms that all preconditions for entry, including atmospheric test results, energy isolation verification, and rescue plan confirmation, are satisfied before signing the permit. No precondition may be waived or deferred.</w:t>
      </w:r>
    </w:p>
    <w:p>
      <w:pPr>
        <w:pStyle w:val="Heading2Numbered"/>
      </w:pPr>
      <w:r>
        <w:t>5.2  Confined Space Entry Permit Roles</w:t>
      </w:r>
    </w:p>
    <w:p>
      <w:pPr>
        <w:pStyle w:val="NormalNumberedtext"/>
      </w:pPr>
      <w:r>
        <w:t>The following roles are defined for every confined space entry and must be assigned before the permit is issued.</w:t>
      </w:r>
    </w:p>
    <w:p>
      <w:pPr>
        <w:pStyle w:val="NormalNumberedtext"/>
      </w:pPr>
      <w:r>
        <w:t>Roles required for every confined space entry permit are:</w:t>
      </w:r>
    </w:p>
    <w:p>
      <w:pPr>
        <w:pStyle w:val="NumberedBulletL1"/>
      </w:pPr>
      <w:r>
        <w:t>Permit Officer — authorises and cancels the permit; confirms all preconditions are met before signing.</w:t>
      </w:r>
    </w:p>
    <w:p>
      <w:pPr>
        <w:pStyle w:val="NumberedBulletL1"/>
      </w:pPr>
      <w:r>
        <w:t>Permit Developer / Permit Holder — prepares the permit; holds the permit at the worksite during the entry.</w:t>
      </w:r>
    </w:p>
    <w:p>
      <w:pPr>
        <w:pStyle w:val="NumberedBulletL1"/>
      </w:pPr>
      <w:r>
        <w:t>Atmospheric Tester — holds current competency in atmospheric monitoring; performs all pre-entry and continuous monitoring; records results on the permit.</w:t>
      </w:r>
    </w:p>
    <w:p>
      <w:pPr>
        <w:pStyle w:val="NumberedBulletL1"/>
      </w:pPr>
      <w:r>
        <w:t>Energy Isolation Officers — verify and sign off energy isolation per RTPR-HSE-PRO-0024 before entry commences.</w:t>
      </w:r>
    </w:p>
    <w:p>
      <w:pPr>
        <w:pStyle w:val="NumberedBulletL1"/>
      </w:pPr>
      <w:r>
        <w:t>Standby Person — positioned outside all entry points for the full duration of entry; refer Section 6 of this procedure.</w:t>
      </w:r>
    </w:p>
    <w:p>
      <w:pPr>
        <w:pStyle w:val="NumberedBulletL1"/>
      </w:pPr>
      <w:r>
        <w:t>Emergency Response Personnel — confirmed as immediately available for the full duration of entry; briefed on the specific rescue plan before the permit is issued.</w:t>
      </w:r>
    </w:p>
    <w:p>
      <w:pPr>
        <w:pStyle w:val="NormalNumberedtext"/>
      </w:pPr>
      <w:r>
        <w:t>Competency requirements for all confined space entry roles are documented in the project Training Register (RTPR-HSE-REG-0003). The competency and training process is governed by RTPR-HSE-PRO-0004.</w:t>
      </w:r>
    </w:p>
    <w:p>
      <w:pPr>
        <w:pStyle w:val="Heading2Numbered"/>
      </w:pPr>
      <w:r>
        <w:t>5.3  Minimum Permit Content</w:t>
      </w:r>
    </w:p>
    <w:p>
      <w:pPr>
        <w:pStyle w:val="NormalNumberedtext"/>
      </w:pPr>
      <w:r>
        <w:t>The Confined Space Entry Permit records the following minimum information before any entry is authorised.</w:t>
      </w:r>
    </w:p>
    <w:p>
      <w:pPr>
        <w:pStyle w:val="NormalNumberedtext"/>
      </w:pPr>
      <w:r>
        <w:t>Table: Minimum Confined Space Entry Permit Content</w:t>
      </w:r>
    </w:p>
    <w:tbl>
      <w:tblPr>
        <w:tblStyle w:val="TableOption2"/>
        <w:tblW w:type="pct" w:w="5000"/>
      </w:tblPr>
      <w:tr>
        <w:trPr>
          <w:tblHeader/>
        </w:trPr>
        <w:tc>
          <w:tcPr>
            <w:shd w:val="clear" w:color="auto" w:fill="1F3864"/>
          </w:tcPr>
          <w:p>
            <w:pPr>
              <w:pStyle w:val="TableContents"/>
            </w:pPr>
            <w:r>
              <w:rPr>
                <w:b/>
                <w:bCs/>
                <w:color w:val="FFFFFF"/>
              </w:rPr>
              <w:t>Permit Field</w:t>
            </w:r>
          </w:p>
        </w:tc>
        <w:tc>
          <w:tcPr>
            <w:shd w:val="clear" w:color="auto" w:fill="1F3864"/>
          </w:tcPr>
          <w:p>
            <w:pPr>
              <w:pStyle w:val="TableContents"/>
            </w:pPr>
            <w:r>
              <w:rPr>
                <w:b/>
                <w:bCs/>
                <w:color w:val="FFFFFF"/>
              </w:rPr>
              <w:t>Requirement</w:t>
            </w:r>
          </w:p>
        </w:tc>
      </w:tr>
      <w:tr>
        <w:tc>
          <w:tcPr/>
          <w:p>
            <w:pPr>
              <w:pStyle w:val="TableContents"/>
            </w:pPr>
            <w:r>
              <w:t>Space Identifier</w:t>
            </w:r>
          </w:p>
        </w:tc>
        <w:tc>
          <w:tcPr/>
          <w:p>
            <w:pPr>
              <w:pStyle w:val="TableContents"/>
            </w:pPr>
            <w:r>
              <w:t>Unique identifier matching the Confined Space Register (RTPR-HSE-REG-0009)</w:t>
            </w:r>
          </w:p>
        </w:tc>
      </w:tr>
      <w:tr>
        <w:tc>
          <w:tcPr/>
          <w:p>
            <w:pPr>
              <w:pStyle w:val="TableContents"/>
            </w:pPr>
            <w:r>
              <w:t>Authorised Entrants</w:t>
            </w:r>
          </w:p>
        </w:tc>
        <w:tc>
          <w:tcPr/>
          <w:p>
            <w:pPr>
              <w:pStyle w:val="TableContents"/>
            </w:pPr>
            <w:r>
              <w:t>Names of all persons authorised to enter under this permit</w:t>
            </w:r>
          </w:p>
        </w:tc>
      </w:tr>
      <w:tr>
        <w:tc>
          <w:tcPr/>
          <w:p>
            <w:pPr>
              <w:pStyle w:val="TableContents"/>
            </w:pPr>
            <w:r>
              <w:t>Energy Isolation Status</w:t>
            </w:r>
          </w:p>
        </w:tc>
        <w:tc>
          <w:tcPr/>
          <w:p>
            <w:pPr>
              <w:pStyle w:val="TableContents"/>
            </w:pPr>
            <w:r>
              <w:t>Confirmation that energy isolation is complete per RTPR-HSE-PRO-0024; isolation permit reference recorded</w:t>
            </w:r>
          </w:p>
        </w:tc>
      </w:tr>
      <w:tr>
        <w:tc>
          <w:tcPr/>
          <w:p>
            <w:pPr>
              <w:pStyle w:val="TableContents"/>
            </w:pPr>
            <w:r>
              <w:t>Atmospheric Test Results</w:t>
            </w:r>
          </w:p>
        </w:tc>
        <w:tc>
          <w:tcPr/>
          <w:p>
            <w:pPr>
              <w:pStyle w:val="TableContents"/>
            </w:pPr>
            <w:r>
              <w:t>Pre-entry test results for all parameters in Section 2 of this procedure; tester name and time recorded</w:t>
            </w:r>
          </w:p>
        </w:tc>
      </w:tr>
      <w:tr>
        <w:tc>
          <w:tcPr/>
          <w:p>
            <w:pPr>
              <w:pStyle w:val="TableContents"/>
            </w:pPr>
            <w:r>
              <w:t>Gas Detector Bump-Test Confirmation</w:t>
            </w:r>
          </w:p>
        </w:tc>
        <w:tc>
          <w:tcPr/>
          <w:p>
            <w:pPr>
              <w:pStyle w:val="TableContents"/>
            </w:pPr>
            <w:r>
              <w:t>Confirmation that all gas detectors were bump-tested immediately before use; results recorded</w:t>
            </w:r>
          </w:p>
        </w:tc>
      </w:tr>
      <w:tr>
        <w:tc>
          <w:tcPr/>
          <w:p>
            <w:pPr>
              <w:pStyle w:val="TableContents"/>
            </w:pPr>
            <w:r>
              <w:t>Rescue Plan Reference</w:t>
            </w:r>
          </w:p>
        </w:tc>
        <w:tc>
          <w:tcPr/>
          <w:p>
            <w:pPr>
              <w:pStyle w:val="TableContents"/>
            </w:pPr>
            <w:r>
              <w:t>Document reference for the task and location-specific rescue plan applicable to this entry</w:t>
            </w:r>
          </w:p>
        </w:tc>
      </w:tr>
      <w:tr>
        <w:tc>
          <w:tcPr/>
          <w:p>
            <w:pPr>
              <w:pStyle w:val="TableContents"/>
            </w:pPr>
            <w:r>
              <w:t>Standby Person Assignment</w:t>
            </w:r>
          </w:p>
        </w:tc>
        <w:tc>
          <w:tcPr/>
          <w:p>
            <w:pPr>
              <w:pStyle w:val="TableContents"/>
            </w:pPr>
            <w:r>
              <w:t>Name of assigned standby person; confirmation of communication method in use</w:t>
            </w:r>
          </w:p>
        </w:tc>
      </w:tr>
      <w:tr>
        <w:tc>
          <w:tcPr/>
          <w:p>
            <w:pPr>
              <w:pStyle w:val="TableContents"/>
            </w:pPr>
            <w:r>
              <w:t>Entry / Exit Log</w:t>
            </w:r>
          </w:p>
        </w:tc>
        <w:tc>
          <w:tcPr/>
          <w:p>
            <w:pPr>
              <w:pStyle w:val="TableContents"/>
            </w:pPr>
            <w:r>
              <w:t>Record of each entrant's entry time and exit time throughout the duration of the permit</w:t>
            </w:r>
          </w:p>
        </w:tc>
      </w:tr>
    </w:tbl>
    <w:p>
      <w:pPr>
        <w:pStyle w:val="Default"/>
      </w:pPr>
    </w:p>
    <w:p>
      <w:pPr>
        <w:pStyle w:val="Heading1Numbered"/>
      </w:pPr>
      <w:r>
        <w:t>6  Isolation and Zero Energy</w:t>
      </w:r>
    </w:p>
    <w:p>
      <w:pPr>
        <w:pStyle w:val="NormalNumberedtext"/>
      </w:pPr>
      <w:r>
        <w:t>This section defines the energy isolation requirements that must be satisfied before any person enters a confined space on this project.</w:t>
      </w:r>
    </w:p>
    <w:p>
      <w:pPr>
        <w:pStyle w:val="NormalNumberedtext"/>
      </w:pPr>
      <w:r>
        <w:t>All hazardous energy sources connected to or associated with the confined space are isolated and verified at zero energy before any entrant enters. Energy sources addressed include chemical, mechanical, stored, electrical, hydraulic, and pneumatic energy. Isolation is achieved by physical means, including lockout/tagout, blanking, mechanical blocking, or spade and blind insertion.</w:t>
      </w:r>
    </w:p>
    <w:p>
      <w:pPr>
        <w:pStyle w:val="NormalNumberedtext"/>
      </w:pPr>
      <w:r>
        <w:t>An Energy Isolation Permit is raised via the site PTW system where isolation is required before confined space entry; refer RTPR-HSE-PRO-0021 for the PTW process and RTPR-HSE-PRO-0024 for the energy isolation process. Energy Isolation Officers verify zero energy state and sign the isolation record before the Permit Officer authorises entry.</w:t>
      </w:r>
    </w:p>
    <w:p>
      <w:pPr>
        <w:pStyle w:val="NormalNumberedtext"/>
      </w:pPr>
      <w:r>
        <w:t>The isolation status remains in force and locked for the full duration of the entry. No isolation is removed, partially removed, or modified while an entry permit is active without cancelling the permit, removing all entrants, and repeating the full isolation and pre-entry verification sequence.</w:t>
      </w:r>
    </w:p>
    <w:p>
      <w:pPr>
        <w:pStyle w:val="Heading1Numbered"/>
      </w:pPr>
      <w:r>
        <w:t>7  Atmospheric Monitoring and Ventilation</w:t>
      </w:r>
    </w:p>
    <w:p>
      <w:pPr>
        <w:pStyle w:val="NormalNumberedtext"/>
      </w:pPr>
      <w:r>
        <w:t>This section defines the atmospheric testing, continuous monitoring, ventilation, and respiratory protection requirements that apply to every confined space entry on this project.</w:t>
      </w:r>
    </w:p>
    <w:p>
      <w:pPr>
        <w:pStyle w:val="Heading2Numbered"/>
      </w:pPr>
      <w:r>
        <w:t>7.1  Pre-Entry Atmospheric Testing</w:t>
      </w:r>
    </w:p>
    <w:p>
      <w:pPr>
        <w:pStyle w:val="NormalNumberedtext"/>
      </w:pPr>
      <w:r>
        <w:t>The Atmospheric Tester performs pre-entry testing of the confined space atmosphere before any person enters and records results on the entry permit.</w:t>
      </w:r>
    </w:p>
    <w:p>
      <w:pPr>
        <w:pStyle w:val="NormalNumberedtext"/>
      </w:pPr>
      <w:r>
        <w:t>Pre-entry atmospheric testing measures oxygen content, flammable and explosive atmosphere concentration, and all toxic gases, fibres, vapours, fumes, mists, and dusts that could be present at or above occupational exposure limits. Testing covers all areas and levels within the space, including low-lying areas where heavier-than-air gases may accumulate.</w:t>
      </w:r>
    </w:p>
    <w:p>
      <w:pPr>
        <w:pStyle w:val="NormalNumberedtext"/>
      </w:pPr>
      <w:r>
        <w:t>All gas detectors used for pre-entry testing are bump-tested immediately before use on each shift. Bump-test results are recorded on the entry permit. A detector that fails a bump test is removed from service immediately and must not be used for confined space atmospheric monitoring until it is recalibrated and passes a bump test.</w:t>
      </w:r>
    </w:p>
    <w:tbl>
      <w:tblPr>
        <w:tblStyle w:val="TableOption1"/>
        <w:tblW w:type="pct" w:w="5000"/>
      </w:tblPr>
      <w:tr>
        <w:tc>
          <w:tcPr>
            <w:shd w:val="clear" w:color="auto" w:fill="FFF2CC"/>
          </w:tcPr>
          <w:p>
            <w:pPr>
              <w:pStyle w:val="Instructions"/>
            </w:pPr>
            <w:r>
              <w:rPr>
                <w:b/>
                <w:bCs/>
                <w:color w:val="C55A11"/>
              </w:rPr>
              <w:t>PROJECT COMPLETION — Gas detector records: Define the gas detector calibration and bump-test recording process for this project. Specify: what system records bump tests; where records are stored; and the process followed when a detector fails a bump test, including who is notified and what replacement equipment is available.</w:t>
            </w:r>
          </w:p>
        </w:tc>
      </w:tr>
    </w:tbl>
    <w:p>
      <w:pPr>
        <w:pStyle w:val="Default"/>
      </w:pPr>
    </w:p>
    <w:p>
      <w:pPr>
        <w:pStyle w:val="NormalNumberedtext"/>
      </w:pPr>
      <w:r>
        <w:t>Table: Gas Detector Management Requirements</w:t>
      </w:r>
    </w:p>
    <w:tbl>
      <w:tblPr>
        <w:tblStyle w:val="TableOption2"/>
        <w:tblW w:type="pct" w:w="5000"/>
      </w:tblPr>
      <w:tr>
        <w:trPr>
          <w:tblHeader/>
        </w:trPr>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Project Process</w:t>
            </w:r>
          </w:p>
        </w:tc>
      </w:tr>
      <w:tr>
        <w:tc>
          <w:tcPr/>
          <w:p>
            <w:pPr>
              <w:pStyle w:val="TableContents"/>
            </w:pPr>
            <w:r>
              <w:t>Bump-test recording system</w:t>
            </w:r>
          </w:p>
        </w:tc>
        <w:tc>
          <w:tcPr/>
          <w:p>
            <w:pPr>
              <w:pStyle w:val="TableContents"/>
            </w:pPr>
            <w:r>
              <w:rPr>
                <w:b/>
                <w:bCs/>
                <w:color w:val="0059D1"/>
              </w:rPr>
              <w:t>[INSERT: system name or register reference used to record bump-test results on this project]</w:t>
            </w:r>
          </w:p>
        </w:tc>
      </w:tr>
      <w:tr>
        <w:tc>
          <w:tcPr/>
          <w:p>
            <w:pPr>
              <w:pStyle w:val="TableContents"/>
            </w:pPr>
            <w:r>
              <w:t>Record storage location</w:t>
            </w:r>
          </w:p>
        </w:tc>
        <w:tc>
          <w:tcPr/>
          <w:p>
            <w:pPr>
              <w:pStyle w:val="TableContents"/>
            </w:pPr>
            <w:r>
              <w:rPr>
                <w:b/>
                <w:bCs/>
                <w:color w:val="0059D1"/>
              </w:rPr>
              <w:t>[INSERT: document management system location or physical register location]</w:t>
            </w:r>
          </w:p>
        </w:tc>
      </w:tr>
      <w:tr>
        <w:tc>
          <w:tcPr/>
          <w:p>
            <w:pPr>
              <w:pStyle w:val="TableContents"/>
            </w:pPr>
            <w:r>
              <w:t>Action when detector fails bump test</w:t>
            </w:r>
          </w:p>
        </w:tc>
        <w:tc>
          <w:tcPr/>
          <w:p>
            <w:pPr>
              <w:pStyle w:val="TableContents"/>
            </w:pPr>
            <w:r>
              <w:rPr>
                <w:b/>
                <w:bCs/>
                <w:color w:val="0059D1"/>
              </w:rPr>
              <w:t>[INSERT: define notification, withdrawal, and replacement process]</w:t>
            </w:r>
          </w:p>
        </w:tc>
      </w:tr>
      <w:tr>
        <w:tc>
          <w:tcPr/>
          <w:p>
            <w:pPr>
              <w:pStyle w:val="TableContents"/>
            </w:pPr>
            <w:r>
              <w:t>0</w:t>
            </w:r>
          </w:p>
        </w:tc>
        <w:tc>
          <w:tcPr/>
          <w:p>
            <w:pPr>
              <w:pStyle w:val="TableContents"/>
            </w:pPr>
            <w:r>
              <w:t>1</w:t>
            </w:r>
          </w:p>
        </w:tc>
      </w:tr>
      <w:tr>
        <w:tc>
          <w:tcPr/>
          <w:p>
            <w:pPr>
              <w:pStyle w:val="TableContents"/>
            </w:pPr>
            <w:r>
              <w:t>Responsible person</w:t>
            </w:r>
          </w:p>
        </w:tc>
        <w:tc>
          <w:tcPr/>
          <w:p>
            <w:pPr>
              <w:pStyle w:val="TableContents"/>
            </w:pPr>
            <w:r>
              <w:rPr>
                <w:b/>
                <w:bCs/>
                <w:color w:val="0059D1"/>
              </w:rPr>
              <w:t>[INSERT: role responsible for detector management on this project, e.g. HSE Advisor]</w:t>
            </w:r>
          </w:p>
        </w:tc>
      </w:tr>
    </w:tbl>
    <w:p>
      <w:pPr>
        <w:pStyle w:val="Default"/>
      </w:pPr>
    </w:p>
    <w:p>
      <w:pPr>
        <w:pStyle w:val="Heading2Numbered"/>
      </w:pPr>
      <w:r>
        <w:t>7.2  Continuous Monitoring During Entry</w:t>
      </w:r>
    </w:p>
    <w:p>
      <w:pPr>
        <w:pStyle w:val="NormalNumberedtext"/>
      </w:pPr>
      <w:r>
        <w:t>Atmospheric monitoring continues throughout every confined space entry at a frequency determined by the potential for hazardous substance accumulation.</w:t>
      </w:r>
    </w:p>
    <w:p>
      <w:pPr>
        <w:pStyle w:val="NormalNumberedtext"/>
      </w:pPr>
      <w:r>
        <w:t>The Atmospheric Tester or a designated entrant equipped with a calibrated personal gas detector maintains continuous atmospheric monitoring for the full duration of every entry. Monitoring frequency is determined by the task-specific risk assessment, with higher frequency applied wherever there is a credible potential for sudden or gradual accumulation of a hazardous substance.</w:t>
      </w:r>
    </w:p>
    <w:p>
      <w:pPr>
        <w:pStyle w:val="NormalNumberedtext"/>
      </w:pPr>
      <w:r>
        <w:t>When any monitored parameter approaches or exceeds the safe atmosphere thresholds defined in Section 2 of this procedure, all entrants evacuate immediately. The standby person is notified, the permit is suspended, and re-entry does not occur until the cause is identified, controls are applied, and the atmosphere is re-tested and confirmed safe.</w:t>
      </w:r>
    </w:p>
    <w:p>
      <w:pPr>
        <w:pStyle w:val="Heading2Numbered"/>
      </w:pPr>
      <w:r>
        <w:t>7.3  Ventilation Requirements</w:t>
      </w:r>
    </w:p>
    <w:p>
      <w:pPr>
        <w:pStyle w:val="NormalNumberedtext"/>
      </w:pPr>
      <w:r>
        <w:t>Adequate ventilation is established before entry and maintained for the full duration of confined space work, not only during initial entry.</w:t>
      </w:r>
    </w:p>
    <w:p>
      <w:pPr>
        <w:pStyle w:val="NormalNumberedtext"/>
      </w:pPr>
      <w:r>
        <w:t>Ventilation is applied, whether natural, forced, or mechanical, to establish and maintain the safe atmosphere parameters defined in Section 2 throughout every entry. Ventilation systems are confirmed as operational before the Permit Officer authorises entry and remain in operation until all entrants have exited and the permit is closed.</w:t>
      </w:r>
    </w:p>
    <w:p>
      <w:pPr>
        <w:pStyle w:val="NormalNumberedtext"/>
      </w:pPr>
      <w:r>
        <w:t>Where ventilation alone cannot achieve or maintain the safe atmosphere parameters defined in Section 2, appropriate respiratory protective equipment (RPE) is selected and worn by all entrants. RPE selection and use requirements are governed by RTPR-HSE-PRO-0027.</w:t>
      </w:r>
    </w:p>
    <w:p>
      <w:pPr>
        <w:pStyle w:val="NormalNumberedtext"/>
      </w:pPr>
      <w:r>
        <w:rPr>
          <w:color w:val="C55A11"/>
        </w:rPr>
        <w:t>Forced ventilation exhaust is directed away from entry points, from areas where other personnel are working, and from areas where ignition sources are present. The ventilation method, equipment type, and flow rate are recorded on the entry permit.</w:t>
      </w:r>
    </w:p>
    <w:p>
      <w:pPr>
        <w:pStyle w:val="Heading1Numbered"/>
      </w:pPr>
      <w:r>
        <w:t>8  Standby Person and Entry Control</w:t>
      </w:r>
    </w:p>
    <w:p>
      <w:pPr>
        <w:pStyle w:val="NormalNumberedtext"/>
      </w:pPr>
      <w:r>
        <w:t>This section defines the standby person role, responsibilities, and entry control requirements that apply to every confined space entry on this project.</w:t>
      </w:r>
    </w:p>
    <w:p>
      <w:pPr>
        <w:pStyle w:val="NormalNumberedtext"/>
      </w:pPr>
      <w:r>
        <w:t>A dedicated standby person is assigned to every confined space entry and positioned outside all entry points for the full duration of the entry. The standby person holds no other concurrent duties while entrants are inside the space.</w:t>
      </w:r>
    </w:p>
    <w:p>
      <w:pPr>
        <w:pStyle w:val="NormalNumberedtext"/>
      </w:pPr>
      <w:r>
        <w:t>The standby person carries out the following responsibilities throughout the entry:</w:t>
      </w:r>
    </w:p>
    <w:p>
      <w:pPr>
        <w:pStyle w:val="NumberedBulletL1"/>
      </w:pPr>
      <w:r>
        <w:t>Maintains continuous communication with all entrants using the communication method recorded on the entry permit.</w:t>
      </w:r>
    </w:p>
    <w:p>
      <w:pPr>
        <w:pStyle w:val="NumberedBulletL1"/>
      </w:pPr>
      <w:r>
        <w:t>Maintains the entry and exit log, recording each entrant's name, entry time, and exit time.</w:t>
      </w:r>
    </w:p>
    <w:p>
      <w:pPr>
        <w:pStyle w:val="NumberedBulletL1"/>
      </w:pPr>
      <w:r>
        <w:t>Keeps rescue equipment immediately accessible at the entry point throughout the entry.</w:t>
      </w:r>
    </w:p>
    <w:p>
      <w:pPr>
        <w:pStyle w:val="NumberedBulletL1"/>
      </w:pPr>
      <w:r>
        <w:t>Raises the alarm and initiates the rescue plan immediately upon loss of communication with an entrant, an entrant requesting assistance, or observation of an emergency condition inside or outside the space.</w:t>
      </w:r>
    </w:p>
    <w:p>
      <w:pPr>
        <w:pStyle w:val="NumberedBulletL1"/>
      </w:pPr>
      <w:r>
        <w:t>Understands and can execute all assigned response actions in the rescue plan applicable to this entry.</w:t>
      </w:r>
    </w:p>
    <w:p>
      <w:pPr>
        <w:pStyle w:val="NormalNumberedtext"/>
      </w:pPr>
      <w:r>
        <w:t>The standby person must not enter the confined space under any circumstances, including to attempt a rescue. Rescue by non-entry means is always the preferred method. Where entry rescue is required, it is performed only by trained rescue personnel in accordance with the rescue plan. The standby person's responsibility is to raise the alarm and coordinate the external response.</w:t>
      </w:r>
    </w:p>
    <w:tbl>
      <w:tblPr>
        <w:tblStyle w:val="TableOption1"/>
        <w:tblW w:type="pct" w:w="5000"/>
      </w:tblPr>
      <w:tr>
        <w:tc>
          <w:tcPr>
            <w:shd w:val="clear" w:color="auto" w:fill="FFF2CC"/>
          </w:tcPr>
          <w:p>
            <w:pPr>
              <w:pStyle w:val="Instructions"/>
            </w:pPr>
            <w:r>
              <w:rPr>
                <w:b/>
                <w:bCs/>
                <w:color w:val="C55A11"/>
              </w:rPr>
              <w:t>PROJECT COMPLETION — Standby person briefing: The standby person assigned to each entry must be briefed on the specific rescue plan for that space before the permit is issued. The briefing record is attached to the permit. The standby person confirms understanding of their assigned response actions before any entrant enters the space.</w:t>
            </w:r>
          </w:p>
        </w:tc>
      </w:tr>
    </w:tbl>
    <w:p>
      <w:pPr>
        <w:pStyle w:val="Default"/>
      </w:pPr>
    </w:p>
    <w:p>
      <w:pPr>
        <w:pStyle w:val="Heading1Numbered"/>
      </w:pPr>
      <w:r>
        <w:t>9  Emergency Rescue Plan</w:t>
      </w:r>
    </w:p>
    <w:p>
      <w:pPr>
        <w:pStyle w:val="NormalNumberedtext"/>
      </w:pPr>
      <w:r>
        <w:t>This section defines the rescue plan requirements that must be satisfied before every confined space entry, including rescue team capability, preferred rescue methods, and drill requirements.</w:t>
      </w:r>
    </w:p>
    <w:p>
      <w:pPr>
        <w:pStyle w:val="Heading2Numbered"/>
      </w:pPr>
      <w:r>
        <w:t>9.1  Rescue Plan Development and Verification</w:t>
      </w:r>
    </w:p>
    <w:p>
      <w:pPr>
        <w:pStyle w:val="NormalNumberedtext"/>
      </w:pPr>
      <w:r>
        <w:t>A task and location-specific rescue plan is developed, verified, and communicated to all assigned personnel before every confined space entry.</w:t>
      </w:r>
    </w:p>
    <w:p>
      <w:pPr>
        <w:pStyle w:val="NormalNumberedtext"/>
      </w:pPr>
      <w:r>
        <w:t>The rescue plan is specific to the confined space identified in the entry permit and to the tasks being performed during the entry. A generic or template rescue plan that has not been verified for the specific space and entry conditions does not satisfy this requirement.</w:t>
      </w:r>
    </w:p>
    <w:p>
      <w:pPr>
        <w:pStyle w:val="NormalNumberedtext"/>
      </w:pPr>
      <w:r>
        <w:t>Each rescue plan addresses the following as a minimum:</w:t>
      </w:r>
    </w:p>
    <w:p>
      <w:pPr>
        <w:pStyle w:val="NumberedBulletL1"/>
      </w:pPr>
      <w:r>
        <w:t>Potential emergency scenarios applicable to the specific entry, including loss of atmosphere, entrapment, incapacitation, and loss of communication.</w:t>
      </w:r>
    </w:p>
    <w:p>
      <w:pPr>
        <w:pStyle w:val="NumberedBulletL1"/>
      </w:pPr>
      <w:r>
        <w:t>Rescue equipment locations and the confirmed availability of all equipment before entry commences.</w:t>
      </w:r>
    </w:p>
    <w:p>
      <w:pPr>
        <w:pStyle w:val="NumberedBulletL1"/>
      </w:pPr>
      <w:r>
        <w:t>Rescue method: non-entry rescue is the preferred method for all entries, and the mandatory method for all vertical entries where the geometry of the space permits it.</w:t>
      </w:r>
    </w:p>
    <w:p>
      <w:pPr>
        <w:pStyle w:val="NumberedBulletL1"/>
      </w:pPr>
      <w:r>
        <w:t>Communication procedures: method of raising the alarm, contact details for emergency services, and the chain of notification within the project.</w:t>
      </w:r>
    </w:p>
    <w:p>
      <w:pPr>
        <w:pStyle w:val="NumberedBulletL1"/>
      </w:pPr>
      <w:r>
        <w:rPr>
          <w:color w:val="C55A11"/>
        </w:rPr>
        <w:t>Nearest emergency medical facility, estimated response time, and the method of patient transfer from the confined space to the medical facility.</w:t>
      </w:r>
    </w:p>
    <w:tbl>
      <w:tblPr>
        <w:tblStyle w:val="TableOption1"/>
        <w:tblW w:type="pct" w:w="5000"/>
      </w:tblPr>
      <w:tr>
        <w:tc>
          <w:tcPr>
            <w:shd w:val="clear" w:color="auto" w:fill="FFF2CC"/>
          </w:tcPr>
          <w:p>
            <w:pPr>
              <w:pStyle w:val="Instructions"/>
            </w:pPr>
            <w:r>
              <w:rPr>
                <w:b/>
                <w:bCs/>
                <w:color w:val="C55A11"/>
              </w:rPr>
              <w:t>PROJECT COMPLETION — Rescue team capability: Define the rescue team capability for each work location in the table below. Record what rescue equipment is available at each location, who is trained in confined space rescue, and how quickly the rescue team can reach each work area. This table must be completed before the first entry permit is issued in each work area.</w:t>
            </w:r>
          </w:p>
        </w:tc>
      </w:tr>
    </w:tbl>
    <w:p>
      <w:pPr>
        <w:pStyle w:val="Default"/>
      </w:pPr>
    </w:p>
    <w:p>
      <w:pPr>
        <w:pStyle w:val="NormalNumberedtext"/>
      </w:pPr>
      <w:r>
        <w:t>Table: Rescue Capability by Work Area</w:t>
      </w:r>
    </w:p>
    <w:tbl>
      <w:tblPr>
        <w:tblStyle w:val="TableOption2"/>
        <w:tblW w:type="pct" w:w="5000"/>
      </w:tblPr>
      <w:tr>
        <w:trPr>
          <w:tblHeader/>
        </w:trPr>
        <w:tc>
          <w:tcPr>
            <w:shd w:val="clear" w:color="auto" w:fill="1F3864"/>
          </w:tcPr>
          <w:p>
            <w:pPr>
              <w:pStyle w:val="TableContents"/>
            </w:pPr>
            <w:r>
              <w:rPr>
                <w:b/>
                <w:bCs/>
                <w:color w:val="FFFFFF"/>
              </w:rPr>
              <w:t>Work Area / Space ID</w:t>
            </w:r>
          </w:p>
        </w:tc>
        <w:tc>
          <w:tcPr>
            <w:shd w:val="clear" w:color="auto" w:fill="1F3864"/>
          </w:tcPr>
          <w:p>
            <w:pPr>
              <w:pStyle w:val="TableContents"/>
            </w:pPr>
            <w:r>
              <w:rPr>
                <w:b/>
                <w:bCs/>
                <w:color w:val="FFFFFF"/>
              </w:rPr>
              <w:t>Available Rescue Equipment</w:t>
            </w:r>
          </w:p>
        </w:tc>
        <w:tc>
          <w:tcPr>
            <w:shd w:val="clear" w:color="auto" w:fill="1F3864"/>
          </w:tcPr>
          <w:p>
            <w:pPr>
              <w:pStyle w:val="TableContents"/>
            </w:pPr>
            <w:r>
              <w:rPr>
                <w:b/>
                <w:bCs/>
                <w:color w:val="FFFFFF"/>
              </w:rPr>
              <w:t>Trained Rescue Personnel (Name / Role)</w:t>
            </w:r>
          </w:p>
        </w:tc>
        <w:tc>
          <w:tcPr>
            <w:shd w:val="clear" w:color="auto" w:fill="1F3864"/>
          </w:tcPr>
          <w:p>
            <w:pPr>
              <w:pStyle w:val="TableContents"/>
            </w:pPr>
            <w:r>
              <w:rPr>
                <w:b/>
                <w:bCs/>
                <w:color w:val="FFFFFF"/>
              </w:rPr>
              <w:t>Maximum Response Time to Space Entry Point</w:t>
            </w:r>
          </w:p>
        </w:tc>
        <w:tc>
          <w:tcPr>
            <w:shd w:val="clear" w:color="auto" w:fill="1F3864"/>
          </w:tcPr>
          <w:p>
            <w:pPr>
              <w:pStyle w:val="TableContents"/>
            </w:pPr>
            <w:r>
              <w:rPr>
                <w:b/>
                <w:bCs/>
                <w:color w:val="FFFFFF"/>
              </w:rPr>
              <w:t>Emergency Services Contact</w:t>
            </w:r>
          </w:p>
        </w:tc>
      </w:tr>
      <w:tr>
        <w:tc>
          <w:tcPr/>
          <w:p>
            <w:pPr>
              <w:pStyle w:val="TableContents"/>
            </w:pPr>
            <w:r>
              <w:rPr>
                <w:b/>
                <w:bCs/>
                <w:color w:val="0059D1"/>
              </w:rPr>
              <w:t>[INSERT: work area or space ID]</w:t>
            </w:r>
          </w:p>
        </w:tc>
        <w:tc>
          <w:tcPr/>
          <w:p>
            <w:pPr>
              <w:pStyle w:val="TableContents"/>
            </w:pPr>
            <w:r>
              <w:rPr>
                <w:b/>
                <w:bCs/>
                <w:color w:val="0059D1"/>
              </w:rPr>
              <w:t>[INSERT: rescue equipment list, e.g. tripod, winch, SCBA, stretcher]</w:t>
            </w:r>
          </w:p>
        </w:tc>
        <w:tc>
          <w:tcPr/>
          <w:p>
            <w:pPr>
              <w:pStyle w:val="TableContents"/>
            </w:pPr>
            <w:r>
              <w:rPr>
                <w:b/>
                <w:bCs/>
                <w:color w:val="0059D1"/>
              </w:rPr>
              <w:t>[INSERT: name and role of trained rescue personnel]</w:t>
            </w:r>
          </w:p>
        </w:tc>
        <w:tc>
          <w:tcPr/>
          <w:p>
            <w:pPr>
              <w:pStyle w:val="TableContents"/>
            </w:pPr>
            <w:r>
              <w:rPr>
                <w:b/>
                <w:bCs/>
                <w:color w:val="0059D1"/>
              </w:rPr>
              <w:t>[INSERT: estimated response time in minutes]</w:t>
            </w:r>
          </w:p>
        </w:tc>
        <w:tc>
          <w:tcPr/>
          <w:p>
            <w:pPr>
              <w:pStyle w:val="TableContents"/>
            </w:pPr>
            <w:r>
              <w:rPr>
                <w:b/>
                <w:bCs/>
                <w:color w:val="0059D1"/>
              </w:rPr>
              <w:t>[INSERT: emergency services number and nearest facility]</w:t>
            </w:r>
          </w:p>
        </w:tc>
      </w:tr>
      <w:tr>
        <w:tc>
          <w:tcPr/>
          <w:p>
            <w:pPr>
              <w:pStyle w:val="TableContents"/>
            </w:pPr>
            <w:r>
              <w:rPr>
                <w:b/>
                <w:bCs/>
                <w:color w:val="0059D1"/>
              </w:rPr>
              <w:t>[INSERT: work area or space ID]</w:t>
            </w:r>
          </w:p>
        </w:tc>
        <w:tc>
          <w:tcPr/>
          <w:p>
            <w:pPr>
              <w:pStyle w:val="TableContents"/>
            </w:pPr>
            <w:r>
              <w:rPr>
                <w:b/>
                <w:bCs/>
                <w:color w:val="0059D1"/>
              </w:rPr>
              <w:t>[INSERT: rescue equipment list]</w:t>
            </w:r>
          </w:p>
        </w:tc>
        <w:tc>
          <w:tcPr/>
          <w:p>
            <w:pPr>
              <w:pStyle w:val="TableContents"/>
            </w:pPr>
            <w:r>
              <w:rPr>
                <w:b/>
                <w:bCs/>
                <w:color w:val="0059D1"/>
              </w:rPr>
              <w:t>[INSERT: name and role]</w:t>
            </w:r>
          </w:p>
        </w:tc>
        <w:tc>
          <w:tcPr/>
          <w:p>
            <w:pPr>
              <w:pStyle w:val="TableContents"/>
            </w:pPr>
            <w:r>
              <w:rPr>
                <w:b/>
                <w:bCs/>
                <w:color w:val="0059D1"/>
              </w:rPr>
              <w:t>[INSERT: response time]</w:t>
            </w:r>
          </w:p>
        </w:tc>
        <w:tc>
          <w:tcPr/>
          <w:p>
            <w:pPr>
              <w:pStyle w:val="TableContents"/>
            </w:pPr>
            <w:r>
              <w:rPr>
                <w:b/>
                <w:bCs/>
                <w:color w:val="0059D1"/>
              </w:rPr>
              <w:t>[INSERT: emergency services and facility]</w:t>
            </w:r>
          </w:p>
        </w:tc>
      </w:tr>
    </w:tbl>
    <w:p>
      <w:pPr>
        <w:pStyle w:val="Default"/>
      </w:pPr>
    </w:p>
    <w:p>
      <w:pPr>
        <w:pStyle w:val="Heading2Numbered"/>
      </w:pPr>
      <w:r>
        <w:t>9.2  Rescue Personnel Availability and Drill Requirements</w:t>
      </w:r>
    </w:p>
    <w:p>
      <w:pPr>
        <w:pStyle w:val="NormalNumberedtext"/>
      </w:pPr>
      <w:r>
        <w:t>Rescue personnel are immediately available and briefed on the rescue plan before every entry, and maintain proficiency through regular confined space rescue drills.</w:t>
      </w:r>
    </w:p>
    <w:p>
      <w:pPr>
        <w:pStyle w:val="NormalNumberedtext"/>
      </w:pPr>
      <w:r>
        <w:t>Rescue personnel are confirmed as immediately available for the full duration of every confined space entry. Confirmation of rescue personnel availability is recorded on the entry permit before the Permit Officer authorises entry. Rescue personnel are briefed on the specific rescue plan applicable to the entry before entry commences.</w:t>
      </w:r>
    </w:p>
    <w:p>
      <w:pPr>
        <w:pStyle w:val="NormalNumberedtext"/>
      </w:pPr>
      <w:r>
        <w:t>Confined space rescue drills are conducted at a frequency sufficient to maintain rescue team proficiency and to test the adequacy of equipment and procedures for each work area. Drill records, including date, participants, space or simulated scenario, outcomes, and corrective actions, are retained by the HSE team.</w:t>
      </w:r>
    </w:p>
    <w:p>
      <w:pPr>
        <w:pStyle w:val="NormalNumberedtext"/>
      </w:pPr>
      <w:r>
        <w:t>Table: Rescue Drill Schedule</w:t>
      </w:r>
    </w:p>
    <w:tbl>
      <w:tblPr>
        <w:tblStyle w:val="TableOption2"/>
        <w:tblW w:type="pct" w:w="5000"/>
      </w:tblPr>
      <w:tr>
        <w:trPr>
          <w:tblHeader/>
        </w:trPr>
        <w:tc>
          <w:tcPr>
            <w:shd w:val="clear" w:color="auto" w:fill="1F3864"/>
          </w:tcPr>
          <w:p>
            <w:pPr>
              <w:pStyle w:val="TableContents"/>
            </w:pPr>
            <w:r>
              <w:rPr>
                <w:b/>
                <w:bCs/>
                <w:color w:val="FFFFFF"/>
              </w:rPr>
              <w:t>Work Area / Space Category</w:t>
            </w:r>
          </w:p>
        </w:tc>
        <w:tc>
          <w:tcPr>
            <w:shd w:val="clear" w:color="auto" w:fill="1F3864"/>
          </w:tcPr>
          <w:p>
            <w:pPr>
              <w:pStyle w:val="TableContents"/>
            </w:pPr>
            <w:r>
              <w:rPr>
                <w:b/>
                <w:bCs/>
                <w:color w:val="FFFFFF"/>
              </w:rPr>
              <w:t>Minimum Drill Frequency</w:t>
            </w:r>
          </w:p>
        </w:tc>
        <w:tc>
          <w:tcPr>
            <w:shd w:val="clear" w:color="auto" w:fill="1F3864"/>
          </w:tcPr>
          <w:p>
            <w:pPr>
              <w:pStyle w:val="TableContents"/>
            </w:pPr>
            <w:r>
              <w:rPr>
                <w:b/>
                <w:bCs/>
                <w:color w:val="FFFFFF"/>
              </w:rPr>
              <w:t>Drill Type</w:t>
            </w:r>
          </w:p>
        </w:tc>
        <w:tc>
          <w:tcPr>
            <w:shd w:val="clear" w:color="auto" w:fill="1F3864"/>
          </w:tcPr>
          <w:p>
            <w:pPr>
              <w:pStyle w:val="TableContents"/>
            </w:pPr>
            <w:r>
              <w:rPr>
                <w:b/>
                <w:bCs/>
                <w:color w:val="FFFFFF"/>
              </w:rPr>
              <w:t>Record Location</w:t>
            </w:r>
          </w:p>
        </w:tc>
      </w:tr>
      <w:tr>
        <w:tc>
          <w:tcPr/>
          <w:p>
            <w:pPr>
              <w:pStyle w:val="TableContents"/>
            </w:pPr>
            <w:r>
              <w:rPr>
                <w:color w:val="C55A11"/>
              </w:rPr>
              <w:t>{'text': 'All permit-required confined spaces', 'suggested': True}</w:t>
            </w:r>
          </w:p>
        </w:tc>
        <w:tc>
          <w:tcPr/>
          <w:p>
            <w:pPr>
              <w:pStyle w:val="TableContents"/>
            </w:pPr>
            <w:r>
              <w:rPr>
                <w:color w:val="C55A11"/>
              </w:rPr>
              <w:t>{'text': 'Quarterly, or following any rescue, change to rescue team composition, or change to equipment', 'suggested': True}</w:t>
            </w:r>
          </w:p>
        </w:tc>
        <w:tc>
          <w:tcPr/>
          <w:p>
            <w:pPr>
              <w:pStyle w:val="TableContents"/>
            </w:pPr>
            <w:r>
              <w:rPr>
                <w:color w:val="C55A11"/>
              </w:rPr>
              <w:t>{'text': 'Non-entry rescue (preferred) and entry rescue (where applicable)', 'suggested': True}</w:t>
            </w:r>
          </w:p>
        </w:tc>
        <w:tc>
          <w:tcPr/>
          <w:p>
            <w:pPr>
              <w:pStyle w:val="TableContents"/>
            </w:pPr>
            <w:r>
              <w:rPr>
                <w:b/>
                <w:bCs/>
                <w:color w:val="0059D1"/>
              </w:rPr>
              <w:t>[INSERT: document management system location]</w:t>
            </w:r>
          </w:p>
        </w:tc>
      </w:tr>
    </w:tbl>
    <w:p>
      <w:pPr>
        <w:pStyle w:val="Default"/>
      </w:pPr>
    </w:p>
    <w:p>
      <w:pPr>
        <w:pStyle w:val="NormalNumberedtext"/>
      </w:pPr>
      <w:r>
        <w:t>Confined space rescue competency requirements for all rescue personnel are documented in the project Training Register (RTPR-HSE-REG-0003). The competency management process is governed by RTPR-HSE-PRO-0004.</w:t>
      </w:r>
    </w:p>
    <w:p>
      <w:pPr>
        <w:pStyle w:val="Heading1Numbered"/>
      </w:pPr>
      <w:r>
        <w:t>10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HSESC</w:t>
            </w:r>
          </w:p>
        </w:tc>
        <w:tc>
          <w:tcPr/>
          <w:p>
            <w:pPr>
              <w:pStyle w:val="TableContents"/>
            </w:pPr>
            <w:r>
              <w:t>Health, Safety, Environment and Sustainability Committee — the governance body overseeing HSESC management system compliance on Rio Tinto owner-led projects.</w:t>
            </w:r>
          </w:p>
        </w:tc>
      </w:tr>
      <w:tr>
        <w:tc>
          <w:tcPr/>
          <w:p>
            <w:pPr>
              <w:pStyle w:val="TableContents"/>
            </w:pPr>
            <w:r>
              <w:t>PRO</w:t>
            </w:r>
          </w:p>
        </w:tc>
        <w:tc>
          <w:tcPr/>
          <w:p>
            <w:pPr>
              <w:pStyle w:val="TableContents"/>
            </w:pPr>
            <w:r>
              <w:t>Procedure — a documented management system instruction prescribing the method by which an activity must be carried out.</w:t>
            </w:r>
          </w:p>
        </w:tc>
      </w:tr>
      <w:tr>
        <w:tc>
          <w:tcPr/>
          <w:p>
            <w:pPr>
              <w:pStyle w:val="TableContents"/>
            </w:pPr>
            <w:r>
              <w:t>RTPR</w:t>
            </w:r>
          </w:p>
        </w:tc>
        <w:tc>
          <w:tcPr/>
          <w:p>
            <w:pPr>
              <w:pStyle w:val="TableContents"/>
            </w:pPr>
            <w:r>
              <w:t>Rio Tinto Project — the project-level prefix used to identify management system documents specific to Rio Tinto owner-led project delivery.</w:t>
            </w:r>
          </w:p>
        </w:tc>
      </w:tr>
      <w:tr>
        <w:tc>
          <w:tcPr/>
          <w:p>
            <w:pPr>
              <w:pStyle w:val="TableContents"/>
            </w:pPr>
            <w:r>
              <w:t>HSE</w:t>
            </w:r>
          </w:p>
        </w:tc>
        <w:tc>
          <w:tcPr/>
          <w:p>
            <w:pPr>
              <w:pStyle w:val="TableContents"/>
            </w:pPr>
            <w:r>
              <w:t>Health, Safety and Environment — the discipline encompassing the identification, assessment and control of hazards that may affect people, plant, property or the environment.</w:t>
            </w:r>
          </w:p>
        </w:tc>
      </w:tr>
      <w:tr>
        <w:tc>
          <w:tcPr/>
          <w:p>
            <w:pPr>
              <w:pStyle w:val="TableContents"/>
            </w:pPr>
            <w:r>
              <w:t>REG</w:t>
            </w:r>
          </w:p>
        </w:tc>
        <w:tc>
          <w:tcPr/>
          <w:p>
            <w:pPr>
              <w:pStyle w:val="TableContents"/>
            </w:pPr>
            <w:r>
              <w:t>Register — a controlled document used to record and track items, competencies, permits or other managed data within the management system.</w:t>
            </w:r>
          </w:p>
        </w:tc>
      </w:tr>
      <w:tr>
        <w:tc>
          <w:tcPr/>
          <w:p>
            <w:pPr>
              <w:pStyle w:val="TableContents"/>
            </w:pPr>
            <w:r>
              <w:t>PTW</w:t>
            </w:r>
          </w:p>
        </w:tc>
        <w:tc>
          <w:tcPr/>
          <w:p>
            <w:pPr>
              <w:pStyle w:val="TableContents"/>
            </w:pPr>
            <w:r>
              <w:t>Permit to Work — a formal documented authorisation system that controls high-risk work activities by defining the scope, hazards, controls and approvals required before work commences.</w:t>
            </w:r>
          </w:p>
        </w:tc>
      </w:tr>
      <w:tr>
        <w:tc>
          <w:tcPr/>
          <w:p>
            <w:pPr>
              <w:pStyle w:val="TableContents"/>
            </w:pPr>
            <w:r>
              <w:t>CS</w:t>
            </w:r>
          </w:p>
        </w:tc>
        <w:tc>
          <w:tcPr/>
          <w:p>
            <w:pPr>
              <w:pStyle w:val="TableContents"/>
            </w:pPr>
            <w:r>
              <w:t>Confined Space — an enclosed or partially enclosed space that is not primarily designed or intended for human occupancy, has restricted means of entry or exit, and may have an atmosphere that is or is liable to be hazardous.</w:t>
            </w:r>
          </w:p>
        </w:tc>
      </w:tr>
      <w:tr>
        <w:tc>
          <w:tcPr/>
          <w:p>
            <w:pPr>
              <w:pStyle w:val="TableContents"/>
            </w:pPr>
            <w:r>
              <w:t>RPE</w:t>
            </w:r>
          </w:p>
        </w:tc>
        <w:tc>
          <w:tcPr/>
          <w:p>
            <w:pPr>
              <w:pStyle w:val="TableContents"/>
            </w:pPr>
            <w:r>
              <w:t>Respiratory Protective Equipment — personal protective equipment worn over the nose and mouth or the entire face to protect the wearer from inhalation of hazardous atmospheres, dusts, gases or vapours.</w:t>
            </w:r>
          </w:p>
        </w:tc>
      </w:tr>
      <w:tr>
        <w:tc>
          <w:tcPr/>
          <w:p>
            <w:pPr>
              <w:pStyle w:val="TableContents"/>
            </w:pPr>
            <w:r>
              <w:t>PPE</w:t>
            </w:r>
          </w:p>
        </w:tc>
        <w:tc>
          <w:tcPr/>
          <w:p>
            <w:pPr>
              <w:pStyle w:val="TableContents"/>
            </w:pPr>
            <w:r>
              <w:t>Personal Protective Equipment — equipment worn or held by a person to protect against one or more health or safety hazards, including but not limited to RPE, gloves, helmets, harnesses and eye protection.</w:t>
            </w:r>
          </w:p>
        </w:tc>
      </w:tr>
      <w:tr>
        <w:tc>
          <w:tcPr/>
          <w:p>
            <w:pPr>
              <w:pStyle w:val="TableContents"/>
            </w:pPr>
            <w:r>
              <w:t>LEL</w:t>
            </w:r>
          </w:p>
        </w:tc>
        <w:tc>
          <w:tcPr/>
          <w:p>
            <w:pPr>
              <w:pStyle w:val="TableContents"/>
            </w:pPr>
            <w:r>
              <w:t>Lower Explosive Limit — the minimum concentration of a flammable gas or vapour in air below which propagation of a flame will not occur; confined space entry is not permitted when gas concentration is at or above 10% LEL.</w:t>
            </w:r>
          </w:p>
        </w:tc>
      </w:tr>
      <w:tr>
        <w:tc>
          <w:tcPr/>
          <w:p>
            <w:pPr>
              <w:pStyle w:val="TableContents"/>
            </w:pPr>
            <w:r>
              <w:t>UEL</w:t>
            </w:r>
          </w:p>
        </w:tc>
        <w:tc>
          <w:tcPr/>
          <w:p>
            <w:pPr>
              <w:pStyle w:val="TableContents"/>
            </w:pPr>
            <w:r>
              <w:t>Upper Explosive Limit — the maximum concentration of a flammable gas or vapour in air above which propagation of a flame will not occur; concentrations between LEL and UEL represent an explosive range.</w:t>
            </w:r>
          </w:p>
        </w:tc>
      </w:tr>
      <w:tr>
        <w:tc>
          <w:tcPr/>
          <w:p>
            <w:pPr>
              <w:pStyle w:val="TableContents"/>
            </w:pPr>
            <w:r>
              <w:t>O2</w:t>
            </w:r>
          </w:p>
        </w:tc>
        <w:tc>
          <w:tcPr/>
          <w:p>
            <w:pPr>
              <w:pStyle w:val="TableContents"/>
            </w:pPr>
            <w:r>
              <w:t>Oxygen — the atmospheric gas required for human respiration; a safe confined space atmosphere requires an O2 concentration between 19.5% and 23.5% by volume.</w:t>
            </w:r>
          </w:p>
        </w:tc>
      </w:tr>
      <w:tr>
        <w:tc>
          <w:tcPr/>
          <w:p>
            <w:pPr>
              <w:pStyle w:val="TableContents"/>
            </w:pPr>
            <w:r>
              <w:t>CO</w:t>
            </w:r>
          </w:p>
        </w:tc>
        <w:tc>
          <w:tcPr/>
          <w:p>
            <w:pPr>
              <w:pStyle w:val="TableContents"/>
            </w:pPr>
            <w:r>
              <w:t>Carbon Monoxide — a colourless, odourless toxic gas produced by incomplete combustion; a key atmospheric hazard monitored prior to and during confined space entry.</w:t>
            </w:r>
          </w:p>
        </w:tc>
      </w:tr>
      <w:tr>
        <w:tc>
          <w:tcPr/>
          <w:p>
            <w:pPr>
              <w:pStyle w:val="TableContents"/>
            </w:pPr>
            <w:r>
              <w:t>H2S</w:t>
            </w:r>
          </w:p>
        </w:tc>
        <w:tc>
          <w:tcPr/>
          <w:p>
            <w:pPr>
              <w:pStyle w:val="TableContents"/>
            </w:pPr>
            <w:r>
              <w:t>Hydrogen Sulphide — a colourless, flammable and highly toxic gas with a characteristic rotten egg odour at low concentrations; a primary atmospheric hazard in confined spaces associated with sewage, mining or petrochemical environments.</w:t>
            </w:r>
          </w:p>
        </w:tc>
      </w:tr>
      <w:tr>
        <w:tc>
          <w:tcPr/>
          <w:p>
            <w:pPr>
              <w:pStyle w:val="TableContents"/>
            </w:pPr>
            <w:r>
              <w:t>IDLH</w:t>
            </w:r>
          </w:p>
        </w:tc>
        <w:tc>
          <w:tcPr/>
          <w:p>
            <w:pPr>
              <w:pStyle w:val="TableContents"/>
            </w:pPr>
            <w:r>
              <w:t>Immediately Dangerous to Life or Health — an atmospheric concentration of any toxic, corrosive or asphyxiant substance that poses an immediate threat to life, causes irreversible adverse health effects, or impairs the ability to escape.</w:t>
            </w:r>
          </w:p>
        </w:tc>
      </w:tr>
      <w:tr>
        <w:tc>
          <w:tcPr/>
          <w:p>
            <w:pPr>
              <w:pStyle w:val="TableContents"/>
            </w:pPr>
            <w:r>
              <w:t>LOTO</w:t>
            </w:r>
          </w:p>
        </w:tc>
        <w:tc>
          <w:tcPr/>
          <w:p>
            <w:pPr>
              <w:pStyle w:val="TableContents"/>
            </w:pPr>
            <w:r>
              <w:t>Lockout/Tagout — an isolation procedure that ensures hazardous energy sources are isolated, de-energised and physically locked and tagged out before confined space entry or other high-risk work is performed.</w:t>
            </w:r>
          </w:p>
        </w:tc>
      </w:tr>
      <w:tr>
        <w:tc>
          <w:tcPr/>
          <w:p>
            <w:pPr>
              <w:pStyle w:val="TableContents"/>
            </w:pPr>
            <w:r>
              <w:t>ZE</w:t>
            </w:r>
          </w:p>
        </w:tc>
        <w:tc>
          <w:tcPr/>
          <w:p>
            <w:pPr>
              <w:pStyle w:val="TableContents"/>
            </w:pPr>
            <w:r>
              <w:t>Zero Energy — the verified state in which all forms of hazardous energy (electrical, mechanical, hydraulic, pneumatic, chemical, thermal and gravitational) have been isolated, dissipated or restrained to a level that cannot cause harm.</w:t>
            </w:r>
          </w:p>
        </w:tc>
      </w:tr>
      <w:tr>
        <w:tc>
          <w:tcPr/>
          <w:p>
            <w:pPr>
              <w:pStyle w:val="TableContents"/>
            </w:pPr>
            <w:r>
              <w:t>ERP</w:t>
            </w:r>
          </w:p>
        </w:tc>
        <w:tc>
          <w:tcPr/>
          <w:p>
            <w:pPr>
              <w:pStyle w:val="TableContents"/>
            </w:pPr>
            <w:r>
              <w:t>Emergency Rescue Plan — a documented plan specifying the roles, resources, communication protocols and procedures to be followed in the event of an emergency during confined space entry.</w:t>
            </w:r>
          </w:p>
        </w:tc>
      </w:tr>
      <w:tr>
        <w:tc>
          <w:tcPr/>
          <w:p>
            <w:pPr>
              <w:pStyle w:val="TableContents"/>
            </w:pPr>
            <w:r>
              <w:t>SDS</w:t>
            </w:r>
          </w:p>
        </w:tc>
        <w:tc>
          <w:tcPr/>
          <w:p>
            <w:pPr>
              <w:pStyle w:val="TableContents"/>
            </w:pPr>
            <w:r>
              <w:t>Safety Data Sheet — a document providing information on the properties, hazards, safe handling, storage and emergency measures for a chemical substance or mixture.</w:t>
            </w:r>
          </w:p>
        </w:tc>
      </w:tr>
      <w:tr>
        <w:tc>
          <w:tcPr/>
          <w:p>
            <w:pPr>
              <w:pStyle w:val="TableContents"/>
            </w:pPr>
            <w:r>
              <w:t>JSA</w:t>
            </w:r>
          </w:p>
        </w:tc>
        <w:tc>
          <w:tcPr/>
          <w:p>
            <w:pPr>
              <w:pStyle w:val="TableContents"/>
            </w:pPr>
            <w:r>
              <w:t>Job Safety Analysis — a systematic process of identifying and assessing hazards associated with each step of a task and determining appropriate controls before work commences.</w:t>
            </w:r>
          </w:p>
        </w:tc>
      </w:tr>
      <w:tr>
        <w:tc>
          <w:tcPr/>
          <w:p>
            <w:pPr>
              <w:pStyle w:val="TableContents"/>
            </w:pPr>
            <w:r>
              <w:t>SWMS</w:t>
            </w:r>
          </w:p>
        </w:tc>
        <w:tc>
          <w:tcPr/>
          <w:p>
            <w:pPr>
              <w:pStyle w:val="TableContents"/>
            </w:pPr>
            <w:r>
              <w:t>Safe Work Method Statement — a document that identifies high-risk construction work activities, the hazards associated with those activities and the measures to be implemented to control the risks.</w:t>
            </w:r>
          </w:p>
        </w:tc>
      </w:tr>
      <w:tr>
        <w:tc>
          <w:tcPr/>
          <w:p>
            <w:pPr>
              <w:pStyle w:val="TableContents"/>
            </w:pPr>
            <w:r>
              <w:t>TWA</w:t>
            </w:r>
          </w:p>
        </w:tc>
        <w:tc>
          <w:tcPr/>
          <w:p>
            <w:pPr>
              <w:pStyle w:val="TableContents"/>
            </w:pPr>
            <w:r>
              <w:t>Time Weighted Average — the average concentration of a substance in air over an 8-hour working day and 40-hour working week, used as an occupational exposure limit benchmark.</w:t>
            </w:r>
          </w:p>
        </w:tc>
      </w:tr>
      <w:tr>
        <w:tc>
          <w:tcPr/>
          <w:p>
            <w:pPr>
              <w:pStyle w:val="TableContents"/>
            </w:pPr>
            <w:r>
              <w:t>OEL</w:t>
            </w:r>
          </w:p>
        </w:tc>
        <w:tc>
          <w:tcPr/>
          <w:p>
            <w:pPr>
              <w:pStyle w:val="TableContents"/>
            </w:pPr>
            <w:r>
              <w:t>Occupational Exposure Limit — the maximum airborne concentration of a hazardous substance to which workers may be exposed during a working day without adverse health effects.</w:t>
            </w:r>
          </w:p>
        </w:tc>
      </w:tr>
      <w:tr>
        <w:tc>
          <w:tcPr/>
          <w:p>
            <w:pPr>
              <w:pStyle w:val="TableContents"/>
            </w:pPr>
            <w:r>
              <w:t>RT</w:t>
            </w:r>
          </w:p>
        </w:tc>
        <w:tc>
          <w:tcPr/>
          <w:p>
            <w:pPr>
              <w:pStyle w:val="TableContents"/>
            </w:pPr>
            <w:r>
              <w:t>Rio Tinto — the global mining and metals company under whose standards, frameworks and project delivery governance this management system procedure is issued.</w:t>
            </w:r>
          </w:p>
        </w:tc>
      </w:tr>
      <w:tr>
        <w:tc>
          <w:tcPr/>
          <w:p>
            <w:pPr>
              <w:pStyle w:val="TableContents"/>
            </w:pPr>
            <w:r>
              <w:t>WHS</w:t>
            </w:r>
          </w:p>
        </w:tc>
        <w:tc>
          <w:tcPr/>
          <w:p>
            <w:pPr>
              <w:pStyle w:val="TableContents"/>
            </w:pPr>
            <w:r>
              <w:t>Work Health and Safety — the Australian legislative framework governing the health, safety and welfare of workers and others in a workplace, under which confined space requirements are prescribed.</w:t>
            </w:r>
          </w:p>
        </w:tc>
      </w:tr>
      <w:tr>
        <w:tc>
          <w:tcPr/>
          <w:p>
            <w:pPr>
              <w:pStyle w:val="TableContents"/>
            </w:pPr>
            <w:r>
              <w:t>AS</w:t>
            </w:r>
          </w:p>
        </w:tc>
        <w:tc>
          <w:tcPr/>
          <w:p>
            <w:pPr>
              <w:pStyle w:val="TableContents"/>
            </w:pPr>
            <w:r>
              <w:t>Australian Standard — a standard published by Standards Australia providing technical specifications, guidelines or definitions used as minimum requirements within this procedure.</w:t>
            </w:r>
          </w:p>
        </w:tc>
      </w:tr>
      <w:tr>
        <w:tc>
          <w:tcPr/>
          <w:p>
            <w:pPr>
              <w:pStyle w:val="TableContents"/>
            </w:pPr>
            <w:r>
              <w:t>CFR</w:t>
            </w:r>
          </w:p>
        </w:tc>
        <w:tc>
          <w:tcPr/>
          <w:p>
            <w:pPr>
              <w:pStyle w:val="TableContents"/>
            </w:pPr>
            <w:r>
              <w:t>Confined Space Register — a controlled register maintained on the project that lists all identified confined spaces, their classification, associated hazards and required controls.</w:t>
            </w:r>
          </w:p>
        </w:tc>
      </w:tr>
      <w:tr>
        <w:tc>
          <w:tcPr/>
          <w:p>
            <w:pPr>
              <w:pStyle w:val="TableContents"/>
            </w:pPr>
            <w:r>
              <w:t>ITP</w:t>
            </w:r>
          </w:p>
        </w:tc>
        <w:tc>
          <w:tcPr/>
          <w:p>
            <w:pPr>
              <w:pStyle w:val="TableContents"/>
            </w:pPr>
            <w:r>
              <w:t>Inspection and Test Plan — a quality and safety document specifying the inspection, testing and verification activities required at defined stages of a work process, including confined space pre-entry checks.</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11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Training and Competency Procedure</w:t>
            </w:r>
          </w:p>
        </w:tc>
        <w:tc>
          <w:tcPr/>
          <w:p>
            <w:pPr>
              <w:pStyle w:val="TableContents"/>
            </w:pPr>
            <w:r>
              <w:t>RTPR-HSE-PRO-0004</w:t>
            </w:r>
          </w:p>
        </w:tc>
        <w:tc>
          <w:tcPr/>
          <w:p>
            <w:pPr>
              <w:pStyle w:val="TableContents"/>
            </w:pPr>
            <w:r>
              <w:t>Internal procedure</w:t>
            </w:r>
          </w:p>
        </w:tc>
      </w:tr>
      <w:tr>
        <w:tc>
          <w:tcPr/>
          <w:p>
            <w:pPr>
              <w:pStyle w:val="TableContents"/>
            </w:pPr>
            <w:r>
              <w:t>Confined Space Competency Register</w:t>
            </w:r>
          </w:p>
        </w:tc>
        <w:tc>
          <w:tcPr/>
          <w:p>
            <w:pPr>
              <w:pStyle w:val="TableContents"/>
            </w:pPr>
            <w:r>
              <w:t>RTPR-HSE-REG-0003</w:t>
            </w:r>
          </w:p>
        </w:tc>
        <w:tc>
          <w:tcPr/>
          <w:p>
            <w:pPr>
              <w:pStyle w:val="TableContents"/>
            </w:pPr>
            <w:r>
              <w:t>Internal procedure</w:t>
            </w:r>
          </w:p>
        </w:tc>
      </w:tr>
      <w:tr>
        <w:tc>
          <w:tcPr/>
          <w:p>
            <w:pPr>
              <w:pStyle w:val="TableContents"/>
            </w:pPr>
            <w:r>
              <w:t>Permit to Work Procedure</w:t>
            </w:r>
          </w:p>
        </w:tc>
        <w:tc>
          <w:tcPr/>
          <w:p>
            <w:pPr>
              <w:pStyle w:val="TableContents"/>
            </w:pPr>
            <w:r>
              <w:t>RTPR-HSE-PRO-0021</w:t>
            </w:r>
          </w:p>
        </w:tc>
        <w:tc>
          <w:tcPr/>
          <w:p>
            <w:pPr>
              <w:pStyle w:val="TableContents"/>
            </w:pPr>
            <w:r>
              <w:t>Internal procedure</w:t>
            </w:r>
          </w:p>
        </w:tc>
      </w:tr>
      <w:tr>
        <w:tc>
          <w:tcPr/>
          <w:p>
            <w:pPr>
              <w:pStyle w:val="TableContents"/>
            </w:pPr>
            <w:r>
              <w:t>Isolation Procedure</w:t>
            </w:r>
          </w:p>
        </w:tc>
        <w:tc>
          <w:tcPr/>
          <w:p>
            <w:pPr>
              <w:pStyle w:val="TableContents"/>
            </w:pPr>
            <w:r>
              <w:t>RTPR-HSE-PRO-0024</w:t>
            </w:r>
          </w:p>
        </w:tc>
        <w:tc>
          <w:tcPr/>
          <w:p>
            <w:pPr>
              <w:pStyle w:val="TableContents"/>
            </w:pPr>
            <w:r>
              <w:t>Internal procedure</w:t>
            </w:r>
          </w:p>
        </w:tc>
      </w:tr>
      <w:tr>
        <w:tc>
          <w:tcPr/>
          <w:p>
            <w:pPr>
              <w:pStyle w:val="TableContents"/>
            </w:pPr>
            <w:r>
              <w:t>Personal Protective Equipment Procedure</w:t>
            </w:r>
          </w:p>
        </w:tc>
        <w:tc>
          <w:tcPr/>
          <w:p>
            <w:pPr>
              <w:pStyle w:val="TableContents"/>
            </w:pPr>
            <w:r>
              <w:t>RTPR-HSE-PRO-0027</w:t>
            </w:r>
          </w:p>
        </w:tc>
        <w:tc>
          <w:tcPr/>
          <w:p>
            <w:pPr>
              <w:pStyle w:val="TableContents"/>
            </w:pPr>
            <w:r>
              <w:t>Internal procedure</w:t>
            </w:r>
          </w:p>
        </w:tc>
      </w:tr>
      <w:tr>
        <w:tc>
          <w:tcPr/>
          <w:p>
            <w:pPr>
              <w:pStyle w:val="TableContents"/>
            </w:pPr>
            <w:r>
              <w:t>Working at Height Procedure</w:t>
            </w:r>
          </w:p>
        </w:tc>
        <w:tc>
          <w:tcPr/>
          <w:p>
            <w:pPr>
              <w:pStyle w:val="TableContents"/>
            </w:pPr>
            <w:r>
              <w:t>RTPR-HSE-PRO-0008</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 (Confined Spaces)</w:t>
            </w:r>
          </w:p>
        </w:tc>
        <w:tc>
          <w:tcPr/>
          <w:p>
            <w:pPr>
              <w:pStyle w:val="TableContents"/>
            </w:pPr>
            <w:r>
              <w:t>RT Risk Management Standard Appendix C C-1</w:t>
            </w:r>
          </w:p>
        </w:tc>
        <w:tc>
          <w:tcPr/>
          <w:p>
            <w:pPr>
              <w:pStyle w:val="TableContents"/>
            </w:pPr>
            <w:r>
              <w:t>External RT</w:t>
            </w:r>
          </w:p>
        </w:tc>
      </w:tr>
      <w:tr>
        <w:tc>
          <w:tcPr/>
          <w:p>
            <w:pPr>
              <w:pStyle w:val="TableContents"/>
            </w:pPr>
            <w:r>
              <w:t>Confined Spaces — Australian Standard</w:t>
            </w:r>
          </w:p>
        </w:tc>
        <w:tc>
          <w:tcPr/>
          <w:p>
            <w:pPr>
              <w:pStyle w:val="TableContents"/>
            </w:pPr>
            <w:r>
              <w:t>AS 2865:2009</w:t>
            </w:r>
          </w:p>
        </w:tc>
        <w:tc>
          <w:tcPr/>
          <w:p>
            <w:pPr>
              <w:pStyle w:val="TableContents"/>
            </w:pPr>
            <w:r>
              <w:t>External framework</w:t>
            </w:r>
          </w:p>
        </w:tc>
      </w:tr>
      <w:tr>
        <w:tc>
          <w:tcPr/>
          <w:p>
            <w:pPr>
              <w:pStyle w:val="TableContents"/>
            </w:pPr>
            <w:r>
              <w:t>Work Health and Safety Regulations — Confined Spaces (Part 4.3)</w:t>
            </w:r>
          </w:p>
        </w:tc>
        <w:tc>
          <w:tcPr/>
          <w:p>
            <w:pPr>
              <w:pStyle w:val="TableContents"/>
            </w:pPr>
            <w:r>
              <w:t>WHS Regulations 2017 (Cth) Part 4.3</w:t>
            </w:r>
          </w:p>
        </w:tc>
        <w:tc>
          <w:tcPr/>
          <w:p>
            <w:pPr>
              <w:pStyle w:val="TableContents"/>
            </w:pPr>
            <w:r>
              <w:t>External framework</w:t>
            </w:r>
          </w:p>
        </w:tc>
      </w:tr>
      <w:tr>
        <w:tc>
          <w:tcPr/>
          <w:p>
            <w:pPr>
              <w:pStyle w:val="TableContents"/>
            </w:pPr>
            <w:r>
              <w:t>Work Health and Safety Act</w:t>
            </w:r>
          </w:p>
        </w:tc>
        <w:tc>
          <w:tcPr/>
          <w:p>
            <w:pPr>
              <w:pStyle w:val="TableContents"/>
            </w:pPr>
            <w:r>
              <w:t>WHS Act 2011 (Cth)</w:t>
            </w:r>
          </w:p>
        </w:tc>
        <w:tc>
          <w:tcPr/>
          <w:p>
            <w:pPr>
              <w:pStyle w:val="TableContents"/>
            </w:pPr>
            <w:r>
              <w:t>External framework</w:t>
            </w:r>
          </w:p>
        </w:tc>
      </w:tr>
      <w:tr>
        <w:tc>
          <w:tcPr/>
          <w:p>
            <w:pPr>
              <w:pStyle w:val="TableContents"/>
            </w:pPr>
            <w:r>
              <w:t>Code of Practice — Confined Spaces</w:t>
            </w:r>
          </w:p>
        </w:tc>
        <w:tc>
          <w:tcPr/>
          <w:p>
            <w:pPr>
              <w:pStyle w:val="TableContents"/>
            </w:pPr>
            <w:r>
              <w:t>Safe Work Australia — Confined Spaces Code of Practice 2021</w:t>
            </w:r>
          </w:p>
        </w:tc>
        <w:tc>
          <w:tcPr/>
          <w:p>
            <w:pPr>
              <w:pStyle w:val="TableContents"/>
            </w:pPr>
            <w:r>
              <w:t>External framework</w:t>
            </w:r>
          </w:p>
        </w:tc>
      </w:tr>
      <w:tr>
        <w:tc>
          <w:tcPr/>
          <w:p>
            <w:pPr>
              <w:pStyle w:val="TableContents"/>
            </w:pPr>
            <w:r>
              <w:t>Globally Harmonized System of Classification and Labelling of Chemicals (GHS) — Safety Data Sheets</w:t>
            </w:r>
          </w:p>
        </w:tc>
        <w:tc>
          <w:tcPr/>
          <w:p>
            <w:pPr>
              <w:pStyle w:val="TableContents"/>
            </w:pPr>
            <w:r>
              <w:t>GHS Rev.9 (UN 2021)</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12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13  Source Requirements Traceability (DELETE BEFORE ISSUE)</w:t>
      </w:r>
    </w:p>
    <w:p>
      <w:pPr>
        <w:pStyle w:val="Heading2Numbered"/>
      </w:pPr>
      <w:r>
        <w:t>13.1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RT Standard RT C5 – Confined Space Standard</w:t>
            </w:r>
          </w:p>
        </w:tc>
        <w:tc>
          <w:tcPr/>
          <w:p>
            <w:pPr>
              <w:pStyle w:val="TableContents"/>
            </w:pPr>
            <w:r>
              <w:t>Mandates confined space identification and classification, Confined Space Register maintenance, safe atmosphere definition, Confined Space Entry Permit requirements with defined roles, isolation and zero-energy verification, atmospheric testing and continuous monitoring, ventilation requirements, dedicated standby person requirements, and task-specific rescue plan development before every entry.</w:t>
            </w:r>
          </w:p>
        </w:tc>
        <w:tc>
          <w:tcPr/>
          <w:p>
            <w:pPr>
              <w:pStyle w:val="TableContents"/>
            </w:pPr>
            <w:r>
              <w:t>Full</w:t>
            </w:r>
          </w:p>
        </w:tc>
      </w:tr>
      <w:tr>
        <w:tc>
          <w:tcPr/>
          <w:p>
            <w:pPr>
              <w:pStyle w:val="TableContents"/>
            </w:pPr>
            <w:r>
              <w:rPr>
                <w:b/>
                <w:bCs/>
                <w:color w:val="0059D1"/>
              </w:rPr>
              <w:t>[INSERT: section]</w:t>
            </w:r>
          </w:p>
        </w:tc>
        <w:tc>
          <w:tcPr/>
          <w:p>
            <w:pPr>
              <w:pStyle w:val="TableContents"/>
            </w:pPr>
            <w:r>
              <w:t>Appendix C C-2 §56.1</w:t>
            </w:r>
          </w:p>
        </w:tc>
        <w:tc>
          <w:tcPr/>
          <w:p>
            <w:pPr>
              <w:pStyle w:val="TableContents"/>
            </w:pPr>
            <w:r>
              <w:t>Requires confined space classification to be reviewed and updated when conditions change, and defines minimum confined space entry permit content including space identifier, authorised entrants, energy isolation status, atmospheric test results, gas detector bump-test confirmation, rescue plan reference, standby person assignment, and entry/exit log.</w:t>
            </w:r>
          </w:p>
        </w:tc>
        <w:tc>
          <w:tcPr/>
          <w:p>
            <w:pPr>
              <w:pStyle w:val="TableContents"/>
            </w:pPr>
            <w:r>
              <w:t>Full</w:t>
            </w:r>
          </w:p>
        </w:tc>
      </w:tr>
      <w:tr>
        <w:tc>
          <w:tcPr/>
          <w:p>
            <w:pPr>
              <w:pStyle w:val="TableContents"/>
            </w:pPr>
            <w:r>
              <w:rPr>
                <w:b/>
                <w:bCs/>
                <w:color w:val="0059D1"/>
              </w:rPr>
              <w:t>[INSERT: section]</w:t>
            </w:r>
          </w:p>
        </w:tc>
        <w:tc>
          <w:tcPr/>
          <w:p>
            <w:pPr>
              <w:pStyle w:val="TableContents"/>
            </w:pPr>
            <w:r>
              <w:t>Appendix C C-2 §56.4</w:t>
            </w:r>
          </w:p>
        </w:tc>
        <w:tc>
          <w:tcPr/>
          <w:p>
            <w:pPr>
              <w:pStyle w:val="TableContents"/>
            </w:pPr>
            <w:r>
              <w:t>Requires rescue personnel to be immediately available and briefed on the specific rescue plan, and to maintain proficiency through regular rescue drills.</w:t>
            </w:r>
          </w:p>
        </w:tc>
        <w:tc>
          <w:tcPr/>
          <w:p>
            <w:pPr>
              <w:pStyle w:val="TableContents"/>
            </w:pPr>
            <w:r>
              <w:t>Full</w:t>
            </w:r>
          </w:p>
        </w:tc>
      </w:tr>
      <w:tr>
        <w:tc>
          <w:tcPr/>
          <w:p>
            <w:pPr>
              <w:pStyle w:val="TableContents"/>
            </w:pPr>
            <w:r>
              <w:rPr>
                <w:b/>
                <w:bCs/>
                <w:color w:val="0059D1"/>
              </w:rPr>
              <w:t>[INSERT: section]</w:t>
            </w:r>
          </w:p>
        </w:tc>
        <w:tc>
          <w:tcPr/>
          <w:p>
            <w:pPr>
              <w:pStyle w:val="TableContents"/>
            </w:pPr>
            <w:r>
              <w:t>IFC EHS Guidelines §2.8</w:t>
            </w:r>
          </w:p>
        </w:tc>
        <w:tc>
          <w:tcPr/>
          <w:p>
            <w:pPr>
              <w:pStyle w:val="TableContents"/>
            </w:pPr>
            <w:r>
              <w:t>Requires confined spaces to be managed using a recognised confined space entry programme addressing hazard identification, entry authorisation, and emergency response, defines minimum acceptable atmospheric levels for oxygen content and flammable gas before entry, and requires adequate ventilation to be established and maintained throughout the duration of confined space work.</w:t>
            </w:r>
          </w:p>
        </w:tc>
        <w:tc>
          <w:tcPr/>
          <w:p>
            <w:pPr>
              <w:pStyle w:val="TableContents"/>
            </w:pPr>
            <w:r>
              <w:t>Full</w:t>
            </w:r>
          </w:p>
        </w:tc>
      </w:tr>
    </w:tbl>
    <w:p>
      <w:pPr>
        <w:pStyle w:val="Default"/>
      </w:pPr>
    </w:p>
    <w:p>
      <w:pPr>
        <w:pStyle w:val="Heading2Numbered"/>
      </w:pPr>
      <w:r>
        <w:t>13.2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